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双牌县司法局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双牌县司法局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28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widowControl/>
        <w:spacing w:line="580" w:lineRule="atLeas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（1）承担全面依法治县重大问题的政策研究，协调有关方面提出全面依法治县中长期规划建议，负责有关重大决策部署督察工作。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（2）指导全县规范性文件管理有关工作，承担县政府规范性文件送审稿的合法性审查工作，承办县政府及其部门规范性文件的登记工作。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（3）承担统筹推进法治政府建设的责任。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（4）承担统筹规划全县法治社会建设的责任。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（5）指导、管理社区矫正工作。指导刑满释放人员帮教安置工作。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（6）负责拟订公共法律服务体系建设规划并指导实施，统筹和布局城乡、区域法律服务资源。指导、监督律师、法律援助、司法鉴定、公证和基层法律服务管理工作。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（7）负责全县法治对外合作工作。组织开展法治对外合作交流。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（8）负责本系统服装、警车和信息化管理工作，做好本系统财务、装备、设施、场所等保障工作。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（9）规划、协调、指导法治人才队伍建设相关工作。抓好本系统队伍建设。负责本系统警务管理和警务督察工作。</w:t>
      </w:r>
    </w:p>
    <w:p>
      <w:pPr>
        <w:pStyle w:val="3"/>
        <w:ind w:firstLine="280" w:firstLineChars="100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（10）完成县委、县政府交办的其他任务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</w:p>
    <w:p>
      <w:pPr>
        <w:widowControl/>
        <w:spacing w:line="580" w:lineRule="atLeast"/>
        <w:ind w:firstLine="640" w:firstLineChars="200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2、机构、人员构成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根据编委核定，我局内设股室12个，全部纳入202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8"/>
          <w:szCs w:val="28"/>
        </w:rPr>
        <w:t>年部门预算编制范围。 </w:t>
      </w:r>
      <w:r>
        <w:rPr>
          <w:rFonts w:hint="eastAsia" w:ascii="仿宋_GB2312" w:hAnsi="仿宋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28"/>
          <w:szCs w:val="28"/>
        </w:rPr>
        <w:t>内设股室分别是办公室（加挂信息中心）、法治调研与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28"/>
          <w:szCs w:val="28"/>
        </w:rPr>
        <w:t>督察股、公共法律服务管理股、社区矫正管理股（县社区矫正管理局）、行政复议与应诉股（县政府行政复议办公室）、行政执法协调监督股、规范性文件管理股、法律事务服务股、普法与依法治理股、人民参与和促进法治股（人民陪审员和人民监督员选任管理办公室）、装备财务保障股、政工室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</w:p>
    <w:p>
      <w:pPr>
        <w:pStyle w:val="7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28"/>
          <w:szCs w:val="28"/>
        </w:rPr>
        <w:t>年本单位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编制总人数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77人，实际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年末</w:t>
      </w:r>
      <w:r>
        <w:rPr>
          <w:rFonts w:hint="eastAsia" w:ascii="仿宋_GB2312" w:hAnsi="Calibri" w:eastAsia="仿宋_GB2312" w:cs="Times New Roman"/>
          <w:sz w:val="28"/>
          <w:szCs w:val="28"/>
        </w:rPr>
        <w:t>实有人数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57</w:t>
      </w:r>
      <w:r>
        <w:rPr>
          <w:rFonts w:hint="eastAsia" w:ascii="仿宋_GB2312" w:hAnsi="Calibri" w:eastAsia="仿宋_GB2312" w:cs="Times New Roman"/>
          <w:sz w:val="28"/>
          <w:szCs w:val="28"/>
        </w:rPr>
        <w:t>人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。</w:t>
      </w:r>
    </w:p>
    <w:p>
      <w:pPr>
        <w:spacing w:line="600" w:lineRule="exact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3、2022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年度整体支出绩效目标，项目支出绩效目标</w:t>
      </w:r>
    </w:p>
    <w:p>
      <w:pPr>
        <w:spacing w:line="600" w:lineRule="exact"/>
        <w:rPr>
          <w:rFonts w:hint="eastAsia" w:ascii="宋体" w:eastAsia="宋体" w:cs="宋体"/>
          <w:color w:val="000000"/>
          <w:sz w:val="32"/>
          <w:szCs w:val="32"/>
          <w:lang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2022年部门整体支出绩效目标的金额为1060.8万元，其中，项目支出绩效目标金额270.42万元。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</w:p>
    <w:p>
      <w:pPr>
        <w:pStyle w:val="12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2"/>
        <w:spacing w:beforeLines="0" w:afterLines="0" w:line="570" w:lineRule="exact"/>
        <w:ind w:firstLine="64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（一）基本支出情况</w:t>
      </w:r>
    </w:p>
    <w:p>
      <w:pPr>
        <w:pStyle w:val="7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2022年本部门基本支出预算数790.38 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2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项目支出情况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2022年本部门项目支出预算 270.42万元，主要是部门为完成特定行政工作任务或事业发展目标而发生的支出，包括有专项业务费、基本建设支出等。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outlineLvl w:val="1"/>
        <w:rPr>
          <w:rFonts w:hint="default" w:ascii="Times New Roman" w:hAnsi="Times New Roman" w:eastAsia="仿宋_GB2312"/>
          <w:sz w:val="32"/>
          <w:szCs w:val="24"/>
        </w:rPr>
      </w:pP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我单位无政府性基金预算支出情况</w:t>
      </w: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我单位无国有资本经营预算支出情况</w:t>
      </w: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锚定2035年法治建设远景目标，充分发挥依法治县办职能作用,推进法治双牌、法治政府、法治社会一体化建设。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在法治轨道上保障疫情防控工作常态化开展。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明确责任分工，提高疫情防控法治化水平，切实保障人民群众生命健康安全；协调完善疫情防控相关制度，构建系统完备、科学规范、运行有效的疫情防控制度体系；加强疫情防控法治宣传和法律服务，引导广大人民群众增强法治意识，依法支持和配合疫情防控工作；强化疫情防控法律服务，加强疫情期间矛盾纠纷化解，为困难群众提供有效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仿宋_GB2312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仿宋_GB2312"/>
          <w:sz w:val="32"/>
          <w:szCs w:val="32"/>
        </w:rPr>
        <w:t>全面落实司法责任制综合配套改革。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一是依法全面履行职能。统筹推进全面依法治县各项工作，开展法治政府建设示范创建活动，强化法治政府建设督查，推动法治政府建设取得突破性进展。召开中共双牌县委全面依法治县委员会第四次会议，审议通过了《双牌县2022年全面依法治县工作要点》；通报了全县法治政府建设实地督察情况；六位党政主要负责人现场进行了述法。</w:t>
      </w:r>
      <w:r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以县委名义印发《双牌县法治社会建设实施方案（2021-2025）》《法治双牌建设规划（2021-2025）》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。二是健全依法决策机制。推动建立行政机关内部重大决策合法性审查机制、积极推行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instrText xml:space="preserve"> HYPERLINK "https://baike.sogou.com/lemma/ShowInnerLink.htm?lemmaId=142155428&amp;ss_c=ssc.citiao.link" \t "_blank" </w:instrTex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执法单位法律顾问制度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、建立重大决策终身责任追究制度及责任倒查机制。三是全面推进政务公开。推行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instrText xml:space="preserve"> HYPERLINK "https://baike.sogou.com/lemma/ShowInnerLink.htm?lemmaId=179209618&amp;ss_c=ssc.citiao.link" \t "_blank" </w:instrTex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行政执法公示制度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，加强对“放管服”改革措施的法制审核及协调,持续推进“减证便民”。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ascii="楷体" w:hAnsi="楷体" w:eastAsia="楷体"/>
          <w:sz w:val="32"/>
          <w:szCs w:val="32"/>
        </w:rPr>
        <w:t>加强法治乡村建设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一是强化乡村司法保障。完善法律援助制度机制、全面落实“双随机一公开”监管制度，实现律师、公证、司法鉴定等法律服务行业全覆盖。二是加强乡村法治宣传教育。落实“谁执法谁普法”普法责任制，加强农村基层干部法治培训，推进农村法治文化阵地建设，为群众搭建有效学法平台，广泛开展群众性法治文化活动，实施农村“法律明白人”培养工程，把法治乡村建设纳入干部培训计划。三是完善乡村公共法律服务。健全乡村公共法律服务体系，打造综合性、一站式的服务型窗口，进一步落实一村一法律顾问制度，加强涉农法律援助工作。五是深化法治乡村示范创建工作。突出创建质量，完善“民主法治示范村”建设指导标准，推进“民主法治示范村”创建活动科学化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_GB2312"/>
          <w:sz w:val="32"/>
          <w:szCs w:val="32"/>
        </w:rPr>
        <w:t>）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进一步</w:t>
      </w:r>
      <w:r>
        <w:rPr>
          <w:rFonts w:hint="eastAsia" w:ascii="楷体" w:hAnsi="楷体" w:eastAsia="楷体" w:cs="仿宋_GB2312"/>
          <w:sz w:val="32"/>
          <w:szCs w:val="32"/>
        </w:rPr>
        <w:t>推进行政复议体制改革。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通过改革，逐步实现行政复议的专业化、高效化。开展行政复议体制改革一周年宣传活动和行政复议促和谐实践活动。增强群众通过行政复议方式依法维权的意识，</w:t>
      </w:r>
      <w:r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将调解贯穿行政复议办案全过程，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做到案结事了。全年收到行政复议案件数量16件，受理行政复议案件16件，已审结12件行政复议案件（其中撤销4件、维持2件、确认具体行政行为违法2件，驳回申请1件，申请人撤回行政复议申请3件）；复议后应诉的案件为1件，行政复议化解行政争议率达到91.7%。</w:t>
      </w: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1、专项资金少，资金压力大。经费缺口日益增大，现在经费全部投入都只能完成基本的工作目标。</w:t>
      </w:r>
    </w:p>
    <w:p>
      <w:pPr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2、固定资产管理工作有待提高。</w:t>
      </w:r>
    </w:p>
    <w:p>
      <w:pPr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3、内部财务管理制度有待完善。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4、人员严重缺编与工作任务繁重矛盾日益突出。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1.细化预算编制工作，认真做好预算的编制。进一步加强内设机构的预算管理意识，严格按照预算编制的相关制度和要求进行预算编制。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.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5"/>
        <w:ind w:firstLine="3080" w:firstLineChars="1100"/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暂无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6576F"/>
    <w:multiLevelType w:val="singleLevel"/>
    <w:tmpl w:val="B6C657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1D05EA5"/>
    <w:multiLevelType w:val="singleLevel"/>
    <w:tmpl w:val="71D05E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TgwMTQ4NGVlNTk2ZmIzNjAyZTEwYmU5NjhjMjgifQ=="/>
  </w:docVars>
  <w:rsids>
    <w:rsidRoot w:val="00172A27"/>
    <w:rsid w:val="070A7F05"/>
    <w:rsid w:val="0A8455AD"/>
    <w:rsid w:val="0A940090"/>
    <w:rsid w:val="0C284DF2"/>
    <w:rsid w:val="0CCE5073"/>
    <w:rsid w:val="0D51729D"/>
    <w:rsid w:val="101F3C57"/>
    <w:rsid w:val="105E064F"/>
    <w:rsid w:val="154B3473"/>
    <w:rsid w:val="15B02F86"/>
    <w:rsid w:val="16EF3DAF"/>
    <w:rsid w:val="17306175"/>
    <w:rsid w:val="190F5F0D"/>
    <w:rsid w:val="1A48332C"/>
    <w:rsid w:val="1BCE59A7"/>
    <w:rsid w:val="1D5E5630"/>
    <w:rsid w:val="1E85324A"/>
    <w:rsid w:val="1F9C1D8C"/>
    <w:rsid w:val="1FEA6CB4"/>
    <w:rsid w:val="20BA3D5C"/>
    <w:rsid w:val="20FE29CD"/>
    <w:rsid w:val="213827F6"/>
    <w:rsid w:val="24756501"/>
    <w:rsid w:val="25F72C80"/>
    <w:rsid w:val="26543C2E"/>
    <w:rsid w:val="2A495A74"/>
    <w:rsid w:val="2AF82401"/>
    <w:rsid w:val="2F0E4B96"/>
    <w:rsid w:val="30D8017D"/>
    <w:rsid w:val="31DB5204"/>
    <w:rsid w:val="31EF3498"/>
    <w:rsid w:val="32056724"/>
    <w:rsid w:val="33457B5A"/>
    <w:rsid w:val="334D3EDF"/>
    <w:rsid w:val="33EA0D37"/>
    <w:rsid w:val="343E473F"/>
    <w:rsid w:val="34425A0E"/>
    <w:rsid w:val="376B527C"/>
    <w:rsid w:val="39BF18AF"/>
    <w:rsid w:val="39F74BA5"/>
    <w:rsid w:val="3D0C2E1E"/>
    <w:rsid w:val="3DFB432B"/>
    <w:rsid w:val="3E3839DE"/>
    <w:rsid w:val="3E422884"/>
    <w:rsid w:val="41A60F90"/>
    <w:rsid w:val="437042B4"/>
    <w:rsid w:val="43D25C86"/>
    <w:rsid w:val="4431209B"/>
    <w:rsid w:val="45433394"/>
    <w:rsid w:val="454F7F8B"/>
    <w:rsid w:val="45F823D0"/>
    <w:rsid w:val="47FF7E2A"/>
    <w:rsid w:val="4A7E5437"/>
    <w:rsid w:val="4B490F32"/>
    <w:rsid w:val="4B564457"/>
    <w:rsid w:val="4C575977"/>
    <w:rsid w:val="4DF30F3A"/>
    <w:rsid w:val="4E710F72"/>
    <w:rsid w:val="4E8B7C40"/>
    <w:rsid w:val="4F1637A4"/>
    <w:rsid w:val="4FE37C4D"/>
    <w:rsid w:val="500F1BD2"/>
    <w:rsid w:val="50715259"/>
    <w:rsid w:val="51C40746"/>
    <w:rsid w:val="543E6CC0"/>
    <w:rsid w:val="55412274"/>
    <w:rsid w:val="55C03679"/>
    <w:rsid w:val="57C446E9"/>
    <w:rsid w:val="58820FB8"/>
    <w:rsid w:val="5ABA52A9"/>
    <w:rsid w:val="5AFF64F2"/>
    <w:rsid w:val="5C8E01AF"/>
    <w:rsid w:val="5CDD77D2"/>
    <w:rsid w:val="5F8E4820"/>
    <w:rsid w:val="62BE6D8B"/>
    <w:rsid w:val="64E742EF"/>
    <w:rsid w:val="65CC7992"/>
    <w:rsid w:val="6817650A"/>
    <w:rsid w:val="684B0AD7"/>
    <w:rsid w:val="6C1A6E9C"/>
    <w:rsid w:val="6C2F2232"/>
    <w:rsid w:val="6CD96208"/>
    <w:rsid w:val="6D597A34"/>
    <w:rsid w:val="6D91263F"/>
    <w:rsid w:val="73426189"/>
    <w:rsid w:val="745B2775"/>
    <w:rsid w:val="74CD03DE"/>
    <w:rsid w:val="75073918"/>
    <w:rsid w:val="771A18F7"/>
    <w:rsid w:val="7DD520D4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2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4572</Words>
  <Characters>5137</Characters>
  <Lines>0</Lines>
  <Paragraphs>0</Paragraphs>
  <TotalTime>39</TotalTime>
  <ScaleCrop>false</ScaleCrop>
  <LinksUpToDate>false</LinksUpToDate>
  <CharactersWithSpaces>5415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2023-05-06T07:21:00Z</cp:lastPrinted>
  <dcterms:modified xsi:type="dcterms:W3CDTF">2022-12-11T03:39:25Z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C05C0A58C1B94E6DA3F69BCC80938D65_11</vt:lpwstr>
  </property>
</Properties>
</file>