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E4531"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  <w:bookmarkStart w:id="0" w:name="_GoBack"/>
      <w:bookmarkEnd w:id="0"/>
      <w:r>
        <w:rPr>
          <w:rFonts w:hint="eastAsia" w:ascii="方正小标宋简体" w:eastAsia="方正小标宋简体"/>
          <w:sz w:val="52"/>
          <w:szCs w:val="24"/>
        </w:rPr>
        <w:t>202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52"/>
          <w:szCs w:val="24"/>
        </w:rPr>
        <w:t>年度</w:t>
      </w:r>
      <w:r>
        <w:rPr>
          <w:rFonts w:hint="eastAsia" w:ascii="方正小标宋简体" w:eastAsia="方正小标宋简体"/>
          <w:sz w:val="52"/>
          <w:szCs w:val="24"/>
          <w:lang w:eastAsia="zh-CN"/>
        </w:rPr>
        <w:t>卫生健康综合监督执法大队</w:t>
      </w:r>
      <w:r>
        <w:rPr>
          <w:rFonts w:hint="eastAsia" w:ascii="方正小标宋简体" w:eastAsia="方正小标宋简体"/>
          <w:sz w:val="52"/>
          <w:szCs w:val="24"/>
        </w:rPr>
        <w:t>整体支出</w:t>
      </w:r>
    </w:p>
    <w:p w14:paraId="3CCC797A"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  <w:r>
        <w:rPr>
          <w:rFonts w:hint="eastAsia" w:ascii="方正小标宋简体" w:eastAsia="方正小标宋简体"/>
          <w:sz w:val="52"/>
          <w:szCs w:val="24"/>
        </w:rPr>
        <w:t>绩效自评报告</w:t>
      </w:r>
    </w:p>
    <w:p w14:paraId="299C0F18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06B5C41F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030E181B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1A3A00FF">
      <w:pPr>
        <w:spacing w:beforeLines="0" w:afterLines="0"/>
        <w:rPr>
          <w:rFonts w:hint="default" w:eastAsia="黑体"/>
          <w:sz w:val="32"/>
          <w:szCs w:val="24"/>
        </w:rPr>
      </w:pPr>
    </w:p>
    <w:p w14:paraId="66AB2368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4AFED746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74B08C5A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34E7AE0D">
      <w:pPr>
        <w:spacing w:beforeLines="0" w:afterLines="0" w:line="600" w:lineRule="exact"/>
        <w:rPr>
          <w:rFonts w:hint="default" w:eastAsia="仿宋_GB2312"/>
          <w:sz w:val="32"/>
          <w:szCs w:val="24"/>
          <w:u w:val="single"/>
        </w:rPr>
      </w:pPr>
      <w:r>
        <w:rPr>
          <w:rFonts w:hint="eastAsia" w:eastAsia="仿宋_GB2312"/>
          <w:sz w:val="32"/>
          <w:szCs w:val="24"/>
        </w:rPr>
        <w:t>单位名称</w:t>
      </w:r>
      <w:r>
        <w:rPr>
          <w:rFonts w:hint="eastAsia" w:eastAsia="仿宋_GB2312"/>
          <w:sz w:val="32"/>
          <w:szCs w:val="24"/>
          <w:u w:val="none"/>
        </w:rPr>
        <w:t>（盖章）</w:t>
      </w:r>
      <w:r>
        <w:rPr>
          <w:rFonts w:hint="eastAsia" w:eastAsia="仿宋_GB2312"/>
          <w:sz w:val="32"/>
          <w:szCs w:val="24"/>
        </w:rPr>
        <w:t>：</w:t>
      </w:r>
      <w:r>
        <w:rPr>
          <w:rFonts w:hint="eastAsia" w:eastAsia="仿宋_GB2312"/>
          <w:sz w:val="32"/>
          <w:szCs w:val="24"/>
          <w:u w:val="single"/>
        </w:rPr>
        <w:t xml:space="preserve"> </w:t>
      </w:r>
      <w:r>
        <w:rPr>
          <w:rFonts w:hint="eastAsia" w:eastAsia="仿宋_GB2312"/>
          <w:sz w:val="32"/>
          <w:szCs w:val="24"/>
          <w:u w:val="single"/>
          <w:lang w:eastAsia="zh-CN"/>
        </w:rPr>
        <w:t>双牌县卫生健康综合监督执法大队</w:t>
      </w:r>
      <w:r>
        <w:rPr>
          <w:rFonts w:hint="eastAsia" w:eastAsia="仿宋_GB2312"/>
          <w:sz w:val="32"/>
          <w:szCs w:val="24"/>
          <w:u w:val="single"/>
        </w:rPr>
        <w:t xml:space="preserve">       </w:t>
      </w:r>
    </w:p>
    <w:p w14:paraId="51033210">
      <w:pPr>
        <w:spacing w:beforeLines="0" w:afterLines="0" w:line="600" w:lineRule="exact"/>
        <w:ind w:firstLine="3200" w:firstLineChars="1000"/>
        <w:rPr>
          <w:rFonts w:hint="eastAsia" w:eastAsia="楷体_GB2312"/>
          <w:sz w:val="32"/>
          <w:szCs w:val="24"/>
        </w:rPr>
      </w:pPr>
    </w:p>
    <w:p w14:paraId="02EE5A8D">
      <w:pPr>
        <w:spacing w:beforeLines="0" w:afterLines="0" w:line="600" w:lineRule="exact"/>
        <w:ind w:firstLine="3200" w:firstLineChars="1000"/>
        <w:rPr>
          <w:rFonts w:hint="default" w:eastAsia="楷体_GB2312"/>
          <w:sz w:val="32"/>
          <w:szCs w:val="24"/>
        </w:rPr>
      </w:pPr>
      <w:r>
        <w:rPr>
          <w:rFonts w:hint="eastAsia" w:eastAsia="楷体_GB2312"/>
          <w:sz w:val="32"/>
          <w:szCs w:val="24"/>
          <w:lang w:val="en-US" w:eastAsia="zh-CN"/>
        </w:rPr>
        <w:t>2025</w:t>
      </w:r>
      <w:r>
        <w:rPr>
          <w:rFonts w:hint="eastAsia" w:eastAsia="楷体_GB2312"/>
          <w:sz w:val="32"/>
          <w:szCs w:val="24"/>
        </w:rPr>
        <w:t xml:space="preserve">年 </w:t>
      </w:r>
      <w:r>
        <w:rPr>
          <w:rFonts w:hint="eastAsia" w:eastAsia="楷体_GB2312"/>
          <w:sz w:val="32"/>
          <w:szCs w:val="24"/>
          <w:lang w:val="en-US" w:eastAsia="zh-CN"/>
        </w:rPr>
        <w:t>5</w:t>
      </w:r>
      <w:r>
        <w:rPr>
          <w:rFonts w:hint="eastAsia" w:eastAsia="楷体_GB2312"/>
          <w:sz w:val="32"/>
          <w:szCs w:val="24"/>
        </w:rPr>
        <w:t xml:space="preserve"> 月 </w:t>
      </w:r>
      <w:r>
        <w:rPr>
          <w:rFonts w:hint="eastAsia" w:eastAsia="楷体_GB2312"/>
          <w:sz w:val="32"/>
          <w:szCs w:val="24"/>
          <w:lang w:val="en-US" w:eastAsia="zh-CN"/>
        </w:rPr>
        <w:t>19</w:t>
      </w:r>
      <w:r>
        <w:rPr>
          <w:rFonts w:hint="eastAsia" w:eastAsia="楷体_GB2312"/>
          <w:sz w:val="32"/>
          <w:szCs w:val="24"/>
        </w:rPr>
        <w:t xml:space="preserve"> 日</w:t>
      </w:r>
    </w:p>
    <w:p w14:paraId="2E99829A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3754D317">
      <w:pPr>
        <w:spacing w:beforeLines="0" w:afterLines="0"/>
        <w:jc w:val="center"/>
        <w:outlineLvl w:val="0"/>
        <w:rPr>
          <w:rFonts w:hint="default" w:eastAsia="仿宋_GB2312"/>
          <w:sz w:val="32"/>
          <w:szCs w:val="24"/>
        </w:rPr>
      </w:pPr>
      <w:r>
        <w:rPr>
          <w:rFonts w:hint="eastAsia" w:eastAsia="仿宋_GB2312"/>
          <w:sz w:val="32"/>
          <w:szCs w:val="24"/>
        </w:rPr>
        <w:t>（此页为封面）</w:t>
      </w:r>
    </w:p>
    <w:p w14:paraId="65592BBF">
      <w:pPr>
        <w:numPr>
          <w:ilvl w:val="0"/>
          <w:numId w:val="1"/>
        </w:numPr>
        <w:spacing w:beforeLines="0" w:afterLines="0" w:line="570" w:lineRule="exact"/>
        <w:outlineLvl w:val="0"/>
        <w:rPr>
          <w:rFonts w:hint="default" w:eastAsia="黑体"/>
          <w:sz w:val="32"/>
          <w:szCs w:val="24"/>
        </w:rPr>
      </w:pPr>
      <w:r>
        <w:rPr>
          <w:rFonts w:hint="default" w:eastAsia="仿宋_GB2312"/>
          <w:sz w:val="32"/>
          <w:szCs w:val="24"/>
        </w:rPr>
        <w:br w:type="page"/>
      </w:r>
      <w:r>
        <w:rPr>
          <w:rFonts w:hint="eastAsia" w:eastAsia="黑体"/>
          <w:sz w:val="32"/>
          <w:szCs w:val="24"/>
        </w:rPr>
        <w:t>部门（单位）基本情况</w:t>
      </w:r>
    </w:p>
    <w:p w14:paraId="67963290">
      <w:pPr>
        <w:snapToGrid w:val="0"/>
        <w:spacing w:line="520" w:lineRule="exact"/>
        <w:ind w:firstLine="640" w:firstLineChars="200"/>
        <w:rPr>
          <w:rFonts w:hint="eastAsia" w:ascii="仿宋_GB2312" w:eastAsia="仿宋_GB2312"/>
          <w:sz w:val="32"/>
          <w:szCs w:val="24"/>
        </w:rPr>
      </w:pPr>
      <w:r>
        <w:rPr>
          <w:rFonts w:hint="eastAsia" w:ascii="仿宋_GB2312" w:eastAsia="仿宋_GB2312"/>
          <w:sz w:val="32"/>
          <w:szCs w:val="24"/>
        </w:rPr>
        <w:t>部门（单位）职能职责、机构编制、人员构成等。</w:t>
      </w:r>
    </w:p>
    <w:p w14:paraId="29035B7F">
      <w:pPr>
        <w:snapToGrid w:val="0"/>
        <w:spacing w:line="520" w:lineRule="exact"/>
        <w:ind w:firstLine="643" w:firstLineChars="200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（一）基本情况。</w:t>
      </w:r>
    </w:p>
    <w:p w14:paraId="061B3510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1．主要职能。</w:t>
      </w:r>
    </w:p>
    <w:p w14:paraId="04C0ADA2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负责实施卫生计生专项整治和日常监督检查；</w:t>
      </w:r>
    </w:p>
    <w:p w14:paraId="766AF1B0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负责对公共场所、学校卫生、生活饮用水卫生及消毒产品和涉及饮用水安全产品进行监督检查，查处违法行为；</w:t>
      </w:r>
    </w:p>
    <w:p w14:paraId="73453843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负责对医疗机构、采供血机构及其从业人员的执业活动进行监督检查，查处违法行为；</w:t>
      </w:r>
    </w:p>
    <w:p w14:paraId="05E82B55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开展打击非法行医和非法采供血工作，负责组织实施全县医疗广告的监督检查，查处发布违法医疗广告的行为，整顿和规范医疗服务秩序；</w:t>
      </w:r>
    </w:p>
    <w:p w14:paraId="3CD3184D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负责对医疗卫生机构的放射诊疗、职业健康检查和职业病诊断工作进行监督检查，查处违法行为；</w:t>
      </w:r>
    </w:p>
    <w:p w14:paraId="4EDE0FED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负责对医疗机构、采供血机构、疾病预防控制机构的传染病疫情报告、疫情控制措施、消毒隔离制度执行情况、医疗废物处置情况和菌（毒）种管理情况等进行监督检查，查处违法行为；</w:t>
      </w:r>
    </w:p>
    <w:p w14:paraId="7F6F87C4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负责对母婴保健机构、计划生育技术服务机构服务内容和从业人员的行为规范进行监督，依法打击“两非”行为；</w:t>
      </w:r>
    </w:p>
    <w:p w14:paraId="18C15431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负责做好计划生育社会抚养费征收及违法违纪案件的查处；</w:t>
      </w:r>
    </w:p>
    <w:p w14:paraId="452D9410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负责全县卫生计生监督员的培训、指导；</w:t>
      </w:r>
    </w:p>
    <w:p w14:paraId="71FBE020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负责受理对卫生计生违法行为的投诉、举报；</w:t>
      </w:r>
    </w:p>
    <w:p w14:paraId="61C1D86A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承担公共场所、生活饮用水、医疗机构放射卫生许可的审核、报批、发证等具体工作；</w:t>
      </w:r>
    </w:p>
    <w:p w14:paraId="76A25835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承担辖区内卫生计生承担信息的收集、核实和上报；</w:t>
      </w:r>
    </w:p>
    <w:p w14:paraId="71AD683D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开展卫生计生法律法规宣传教育和执法检查；</w:t>
      </w:r>
    </w:p>
    <w:p w14:paraId="70A29A07">
      <w:pPr>
        <w:numPr>
          <w:ilvl w:val="0"/>
          <w:numId w:val="2"/>
        </w:numPr>
        <w:spacing w:line="360" w:lineRule="auto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参与食品安全地方标准制定、修改、企业标准备案管理，开展食品安全标准跟踪评价；</w:t>
      </w:r>
    </w:p>
    <w:p w14:paraId="6585166B">
      <w:pPr>
        <w:numPr>
          <w:ilvl w:val="0"/>
          <w:numId w:val="2"/>
        </w:numPr>
        <w:spacing w:line="360" w:lineRule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/>
          <w:sz w:val="30"/>
        </w:rPr>
        <w:t>完成县委、县人民政府及县卫生健康局交办的其他工作。</w:t>
      </w:r>
    </w:p>
    <w:p w14:paraId="259BF721">
      <w:pPr>
        <w:numPr>
          <w:ilvl w:val="0"/>
          <w:numId w:val="3"/>
        </w:numPr>
        <w:spacing w:line="360" w:lineRule="auto"/>
        <w:ind w:firstLine="640" w:firstLineChars="200"/>
        <w:rPr>
          <w:rFonts w:hint="eastAsia" w:ascii="仿宋" w:hAnsi="仿宋" w:eastAsia="仿宋"/>
          <w:sz w:val="30"/>
        </w:rPr>
      </w:pPr>
      <w:r>
        <w:rPr>
          <w:rFonts w:hint="eastAsia" w:ascii="仿宋_GB2312" w:hAnsi="仿宋" w:eastAsia="仿宋_GB2312"/>
          <w:sz w:val="32"/>
          <w:szCs w:val="32"/>
        </w:rPr>
        <w:t>机构情况，包括当年变动情况及原因。</w:t>
      </w:r>
      <w:r>
        <w:rPr>
          <w:rFonts w:hint="eastAsia" w:ascii="仿宋" w:hAnsi="仿宋" w:eastAsia="仿宋"/>
          <w:sz w:val="30"/>
        </w:rPr>
        <w:t>202</w:t>
      </w:r>
      <w:r>
        <w:rPr>
          <w:rFonts w:hint="eastAsia" w:ascii="仿宋" w:hAnsi="仿宋" w:eastAsia="仿宋"/>
          <w:sz w:val="30"/>
          <w:lang w:val="en-US" w:eastAsia="zh-CN"/>
        </w:rPr>
        <w:t>5</w:t>
      </w:r>
      <w:r>
        <w:rPr>
          <w:rFonts w:hint="eastAsia" w:ascii="仿宋" w:hAnsi="仿宋" w:eastAsia="仿宋"/>
          <w:sz w:val="30"/>
        </w:rPr>
        <w:t>年县卫生健康综合监督执法大队属财政全额拨款的二级单位，设办公室、医疗与传染病监督股、公共场所监督股、学校卫生监督股、稽查股、计划生育监督股6个股室。</w:t>
      </w:r>
    </w:p>
    <w:p w14:paraId="506F56CF">
      <w:pPr>
        <w:spacing w:line="360" w:lineRule="auto"/>
        <w:ind w:firstLine="640" w:firstLineChars="200"/>
        <w:rPr>
          <w:rFonts w:eastAsia="Times New Roman"/>
          <w:sz w:val="32"/>
        </w:rPr>
      </w:pPr>
      <w:r>
        <w:rPr>
          <w:rFonts w:hint="eastAsia" w:ascii="仿宋_GB2312" w:hAnsi="仿宋" w:eastAsia="仿宋_GB2312"/>
          <w:sz w:val="32"/>
          <w:szCs w:val="32"/>
        </w:rPr>
        <w:t>3．人员情况，包括当年变动情况及原因。</w:t>
      </w: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年有在职职工</w:t>
      </w:r>
      <w:r>
        <w:rPr>
          <w:rFonts w:hint="eastAsia" w:ascii="仿宋" w:hAnsi="仿宋" w:eastAsia="仿宋"/>
          <w:sz w:val="32"/>
          <w:lang w:val="en-US" w:eastAsia="zh-CN"/>
        </w:rPr>
        <w:t>7</w:t>
      </w:r>
      <w:r>
        <w:rPr>
          <w:rFonts w:hint="eastAsia" w:ascii="仿宋" w:hAnsi="仿宋" w:eastAsia="仿宋"/>
          <w:sz w:val="32"/>
        </w:rPr>
        <w:t>人，</w:t>
      </w:r>
      <w:r>
        <w:rPr>
          <w:rFonts w:hint="eastAsia" w:ascii="仿宋_GB2312" w:hAnsi="仿宋" w:eastAsia="仿宋_GB2312"/>
          <w:sz w:val="32"/>
        </w:rPr>
        <w:t>其中行政编制人员</w:t>
      </w:r>
      <w:r>
        <w:rPr>
          <w:rFonts w:hint="eastAsia" w:ascii="仿宋_GB2312" w:hAnsi="仿宋" w:eastAsia="仿宋_GB2312"/>
          <w:sz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</w:rPr>
        <w:t>人，机关工勤人员4人，事业编制2人，本年度</w:t>
      </w:r>
      <w:r>
        <w:rPr>
          <w:rFonts w:hint="eastAsia" w:ascii="仿宋" w:hAnsi="仿宋" w:eastAsia="仿宋"/>
          <w:sz w:val="32"/>
        </w:rPr>
        <w:t>无人员变化。</w:t>
      </w:r>
    </w:p>
    <w:p w14:paraId="55EA4300">
      <w:pPr>
        <w:spacing w:beforeLines="0" w:afterLines="0" w:line="570" w:lineRule="exact"/>
        <w:outlineLvl w:val="1"/>
        <w:rPr>
          <w:rFonts w:hint="eastAsia" w:eastAsia="仿宋_GB2312"/>
          <w:color w:val="000000"/>
          <w:sz w:val="32"/>
          <w:szCs w:val="24"/>
        </w:rPr>
      </w:pPr>
      <w:r>
        <w:rPr>
          <w:rFonts w:hint="eastAsia" w:ascii="仿宋_GB2312" w:eastAsia="仿宋_GB2312"/>
          <w:sz w:val="32"/>
          <w:szCs w:val="24"/>
        </w:rPr>
        <w:t>（二）部门（单位）整体支出规模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eastAsia="仿宋_GB2312"/>
          <w:color w:val="000000"/>
          <w:sz w:val="32"/>
          <w:szCs w:val="24"/>
        </w:rPr>
        <w:t>包括但不限于部门整体支出情况、部门预算收支决算情况及“三公经费”支出使用和管理情况。</w:t>
      </w:r>
    </w:p>
    <w:p w14:paraId="2B2B9EDE">
      <w:pPr>
        <w:pStyle w:val="9"/>
        <w:spacing w:beforeLines="0" w:afterLines="0" w:line="570" w:lineRule="exact"/>
        <w:ind w:firstLine="640"/>
        <w:outlineLvl w:val="0"/>
        <w:rPr>
          <w:rFonts w:hint="default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二、一般公共预算支出情况</w:t>
      </w:r>
    </w:p>
    <w:p w14:paraId="4BF50B7C">
      <w:pPr>
        <w:snapToGrid w:val="0"/>
        <w:spacing w:line="520" w:lineRule="exact"/>
        <w:ind w:firstLine="640" w:firstLineChars="200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（一）基本支出情况</w:t>
      </w:r>
    </w:p>
    <w:p w14:paraId="4E68EB7C">
      <w:pPr>
        <w:snapToGrid w:val="0"/>
        <w:spacing w:line="520" w:lineRule="exact"/>
        <w:ind w:firstLine="643" w:firstLineChars="20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1．收入支出与预算对比分析。</w:t>
      </w:r>
    </w:p>
    <w:p w14:paraId="40DE8CCF">
      <w:pPr>
        <w:shd w:val="clear" w:color="auto" w:fill="FFFFFF"/>
        <w:spacing w:line="360" w:lineRule="auto"/>
        <w:ind w:firstLine="600"/>
        <w:jc w:val="left"/>
        <w:rPr>
          <w:rFonts w:eastAsia="Times New Roman"/>
          <w:sz w:val="32"/>
        </w:rPr>
      </w:pPr>
      <w:r>
        <w:rPr>
          <w:rFonts w:hint="eastAsia" w:ascii="仿宋_GB2312" w:hAnsi="仿宋" w:eastAsia="仿宋_GB2312"/>
          <w:sz w:val="32"/>
          <w:szCs w:val="32"/>
        </w:rPr>
        <w:t>（1）预、决算差异情况，可分收入支出功能科目、分单位、分收入支出具体项目逐项对比（可列表）。</w:t>
      </w: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年收入实际完成1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万元，比上年</w:t>
      </w:r>
      <w:r>
        <w:rPr>
          <w:rFonts w:hint="eastAsia" w:ascii="仿宋" w:hAnsi="仿宋" w:eastAsia="仿宋"/>
          <w:sz w:val="32"/>
          <w:lang w:eastAsia="zh-CN"/>
        </w:rPr>
        <w:t>减少</w:t>
      </w:r>
      <w:r>
        <w:rPr>
          <w:rFonts w:hint="eastAsia" w:ascii="仿宋" w:hAnsi="仿宋" w:eastAsia="仿宋"/>
          <w:sz w:val="32"/>
          <w:lang w:val="en-US" w:eastAsia="zh-CN"/>
        </w:rPr>
        <w:t>27.84</w:t>
      </w:r>
      <w:r>
        <w:rPr>
          <w:rFonts w:hint="eastAsia" w:ascii="仿宋" w:hAnsi="仿宋" w:eastAsia="仿宋"/>
          <w:sz w:val="32"/>
        </w:rPr>
        <w:t>万元，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18.68</w:t>
      </w:r>
      <w:r>
        <w:rPr>
          <w:rFonts w:hint="eastAsia" w:ascii="仿宋" w:hAnsi="仿宋" w:eastAsia="仿宋"/>
          <w:sz w:val="32"/>
        </w:rPr>
        <w:t>%。主要原因是：调整、保正常运转。其中：一般公共预算财政拨款收入完成1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万元，比上年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27.84</w:t>
      </w:r>
      <w:r>
        <w:rPr>
          <w:rFonts w:hint="eastAsia" w:ascii="仿宋" w:hAnsi="仿宋" w:eastAsia="仿宋"/>
          <w:sz w:val="32"/>
        </w:rPr>
        <w:t>万元，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18.68</w:t>
      </w:r>
      <w:r>
        <w:rPr>
          <w:rFonts w:hint="eastAsia" w:ascii="仿宋" w:hAnsi="仿宋" w:eastAsia="仿宋"/>
          <w:sz w:val="32"/>
        </w:rPr>
        <w:t>%</w:t>
      </w:r>
      <w:r>
        <w:rPr>
          <w:rFonts w:hint="eastAsia" w:ascii="仿宋" w:hAnsi="仿宋" w:eastAsia="仿宋"/>
          <w:sz w:val="32"/>
          <w:lang w:val="zh-CN"/>
        </w:rPr>
        <w:t>，变化的主要原因是：人员调整、</w:t>
      </w:r>
      <w:r>
        <w:rPr>
          <w:rFonts w:hint="eastAsia" w:ascii="仿宋" w:hAnsi="仿宋" w:eastAsia="仿宋"/>
          <w:sz w:val="32"/>
        </w:rPr>
        <w:t>保正常运转；政府性基金财政拨款收入完成0万元，比上年增减0万元，增长0</w:t>
      </w:r>
      <w:r>
        <w:rPr>
          <w:rFonts w:hint="eastAsia" w:ascii="仿宋" w:hAnsi="仿宋" w:eastAsia="仿宋"/>
          <w:sz w:val="32"/>
          <w:lang w:val="zh-CN"/>
        </w:rPr>
        <w:t>%，无变化</w:t>
      </w:r>
      <w:r>
        <w:rPr>
          <w:rFonts w:hint="eastAsia" w:ascii="仿宋" w:hAnsi="仿宋" w:eastAsia="仿宋"/>
          <w:sz w:val="32"/>
        </w:rPr>
        <w:t>；上级补助收入完成0万元，比上年增减0万元；事业收入完成0万元，比上年增减0万元，增长0</w:t>
      </w:r>
      <w:r>
        <w:rPr>
          <w:rFonts w:hint="eastAsia" w:ascii="仿宋" w:hAnsi="仿宋" w:eastAsia="仿宋"/>
          <w:sz w:val="32"/>
          <w:lang w:val="zh-CN"/>
        </w:rPr>
        <w:t>%，无变化</w:t>
      </w:r>
      <w:r>
        <w:rPr>
          <w:rFonts w:hint="eastAsia" w:ascii="仿宋" w:hAnsi="仿宋" w:eastAsia="仿宋"/>
          <w:sz w:val="32"/>
        </w:rPr>
        <w:t>；经营收入完成0万元，比上年增减0万元</w:t>
      </w:r>
      <w:r>
        <w:rPr>
          <w:rFonts w:eastAsia="Times New Roman"/>
          <w:sz w:val="32"/>
        </w:rPr>
        <w:t>,</w:t>
      </w:r>
      <w:r>
        <w:rPr>
          <w:rFonts w:hint="eastAsia" w:ascii="仿宋" w:hAnsi="仿宋" w:eastAsia="仿宋"/>
          <w:sz w:val="32"/>
        </w:rPr>
        <w:t>增长0</w:t>
      </w:r>
      <w:r>
        <w:rPr>
          <w:rFonts w:hint="eastAsia" w:ascii="仿宋" w:hAnsi="仿宋" w:eastAsia="仿宋"/>
          <w:sz w:val="32"/>
          <w:lang w:val="zh-CN"/>
        </w:rPr>
        <w:t>%，无变化；</w:t>
      </w:r>
      <w:r>
        <w:rPr>
          <w:rFonts w:hint="eastAsia" w:ascii="仿宋" w:hAnsi="仿宋" w:eastAsia="仿宋"/>
          <w:sz w:val="32"/>
        </w:rPr>
        <w:t>附属单位上缴收入完成0万元，比上年增减0万元；其他收入完成0万元，比上年增减0万元，增长0</w:t>
      </w:r>
      <w:r>
        <w:rPr>
          <w:rFonts w:hint="eastAsia" w:ascii="仿宋" w:hAnsi="仿宋" w:eastAsia="仿宋"/>
          <w:sz w:val="32"/>
          <w:lang w:val="zh-CN"/>
        </w:rPr>
        <w:t>%，无变化</w:t>
      </w:r>
      <w:r>
        <w:rPr>
          <w:rFonts w:hint="eastAsia" w:ascii="仿宋" w:hAnsi="仿宋" w:eastAsia="仿宋"/>
          <w:sz w:val="32"/>
        </w:rPr>
        <w:t>。</w:t>
      </w:r>
    </w:p>
    <w:p w14:paraId="0D2008AF">
      <w:pPr>
        <w:spacing w:line="360" w:lineRule="auto"/>
        <w:ind w:firstLine="643"/>
        <w:rPr>
          <w:rFonts w:eastAsia="Times New Roman"/>
          <w:sz w:val="28"/>
          <w:lang w:val="zh-CN"/>
        </w:rPr>
      </w:pP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年，本部门支出1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万元，比上年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27.84</w:t>
      </w:r>
      <w:r>
        <w:rPr>
          <w:rFonts w:hint="eastAsia" w:ascii="仿宋" w:hAnsi="仿宋" w:eastAsia="仿宋"/>
          <w:sz w:val="32"/>
        </w:rPr>
        <w:t>万元，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18.68</w:t>
      </w:r>
      <w:r>
        <w:rPr>
          <w:rFonts w:hint="eastAsia" w:ascii="仿宋" w:hAnsi="仿宋" w:eastAsia="仿宋"/>
          <w:sz w:val="32"/>
        </w:rPr>
        <w:t>%；</w:t>
      </w:r>
      <w:r>
        <w:rPr>
          <w:rFonts w:hint="eastAsia" w:ascii="仿宋" w:hAnsi="仿宋" w:eastAsia="仿宋"/>
          <w:sz w:val="32"/>
          <w:lang w:val="zh-CN"/>
        </w:rPr>
        <w:t>变化的主要原因：保正常的运转</w:t>
      </w:r>
      <w:r>
        <w:rPr>
          <w:rFonts w:hint="eastAsia" w:ascii="仿宋" w:hAnsi="仿宋" w:eastAsia="仿宋"/>
          <w:sz w:val="32"/>
        </w:rPr>
        <w:t>。其中：基本支出完成1</w:t>
      </w:r>
      <w:r>
        <w:rPr>
          <w:rFonts w:hint="eastAsia" w:ascii="仿宋" w:hAnsi="仿宋" w:eastAsia="仿宋"/>
          <w:sz w:val="32"/>
          <w:lang w:val="en-US" w:eastAsia="zh-CN"/>
        </w:rPr>
        <w:t>13.36</w:t>
      </w:r>
      <w:r>
        <w:rPr>
          <w:rFonts w:hint="eastAsia" w:ascii="仿宋" w:hAnsi="仿宋" w:eastAsia="仿宋"/>
          <w:sz w:val="32"/>
        </w:rPr>
        <w:t>万元，比上年减少1</w:t>
      </w:r>
      <w:r>
        <w:rPr>
          <w:rFonts w:hint="eastAsia" w:ascii="仿宋" w:hAnsi="仿宋" w:eastAsia="仿宋"/>
          <w:sz w:val="32"/>
          <w:lang w:val="en-US" w:eastAsia="zh-CN"/>
        </w:rPr>
        <w:t>2.34</w:t>
      </w:r>
      <w:r>
        <w:rPr>
          <w:rFonts w:hint="eastAsia" w:ascii="仿宋" w:hAnsi="仿宋" w:eastAsia="仿宋"/>
          <w:sz w:val="32"/>
        </w:rPr>
        <w:t>万元，减少</w:t>
      </w:r>
      <w:r>
        <w:rPr>
          <w:rFonts w:hint="eastAsia" w:ascii="仿宋" w:hAnsi="仿宋" w:eastAsia="仿宋"/>
          <w:sz w:val="32"/>
          <w:lang w:val="en-US" w:eastAsia="zh-CN"/>
        </w:rPr>
        <w:t>9.81</w:t>
      </w:r>
      <w:r>
        <w:rPr>
          <w:rFonts w:hint="eastAsia" w:ascii="仿宋" w:hAnsi="仿宋" w:eastAsia="仿宋"/>
          <w:sz w:val="28"/>
        </w:rPr>
        <w:t>%，</w:t>
      </w:r>
      <w:r>
        <w:rPr>
          <w:rFonts w:hint="eastAsia" w:ascii="仿宋" w:hAnsi="仿宋" w:eastAsia="仿宋"/>
          <w:sz w:val="32"/>
          <w:lang w:val="zh-CN"/>
        </w:rPr>
        <w:t>变化的主要原因：本单位人员有调出</w:t>
      </w:r>
      <w:r>
        <w:rPr>
          <w:rFonts w:hint="eastAsia" w:ascii="仿宋" w:hAnsi="仿宋" w:eastAsia="仿宋"/>
          <w:sz w:val="32"/>
        </w:rPr>
        <w:t>。项目支出</w:t>
      </w:r>
      <w:r>
        <w:rPr>
          <w:rFonts w:hint="eastAsia" w:ascii="仿宋" w:hAnsi="仿宋" w:eastAsia="仿宋"/>
          <w:sz w:val="32"/>
          <w:lang w:val="en-US" w:eastAsia="zh-CN"/>
        </w:rPr>
        <w:t>14</w:t>
      </w:r>
      <w:r>
        <w:rPr>
          <w:rFonts w:hint="eastAsia" w:ascii="仿宋" w:hAnsi="仿宋" w:eastAsia="仿宋"/>
          <w:sz w:val="32"/>
        </w:rPr>
        <w:t>万元，比上年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29.38</w:t>
      </w:r>
      <w:r>
        <w:rPr>
          <w:rFonts w:hint="eastAsia" w:ascii="仿宋" w:hAnsi="仿宋" w:eastAsia="仿宋"/>
          <w:sz w:val="32"/>
        </w:rPr>
        <w:t>万元，</w:t>
      </w:r>
      <w:r>
        <w:rPr>
          <w:rFonts w:hint="eastAsia" w:ascii="仿宋" w:hAnsi="仿宋" w:eastAsia="仿宋"/>
          <w:sz w:val="32"/>
          <w:lang w:eastAsia="zh-CN"/>
        </w:rPr>
        <w:t>下降</w:t>
      </w:r>
      <w:r>
        <w:rPr>
          <w:rFonts w:hint="eastAsia" w:ascii="仿宋" w:hAnsi="仿宋" w:eastAsia="仿宋"/>
          <w:sz w:val="32"/>
          <w:lang w:val="en-US" w:eastAsia="zh-CN"/>
        </w:rPr>
        <w:t>67.73</w:t>
      </w:r>
      <w:r>
        <w:rPr>
          <w:rFonts w:hint="eastAsia" w:ascii="仿宋" w:hAnsi="仿宋" w:eastAsia="仿宋"/>
          <w:sz w:val="28"/>
        </w:rPr>
        <w:t>%</w:t>
      </w:r>
      <w:r>
        <w:rPr>
          <w:rFonts w:hint="eastAsia" w:ascii="仿宋" w:hAnsi="仿宋" w:eastAsia="仿宋"/>
          <w:sz w:val="32"/>
        </w:rPr>
        <w:t>；</w:t>
      </w:r>
      <w:r>
        <w:rPr>
          <w:rFonts w:hint="eastAsia" w:ascii="仿宋" w:hAnsi="仿宋" w:eastAsia="仿宋"/>
          <w:sz w:val="32"/>
          <w:lang w:val="zh-CN"/>
        </w:rPr>
        <w:t>变化的主要原因：</w:t>
      </w:r>
      <w:r>
        <w:rPr>
          <w:rFonts w:hint="eastAsia" w:ascii="仿宋" w:hAnsi="仿宋" w:eastAsia="仿宋"/>
          <w:sz w:val="32"/>
          <w:lang w:val="en-US" w:eastAsia="zh-CN"/>
        </w:rPr>
        <w:t>2025年五</w:t>
      </w:r>
      <w:r>
        <w:rPr>
          <w:rFonts w:hint="eastAsia" w:ascii="仿宋" w:hAnsi="仿宋" w:eastAsia="仿宋"/>
          <w:sz w:val="32"/>
          <w:lang w:val="zh-CN"/>
        </w:rPr>
        <w:t>国家配套的专项项目资金</w:t>
      </w:r>
      <w:r>
        <w:rPr>
          <w:rFonts w:hint="eastAsia" w:ascii="仿宋" w:hAnsi="仿宋" w:eastAsia="仿宋"/>
          <w:sz w:val="32"/>
        </w:rPr>
        <w:t>。</w:t>
      </w:r>
      <w:r>
        <w:rPr>
          <w:rFonts w:hint="eastAsia" w:ascii="仿宋" w:hAnsi="仿宋" w:eastAsia="仿宋"/>
          <w:sz w:val="32"/>
          <w:lang w:val="zh-CN"/>
        </w:rPr>
        <w:t>人员经费</w:t>
      </w:r>
      <w:r>
        <w:rPr>
          <w:rFonts w:hint="eastAsia" w:ascii="仿宋" w:hAnsi="仿宋" w:eastAsia="仿宋"/>
          <w:sz w:val="32"/>
        </w:rPr>
        <w:t>完成9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hint="eastAsia" w:ascii="仿宋" w:hAnsi="仿宋" w:eastAsia="仿宋"/>
          <w:sz w:val="32"/>
        </w:rPr>
        <w:t>.58</w:t>
      </w:r>
      <w:r>
        <w:rPr>
          <w:rFonts w:hint="eastAsia" w:ascii="仿宋" w:hAnsi="仿宋" w:eastAsia="仿宋"/>
          <w:sz w:val="28"/>
        </w:rPr>
        <w:t>万</w:t>
      </w:r>
      <w:r>
        <w:rPr>
          <w:rFonts w:hint="eastAsia" w:ascii="仿宋" w:hAnsi="仿宋" w:eastAsia="仿宋"/>
          <w:sz w:val="32"/>
        </w:rPr>
        <w:t>元，比上年</w:t>
      </w:r>
      <w:r>
        <w:rPr>
          <w:rFonts w:hint="eastAsia" w:ascii="仿宋" w:hAnsi="仿宋" w:eastAsia="仿宋"/>
          <w:sz w:val="32"/>
          <w:lang w:eastAsia="zh-CN"/>
        </w:rPr>
        <w:t>增加</w:t>
      </w:r>
      <w:r>
        <w:rPr>
          <w:rFonts w:hint="eastAsia" w:ascii="仿宋" w:hAnsi="仿宋" w:eastAsia="仿宋"/>
          <w:sz w:val="32"/>
          <w:lang w:val="en-US" w:eastAsia="zh-CN"/>
        </w:rPr>
        <w:t>2</w:t>
      </w:r>
      <w:r>
        <w:rPr>
          <w:rFonts w:hint="eastAsia" w:ascii="仿宋" w:hAnsi="仿宋" w:eastAsia="仿宋"/>
          <w:sz w:val="32"/>
        </w:rPr>
        <w:t>万元，</w:t>
      </w:r>
      <w:r>
        <w:rPr>
          <w:rFonts w:hint="eastAsia" w:ascii="仿宋" w:hAnsi="仿宋" w:eastAsia="仿宋"/>
          <w:sz w:val="32"/>
          <w:lang w:eastAsia="zh-CN"/>
        </w:rPr>
        <w:t>增加</w:t>
      </w:r>
      <w:r>
        <w:rPr>
          <w:rFonts w:hint="eastAsia" w:ascii="仿宋" w:hAnsi="仿宋" w:eastAsia="仿宋"/>
          <w:sz w:val="32"/>
          <w:lang w:val="en-US" w:eastAsia="zh-CN"/>
        </w:rPr>
        <w:t>21.15</w:t>
      </w:r>
      <w:r>
        <w:rPr>
          <w:rFonts w:hint="eastAsia" w:ascii="仿宋" w:hAnsi="仿宋" w:eastAsia="仿宋"/>
          <w:sz w:val="28"/>
        </w:rPr>
        <w:t>%，</w:t>
      </w:r>
      <w:r>
        <w:rPr>
          <w:rFonts w:hint="eastAsia" w:ascii="仿宋" w:hAnsi="仿宋" w:eastAsia="仿宋"/>
          <w:sz w:val="32"/>
          <w:lang w:val="zh-CN"/>
        </w:rPr>
        <w:t>变化的主要原因：人员经费增加</w:t>
      </w:r>
      <w:r>
        <w:rPr>
          <w:rFonts w:hint="eastAsia" w:ascii="仿宋" w:hAnsi="仿宋" w:eastAsia="仿宋"/>
          <w:sz w:val="32"/>
        </w:rPr>
        <w:t>；公用</w:t>
      </w:r>
      <w:r>
        <w:rPr>
          <w:rFonts w:hint="eastAsia" w:ascii="仿宋" w:hAnsi="仿宋" w:eastAsia="仿宋"/>
          <w:sz w:val="32"/>
          <w:lang w:val="zh-CN"/>
        </w:rPr>
        <w:t>经费</w:t>
      </w:r>
      <w:r>
        <w:rPr>
          <w:rFonts w:hint="eastAsia" w:ascii="仿宋" w:hAnsi="仿宋" w:eastAsia="仿宋"/>
          <w:sz w:val="32"/>
        </w:rPr>
        <w:t>完成</w:t>
      </w:r>
      <w:r>
        <w:rPr>
          <w:rFonts w:hint="eastAsia" w:ascii="仿宋" w:hAnsi="仿宋" w:eastAsia="仿宋"/>
          <w:sz w:val="32"/>
          <w:lang w:val="en-US" w:eastAsia="zh-CN"/>
        </w:rPr>
        <w:t>14.97</w:t>
      </w:r>
      <w:r>
        <w:rPr>
          <w:rFonts w:hint="eastAsia" w:ascii="仿宋" w:hAnsi="仿宋" w:eastAsia="仿宋"/>
          <w:sz w:val="32"/>
        </w:rPr>
        <w:t>万元，比上年</w:t>
      </w:r>
      <w:r>
        <w:rPr>
          <w:rFonts w:hint="eastAsia" w:ascii="仿宋" w:hAnsi="仿宋" w:eastAsia="仿宋"/>
          <w:sz w:val="32"/>
          <w:lang w:eastAsia="zh-CN"/>
        </w:rPr>
        <w:t>增加</w:t>
      </w:r>
      <w:r>
        <w:rPr>
          <w:rFonts w:hint="eastAsia" w:ascii="仿宋" w:hAnsi="仿宋" w:eastAsia="仿宋"/>
          <w:sz w:val="32"/>
          <w:lang w:val="en-US" w:eastAsia="zh-CN"/>
        </w:rPr>
        <w:t>3.93</w:t>
      </w:r>
      <w:r>
        <w:rPr>
          <w:rFonts w:hint="eastAsia" w:ascii="仿宋" w:hAnsi="仿宋" w:eastAsia="仿宋"/>
          <w:sz w:val="32"/>
        </w:rPr>
        <w:t>万元，</w:t>
      </w:r>
      <w:r>
        <w:rPr>
          <w:rFonts w:hint="eastAsia" w:ascii="仿宋" w:hAnsi="仿宋" w:eastAsia="仿宋"/>
          <w:sz w:val="32"/>
          <w:lang w:eastAsia="zh-CN"/>
        </w:rPr>
        <w:t>增加</w:t>
      </w:r>
      <w:r>
        <w:rPr>
          <w:rFonts w:hint="eastAsia" w:ascii="仿宋" w:hAnsi="仿宋" w:eastAsia="仿宋"/>
          <w:sz w:val="32"/>
          <w:lang w:val="en-US" w:eastAsia="zh-CN"/>
        </w:rPr>
        <w:t>35.6</w:t>
      </w:r>
      <w:r>
        <w:rPr>
          <w:rFonts w:hint="eastAsia" w:ascii="仿宋" w:hAnsi="仿宋" w:eastAsia="仿宋"/>
          <w:sz w:val="28"/>
        </w:rPr>
        <w:t>%，</w:t>
      </w:r>
      <w:r>
        <w:rPr>
          <w:rFonts w:hint="eastAsia" w:ascii="仿宋" w:hAnsi="仿宋" w:eastAsia="仿宋"/>
          <w:sz w:val="32"/>
          <w:lang w:val="zh-CN"/>
        </w:rPr>
        <w:t>变化的主要原因：财政调整单位的人员经费保运转</w:t>
      </w:r>
      <w:r>
        <w:rPr>
          <w:rFonts w:hint="eastAsia" w:ascii="仿宋" w:hAnsi="仿宋" w:eastAsia="仿宋"/>
          <w:sz w:val="28"/>
          <w:lang w:val="zh-CN"/>
        </w:rPr>
        <w:t>。</w:t>
      </w:r>
    </w:p>
    <w:p w14:paraId="2D992158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（2）差异原因分析。差异较大的应分析到具体收入支出功能科目和具体单位。</w:t>
      </w:r>
    </w:p>
    <w:p w14:paraId="4D50B687">
      <w:pPr>
        <w:snapToGrid w:val="0"/>
        <w:spacing w:line="520" w:lineRule="exact"/>
        <w:ind w:firstLine="643" w:firstLineChars="20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2．收入支出结构分析。</w:t>
      </w:r>
    </w:p>
    <w:p w14:paraId="44E91623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（1）各项收入占总收入的比重，各项支出占总支出的比重（可分别制作饼状图）。</w:t>
      </w:r>
    </w:p>
    <w:p w14:paraId="095ACD94">
      <w:pPr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_GB2312" w:hAnsi="仿宋" w:eastAsia="仿宋_GB2312"/>
          <w:sz w:val="32"/>
          <w:szCs w:val="32"/>
        </w:rPr>
        <w:t>（2）收入支出与上年度对比情况及原因分析(可用柱形图或折线图)。</w:t>
      </w: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年度决算收入为1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万元，比年初预算</w:t>
      </w:r>
      <w:r>
        <w:rPr>
          <w:rFonts w:hint="eastAsia" w:ascii="仿宋" w:hAnsi="仿宋" w:eastAsia="仿宋"/>
          <w:sz w:val="32"/>
          <w:lang w:eastAsia="zh-CN"/>
        </w:rPr>
        <w:t>减少</w:t>
      </w:r>
      <w:r>
        <w:rPr>
          <w:rFonts w:hint="eastAsia" w:ascii="仿宋" w:hAnsi="仿宋" w:eastAsia="仿宋"/>
          <w:sz w:val="32"/>
          <w:lang w:val="en-US" w:eastAsia="zh-CN"/>
        </w:rPr>
        <w:t>6.2</w:t>
      </w:r>
      <w:r>
        <w:rPr>
          <w:rFonts w:hint="eastAsia" w:ascii="仿宋" w:hAnsi="仿宋" w:eastAsia="仿宋"/>
          <w:sz w:val="32"/>
        </w:rPr>
        <w:t>万元，主要原因为</w:t>
      </w:r>
      <w:r>
        <w:rPr>
          <w:rFonts w:hint="eastAsia" w:ascii="仿宋" w:hAnsi="仿宋" w:eastAsia="仿宋"/>
          <w:sz w:val="32"/>
          <w:lang w:eastAsia="zh-CN"/>
        </w:rPr>
        <w:t>单位精简节约，压缩开支</w:t>
      </w:r>
      <w:r>
        <w:rPr>
          <w:rFonts w:hint="eastAsia" w:ascii="仿宋" w:hAnsi="仿宋" w:eastAsia="仿宋"/>
          <w:sz w:val="32"/>
        </w:rPr>
        <w:t>。202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年度决算支出为1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万元，与全年预算支出减少0万元，主要原因为行政运行经费收入减少，厉行节约，减少非必要开支。</w:t>
      </w:r>
    </w:p>
    <w:p w14:paraId="22676EF0">
      <w:pPr>
        <w:spacing w:line="360" w:lineRule="auto"/>
        <w:ind w:firstLine="643"/>
        <w:rPr>
          <w:rFonts w:eastAsia="Times New Roman"/>
          <w:sz w:val="32"/>
        </w:rPr>
      </w:pP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hint="eastAsia" w:ascii="仿宋" w:hAnsi="仿宋" w:eastAsia="仿宋"/>
          <w:sz w:val="32"/>
        </w:rPr>
        <w:t>年部门收入决算数1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万元，其中，财政拨款（补助）收入1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" w:hAnsi="仿宋" w:eastAsia="仿宋"/>
          <w:sz w:val="32"/>
        </w:rPr>
        <w:t>万元，占总收入的比重为100%。收入决算较上年</w:t>
      </w:r>
      <w:r>
        <w:rPr>
          <w:rFonts w:hint="eastAsia" w:ascii="仿宋" w:hAnsi="仿宋" w:eastAsia="仿宋"/>
          <w:sz w:val="32"/>
          <w:lang w:eastAsia="zh-CN"/>
        </w:rPr>
        <w:t>减少</w:t>
      </w:r>
      <w:r>
        <w:rPr>
          <w:rFonts w:hint="eastAsia" w:ascii="仿宋" w:hAnsi="仿宋" w:eastAsia="仿宋"/>
          <w:sz w:val="32"/>
          <w:lang w:val="en-US" w:eastAsia="zh-CN"/>
        </w:rPr>
        <w:t>27.84</w:t>
      </w:r>
      <w:r>
        <w:rPr>
          <w:rFonts w:hint="eastAsia" w:ascii="仿宋" w:hAnsi="仿宋" w:eastAsia="仿宋"/>
          <w:sz w:val="32"/>
        </w:rPr>
        <w:t>万元，主要是调整、三保。</w:t>
      </w:r>
    </w:p>
    <w:p w14:paraId="246802E1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年部门支出决算数</w:t>
      </w:r>
      <w:r>
        <w:rPr>
          <w:rFonts w:hint="eastAsia" w:ascii="仿宋" w:hAnsi="仿宋" w:eastAsia="仿宋"/>
          <w:sz w:val="32"/>
        </w:rPr>
        <w:t>1</w:t>
      </w:r>
      <w:r>
        <w:rPr>
          <w:rFonts w:hint="eastAsia" w:ascii="仿宋" w:hAnsi="仿宋" w:eastAsia="仿宋"/>
          <w:sz w:val="32"/>
          <w:lang w:val="en-US" w:eastAsia="zh-CN"/>
        </w:rPr>
        <w:t>21.16</w:t>
      </w:r>
      <w:r>
        <w:rPr>
          <w:rFonts w:hint="eastAsia" w:ascii="仿宋_GB2312" w:hAnsi="仿宋" w:eastAsia="仿宋_GB2312"/>
          <w:sz w:val="32"/>
        </w:rPr>
        <w:t>万元，支出决算较上年</w:t>
      </w:r>
      <w:r>
        <w:rPr>
          <w:rFonts w:hint="eastAsia" w:ascii="仿宋_GB2312" w:hAnsi="仿宋" w:eastAsia="仿宋_GB2312"/>
          <w:sz w:val="32"/>
          <w:lang w:eastAsia="zh-CN"/>
        </w:rPr>
        <w:t>减少</w:t>
      </w:r>
      <w:r>
        <w:rPr>
          <w:rFonts w:hint="eastAsia" w:ascii="仿宋_GB2312" w:hAnsi="仿宋" w:eastAsia="仿宋_GB2312"/>
          <w:sz w:val="32"/>
          <w:lang w:val="en-US" w:eastAsia="zh-CN"/>
        </w:rPr>
        <w:t>27.84</w:t>
      </w:r>
      <w:r>
        <w:rPr>
          <w:rFonts w:hint="eastAsia" w:ascii="仿宋_GB2312" w:hAnsi="仿宋" w:eastAsia="仿宋_GB2312"/>
          <w:sz w:val="32"/>
        </w:rPr>
        <w:t>万元，主要是调整、三保。</w:t>
      </w:r>
    </w:p>
    <w:p w14:paraId="0EB4FCEB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其中：</w:t>
      </w:r>
    </w:p>
    <w:p w14:paraId="4867A511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1、基本支出：1</w:t>
      </w:r>
      <w:r>
        <w:rPr>
          <w:rFonts w:hint="eastAsia" w:ascii="仿宋_GB2312" w:hAnsi="仿宋" w:eastAsia="仿宋_GB2312"/>
          <w:sz w:val="32"/>
          <w:lang w:val="en-US" w:eastAsia="zh-CN"/>
        </w:rPr>
        <w:t>13.36</w:t>
      </w:r>
      <w:r>
        <w:rPr>
          <w:rFonts w:hint="eastAsia" w:ascii="仿宋_GB2312" w:hAnsi="仿宋" w:eastAsia="仿宋_GB2312"/>
          <w:sz w:val="32"/>
        </w:rPr>
        <w:t>万元，占总支出的比重为</w:t>
      </w:r>
      <w:r>
        <w:rPr>
          <w:rFonts w:hint="eastAsia" w:ascii="仿宋_GB2312" w:hAnsi="仿宋" w:eastAsia="仿宋_GB2312"/>
          <w:sz w:val="32"/>
          <w:lang w:val="en-US" w:eastAsia="zh-CN"/>
        </w:rPr>
        <w:t>89</w:t>
      </w:r>
      <w:r>
        <w:rPr>
          <w:rFonts w:hint="eastAsia" w:ascii="仿宋_GB2312" w:hAnsi="仿宋" w:eastAsia="仿宋_GB2312"/>
          <w:sz w:val="32"/>
        </w:rPr>
        <w:t>%。一般公共预算财政拨款基本支出中人员经费9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</w:rPr>
        <w:t>.58万元，主要包括：基本工资、津贴补贴、奖金、社会保障缴费、其他工资福利支出、离休费、退休费、抚恤金、奖励金、住房公积金、其他对个人和家庭的补助支出；一般公共预算财政拨款基本支出中公用经费1</w:t>
      </w:r>
      <w:r>
        <w:rPr>
          <w:rFonts w:hint="eastAsia" w:ascii="仿宋_GB2312" w:hAnsi="仿宋" w:eastAsia="仿宋_GB2312"/>
          <w:sz w:val="32"/>
          <w:lang w:val="en-US" w:eastAsia="zh-CN"/>
        </w:rPr>
        <w:t>4.97</w:t>
      </w:r>
      <w:r>
        <w:rPr>
          <w:rFonts w:hint="eastAsia" w:ascii="仿宋_GB2312" w:hAnsi="仿宋" w:eastAsia="仿宋_GB2312"/>
          <w:sz w:val="32"/>
        </w:rPr>
        <w:t>万元，主要包括：办公费、印刷费、邮电费、差旅费、维修（护）费、会议费、培训费、公务接待费、劳务费、工会经费、福利费、公务用车运行维护费、其他交通费用、其他商品和服务支出。</w:t>
      </w:r>
    </w:p>
    <w:p w14:paraId="2AEC8772">
      <w:pPr>
        <w:pStyle w:val="9"/>
        <w:spacing w:beforeLines="0" w:afterLines="0" w:line="570" w:lineRule="exact"/>
        <w:ind w:firstLine="640"/>
        <w:outlineLvl w:val="1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（二）项目支出情况</w:t>
      </w:r>
    </w:p>
    <w:p w14:paraId="24685B1F">
      <w:pPr>
        <w:pStyle w:val="9"/>
        <w:spacing w:beforeLines="0" w:afterLines="0" w:line="570" w:lineRule="exact"/>
        <w:ind w:firstLine="640"/>
        <w:outlineLvl w:val="1"/>
        <w:rPr>
          <w:rFonts w:hint="default" w:ascii="Times New Roman" w:hAnsi="Times New Roman" w:eastAsia="仿宋_GB2312"/>
          <w:sz w:val="32"/>
          <w:szCs w:val="24"/>
        </w:rPr>
      </w:pPr>
      <w:r>
        <w:rPr>
          <w:rFonts w:hint="eastAsia" w:ascii="仿宋_GB2312" w:hAnsi="仿宋" w:eastAsia="仿宋_GB2312"/>
          <w:sz w:val="32"/>
        </w:rPr>
        <w:t>项目支出：</w:t>
      </w:r>
      <w:r>
        <w:rPr>
          <w:rFonts w:hint="eastAsia" w:ascii="仿宋_GB2312" w:hAnsi="仿宋" w:eastAsia="仿宋_GB2312"/>
          <w:sz w:val="32"/>
          <w:lang w:val="en-US" w:eastAsia="zh-CN"/>
        </w:rPr>
        <w:t>9.6</w:t>
      </w:r>
      <w:r>
        <w:rPr>
          <w:rFonts w:hint="eastAsia" w:ascii="仿宋_GB2312" w:hAnsi="仿宋" w:eastAsia="仿宋_GB2312"/>
          <w:sz w:val="32"/>
        </w:rPr>
        <w:t>万元，占总支出的比重为</w:t>
      </w:r>
      <w:r>
        <w:rPr>
          <w:rFonts w:hint="eastAsia" w:ascii="仿宋_GB2312" w:hAnsi="仿宋" w:eastAsia="仿宋_GB2312"/>
          <w:sz w:val="32"/>
          <w:lang w:val="en-US" w:eastAsia="zh-CN"/>
        </w:rPr>
        <w:t>10.99</w:t>
      </w:r>
      <w:r>
        <w:rPr>
          <w:rFonts w:hint="eastAsia" w:ascii="仿宋_GB2312" w:hAnsi="仿宋" w:eastAsia="仿宋_GB2312"/>
          <w:sz w:val="32"/>
        </w:rPr>
        <w:t>%，是指单位为完成特定行政工作任务或事业发展目标而发生的支出</w:t>
      </w:r>
      <w:r>
        <w:rPr>
          <w:rFonts w:hint="eastAsia" w:ascii="仿宋_GB2312" w:hAnsi="仿宋" w:eastAsia="仿宋_GB2312"/>
          <w:sz w:val="32"/>
          <w:lang w:eastAsia="zh-CN"/>
        </w:rPr>
        <w:t>。</w:t>
      </w:r>
    </w:p>
    <w:p w14:paraId="6FC6D75B">
      <w:pPr>
        <w:pStyle w:val="9"/>
        <w:numPr>
          <w:ilvl w:val="0"/>
          <w:numId w:val="1"/>
        </w:numPr>
        <w:spacing w:beforeLines="0" w:afterLines="0" w:line="570" w:lineRule="exact"/>
        <w:ind w:left="640" w:leftChars="0" w:firstLine="0" w:firstLineChars="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政府性基金预算支出情况。</w:t>
      </w:r>
    </w:p>
    <w:p w14:paraId="3BD81D34">
      <w:pPr>
        <w:pStyle w:val="9"/>
        <w:numPr>
          <w:ilvl w:val="0"/>
          <w:numId w:val="0"/>
        </w:numPr>
        <w:spacing w:beforeLines="0" w:afterLines="0" w:line="570" w:lineRule="exact"/>
        <w:ind w:left="640" w:leftChars="0"/>
        <w:jc w:val="left"/>
        <w:outlineLvl w:val="0"/>
        <w:rPr>
          <w:rFonts w:hint="eastAsia" w:ascii="Times New Roman" w:hAnsi="Times New Roman" w:eastAsia="仿宋_GB2312"/>
          <w:color w:val="000000"/>
          <w:sz w:val="32"/>
          <w:szCs w:val="24"/>
        </w:rPr>
      </w:pP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我单位无政府性基金预算支出情况</w:t>
      </w:r>
    </w:p>
    <w:p w14:paraId="1D9F4C88">
      <w:pPr>
        <w:pStyle w:val="9"/>
        <w:numPr>
          <w:ilvl w:val="0"/>
          <w:numId w:val="1"/>
        </w:numPr>
        <w:spacing w:beforeLines="0" w:afterLines="0" w:line="570" w:lineRule="exact"/>
        <w:ind w:left="640" w:leftChars="0" w:firstLine="0" w:firstLineChars="0"/>
        <w:jc w:val="left"/>
        <w:outlineLvl w:val="0"/>
        <w:rPr>
          <w:rFonts w:hint="eastAsia" w:ascii="Times New Roman" w:hAnsi="Times New Roman" w:eastAsia="黑体"/>
          <w:sz w:val="32"/>
          <w:szCs w:val="24"/>
          <w:lang w:eastAsia="zh-CN"/>
        </w:rPr>
      </w:pPr>
      <w:r>
        <w:rPr>
          <w:rFonts w:hint="eastAsia" w:ascii="Times New Roman" w:hAnsi="Times New Roman" w:eastAsia="黑体"/>
          <w:sz w:val="32"/>
          <w:szCs w:val="24"/>
        </w:rPr>
        <w:t>国有资本经营预算支出情</w:t>
      </w:r>
      <w:r>
        <w:rPr>
          <w:rFonts w:hint="eastAsia" w:ascii="Times New Roman" w:hAnsi="Times New Roman" w:eastAsia="黑体"/>
          <w:sz w:val="32"/>
          <w:szCs w:val="24"/>
          <w:lang w:eastAsia="zh-CN"/>
        </w:rPr>
        <w:t>。</w:t>
      </w:r>
    </w:p>
    <w:p w14:paraId="63891F3C">
      <w:pPr>
        <w:pStyle w:val="9"/>
        <w:numPr>
          <w:ilvl w:val="0"/>
          <w:numId w:val="0"/>
        </w:numPr>
        <w:spacing w:beforeLines="0" w:afterLines="0" w:line="570" w:lineRule="exact"/>
        <w:ind w:left="640" w:leftChars="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我单位无国有资本经营预算支出情况</w:t>
      </w:r>
    </w:p>
    <w:p w14:paraId="4CAD22BD">
      <w:pPr>
        <w:pStyle w:val="9"/>
        <w:numPr>
          <w:ilvl w:val="0"/>
          <w:numId w:val="1"/>
        </w:numPr>
        <w:spacing w:beforeLines="0" w:afterLines="0" w:line="570" w:lineRule="exact"/>
        <w:ind w:left="640" w:leftChars="0" w:firstLine="0" w:firstLineChars="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社会保险基金预算支出情况。</w:t>
      </w:r>
    </w:p>
    <w:p w14:paraId="56FAF1B7">
      <w:pPr>
        <w:pStyle w:val="9"/>
        <w:numPr>
          <w:ilvl w:val="0"/>
          <w:numId w:val="0"/>
        </w:numPr>
        <w:spacing w:beforeLines="0" w:afterLines="0" w:line="570" w:lineRule="exact"/>
        <w:ind w:left="640" w:leftChars="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我单位无社会保险基金预算支出情况</w:t>
      </w:r>
    </w:p>
    <w:p w14:paraId="433B501B">
      <w:pPr>
        <w:spacing w:beforeLines="0" w:afterLines="0" w:line="570" w:lineRule="exact"/>
        <w:ind w:firstLine="645"/>
        <w:jc w:val="left"/>
        <w:outlineLvl w:val="0"/>
        <w:rPr>
          <w:rFonts w:hint="default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六、部门整体支出绩效情况</w:t>
      </w:r>
    </w:p>
    <w:p w14:paraId="2421FE05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eastAsia="仿宋_GB2312"/>
          <w:color w:val="000000"/>
          <w:sz w:val="32"/>
          <w:szCs w:val="24"/>
        </w:rPr>
        <w:t>总结归纳本部门（单位）“四本预算”支出的绩效目标完成情况，实现产出和取得效益的情况。围绕部门（单位）职责、行业发展规划，以预算资金管理为主线，总结部门（单位）资产管理和开展业务情况，从运行成本、管理效率、履职效能、社会效应、可持续发展能力和服务对象满意度等方面，衡量部门（单位）整体及核心业务实施效果。</w:t>
      </w:r>
      <w:r>
        <w:rPr>
          <w:rFonts w:hint="eastAsia" w:ascii="仿宋_GB2312" w:hAnsi="仿宋" w:eastAsia="仿宋_GB2312"/>
          <w:sz w:val="32"/>
        </w:rPr>
        <w:t>我单位组织对202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年度部门整体支出和专项资金实施了全覆盖性的绩效评价，撰写了整体支出绩效评价报告和项目支出绩效评价报告。涉及项目</w:t>
      </w:r>
      <w:r>
        <w:rPr>
          <w:rFonts w:hint="eastAsia" w:ascii="仿宋_GB2312" w:hAnsi="仿宋" w:eastAsia="仿宋_GB2312"/>
          <w:sz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</w:rPr>
        <w:t>个，涉及一般公共预算当年财政拨款1</w:t>
      </w:r>
      <w:r>
        <w:rPr>
          <w:rFonts w:hint="eastAsia" w:ascii="仿宋_GB2312" w:hAnsi="仿宋" w:eastAsia="仿宋_GB2312"/>
          <w:sz w:val="32"/>
          <w:lang w:val="en-US" w:eastAsia="zh-CN"/>
        </w:rPr>
        <w:t>21.16</w:t>
      </w:r>
      <w:r>
        <w:rPr>
          <w:rFonts w:hint="eastAsia" w:ascii="仿宋_GB2312" w:hAnsi="仿宋" w:eastAsia="仿宋_GB2312"/>
          <w:sz w:val="32"/>
        </w:rPr>
        <w:t>万元，自评覆盖率达到100%。绩效自评结果显示，上述项目支出绩效情况较为理想，均达到了项目申请时设定的各项绩效目标。</w:t>
      </w:r>
    </w:p>
    <w:p w14:paraId="582FFE53">
      <w:pPr>
        <w:snapToGrid w:val="0"/>
        <w:spacing w:line="360" w:lineRule="auto"/>
        <w:ind w:firstLine="640" w:firstLineChars="200"/>
        <w:rPr>
          <w:rFonts w:hint="default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七、存在的问题及原因分析</w:t>
      </w:r>
    </w:p>
    <w:p w14:paraId="0E37DB05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eastAsia="仿宋_GB2312"/>
          <w:color w:val="000000"/>
          <w:sz w:val="32"/>
          <w:szCs w:val="24"/>
        </w:rPr>
        <w:t>可以从预算和预算绩效管理，部门履职效能，资金分配、使用和管理，资产和财务管理、政府采购等方面归纳存在的问题；</w:t>
      </w:r>
      <w:r>
        <w:rPr>
          <w:rFonts w:hint="eastAsia" w:eastAsia="仿宋_GB2312"/>
          <w:spacing w:val="-6"/>
          <w:sz w:val="32"/>
          <w:szCs w:val="24"/>
        </w:rPr>
        <w:t>反映各种</w:t>
      </w:r>
      <w:r>
        <w:rPr>
          <w:rFonts w:hint="eastAsia" w:eastAsia="仿宋_GB2312"/>
          <w:color w:val="000000"/>
          <w:spacing w:val="-6"/>
          <w:sz w:val="32"/>
          <w:szCs w:val="24"/>
        </w:rPr>
        <w:t>预算支出执行偏离绩效目标的情况，</w:t>
      </w:r>
      <w:r>
        <w:rPr>
          <w:rFonts w:hint="eastAsia" w:eastAsia="仿宋_GB2312"/>
          <w:spacing w:val="-6"/>
          <w:sz w:val="32"/>
          <w:szCs w:val="24"/>
        </w:rPr>
        <w:t>并分析其原因。</w:t>
      </w:r>
      <w:r>
        <w:rPr>
          <w:rFonts w:hint="eastAsia" w:eastAsia="仿宋_GB2312"/>
          <w:spacing w:val="-6"/>
          <w:sz w:val="32"/>
          <w:szCs w:val="24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sz w:val="32"/>
        </w:rPr>
        <w:t>1、预算执行有偏差。主要原因为部门预算收支核算不规范，支出标准不严格等，以后要加强新《预算法》、《行政单位会计制度》等学习培训，规范部门预算收支核算，制定和完善基本支出、项目支出等各项支出标准，严格按项目和进度执行预算，增强预算的约束力和严肃性。落实预算执行分析，及时了解预算执行差异，合理调整、纠正预算执行偏差，切实提高部门预算收支管理水平。</w:t>
      </w:r>
    </w:p>
    <w:p w14:paraId="4D4A18DA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、预算管理不到位，预算科学性不高。预算编制前根据年度内单位可预见的工作任务，确定单位年度预算目标，细化预算指标，科学合理编制部门预算，推进预算编制科学化、准确化。加强预算执行管理，年度预算编制后，根据实际情况，定期做好预算执行分析，掌握预算执行进度，及时找出预算实际执行情况与预算目标之间存在的差异，采取有效措施纠正偏差，提高预算执行的时效性和均衡性，同时为下一次科学、准确地编制部门预算积累经验。严格控制年末结转结余，对于预算实施进度偏慢、支出进度较低、存量资金数额较大的项目，要加强组织领导，分工明确，落实相关责任，责任到人，同时加大监管力度，把预算执行工作抓紧抓好抓落实，达到提高财政资金使用效益的目的。</w:t>
      </w:r>
    </w:p>
    <w:p w14:paraId="629C4066">
      <w:pPr>
        <w:snapToGrid w:val="0"/>
        <w:spacing w:line="360" w:lineRule="auto"/>
        <w:ind w:firstLine="640" w:firstLineChars="200"/>
        <w:rPr>
          <w:rFonts w:hint="eastAsia" w:eastAsia="黑体"/>
          <w:sz w:val="32"/>
          <w:szCs w:val="24"/>
          <w:lang w:eastAsia="zh-CN"/>
        </w:rPr>
      </w:pPr>
      <w:r>
        <w:rPr>
          <w:rFonts w:hint="eastAsia" w:eastAsia="黑体"/>
          <w:sz w:val="32"/>
          <w:szCs w:val="24"/>
        </w:rPr>
        <w:t>八、下一步改进措</w:t>
      </w:r>
      <w:r>
        <w:rPr>
          <w:rFonts w:hint="eastAsia" w:eastAsia="黑体"/>
          <w:sz w:val="32"/>
          <w:szCs w:val="24"/>
          <w:lang w:eastAsia="zh-CN"/>
        </w:rPr>
        <w:t>。</w:t>
      </w:r>
    </w:p>
    <w:p w14:paraId="1E7E77CD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</w:rPr>
        <w:t>、绩效评价指标体系建议不完善。以后要不断改进，优化绩效评价指标计分标准。绩效评价指标应可比性强，便于部门之间的比较，让评价结果更加公平公正。</w:t>
      </w:r>
    </w:p>
    <w:p w14:paraId="58A01FF4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</w:rPr>
        <w:t>、绩效评价质量不高。以后在推进自身评价工作开展时，结合评价工作实际，完善部门评价特性指标，规范评价标准，立足管理需求，预设评价重点，确保绩效评价结果公正、客观、精准，做到评价结果客观公正、实事求是，真实反映绩效，如实反映问题，切实提高评价质量。</w:t>
      </w:r>
    </w:p>
    <w:p w14:paraId="40F6140B">
      <w:pPr>
        <w:snapToGrid w:val="0"/>
        <w:spacing w:line="360" w:lineRule="auto"/>
        <w:ind w:firstLine="640" w:firstLineChars="200"/>
        <w:rPr>
          <w:rFonts w:hint="default" w:eastAsia="黑体"/>
          <w:sz w:val="32"/>
          <w:szCs w:val="24"/>
        </w:rPr>
      </w:pPr>
    </w:p>
    <w:p w14:paraId="7DFCB636">
      <w:pPr>
        <w:snapToGrid w:val="0"/>
        <w:spacing w:line="360" w:lineRule="auto"/>
        <w:ind w:firstLine="640" w:firstLineChars="200"/>
        <w:rPr>
          <w:rFonts w:hint="eastAsia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九、部门整体支出绩效自评结果拟应用和公开情况</w:t>
      </w:r>
    </w:p>
    <w:p w14:paraId="0B60001E">
      <w:pPr>
        <w:snapToGrid w:val="0"/>
        <w:spacing w:line="360" w:lineRule="auto"/>
        <w:ind w:firstLine="640" w:firstLineChars="2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本年度我单位按要求开展了单位决算及绩效信息公开工作。</w:t>
      </w:r>
    </w:p>
    <w:p w14:paraId="2A1382C2">
      <w:pPr>
        <w:snapToGrid w:val="0"/>
        <w:spacing w:line="360" w:lineRule="auto"/>
        <w:ind w:firstLine="640" w:firstLineChars="200"/>
        <w:rPr>
          <w:rFonts w:hint="eastAsia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其他需要说明的情况</w:t>
      </w:r>
    </w:p>
    <w:p w14:paraId="72B97DF7">
      <w:pPr>
        <w:snapToGrid w:val="0"/>
        <w:spacing w:line="360" w:lineRule="auto"/>
        <w:ind w:firstLine="640" w:firstLineChars="200"/>
        <w:rPr>
          <w:rFonts w:hint="eastAsia" w:eastAsia="黑体"/>
          <w:sz w:val="32"/>
          <w:szCs w:val="24"/>
          <w:lang w:eastAsia="zh-CN"/>
        </w:rPr>
      </w:pPr>
      <w:r>
        <w:rPr>
          <w:rFonts w:hint="eastAsia" w:eastAsia="黑体"/>
          <w:sz w:val="32"/>
          <w:szCs w:val="24"/>
          <w:lang w:eastAsia="zh-CN"/>
        </w:rPr>
        <w:t>无</w:t>
      </w:r>
    </w:p>
    <w:p w14:paraId="690C7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30BE9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1BB0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年度部门整体支出绩效评价基础数据表</w:t>
      </w:r>
    </w:p>
    <w:tbl>
      <w:tblPr>
        <w:tblStyle w:val="7"/>
        <w:tblW w:w="9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062"/>
        <w:gridCol w:w="784"/>
        <w:gridCol w:w="1228"/>
        <w:gridCol w:w="1062"/>
        <w:gridCol w:w="1027"/>
        <w:gridCol w:w="1045"/>
      </w:tblGrid>
      <w:tr w14:paraId="602FA7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B5162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财政供养人员情况（人）</w:t>
            </w:r>
          </w:p>
        </w:tc>
        <w:tc>
          <w:tcPr>
            <w:tcW w:w="18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6644D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编制数</w:t>
            </w:r>
          </w:p>
        </w:tc>
        <w:tc>
          <w:tcPr>
            <w:tcW w:w="22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F723D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年实际在职人数</w:t>
            </w:r>
          </w:p>
        </w:tc>
        <w:tc>
          <w:tcPr>
            <w:tcW w:w="207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ECB9E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控制率</w:t>
            </w:r>
          </w:p>
        </w:tc>
      </w:tr>
      <w:tr w14:paraId="5385A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CBF38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1327C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FAE16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01246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26A94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29DD4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经费控制情况（万元）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938B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F9B98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年预算数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AAB4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</w:tr>
      <w:tr w14:paraId="0282A6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CE74B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一、部门基本支出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EF575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149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898F8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127.36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7AFBA0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111.5</w:t>
            </w:r>
          </w:p>
        </w:tc>
      </w:tr>
      <w:tr w14:paraId="55A36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A33C3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020D7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490A9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368F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 w14:paraId="36D9B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E12E49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其中：办公费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CE565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11.04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64106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27.5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080B9B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12.34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493C3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3F4888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水费、电费、差旅费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3BDD6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F44B3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E740B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64C9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D01B49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会议费、培训费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3A754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41CD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7C802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CBBD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A92F27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三公经费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FACEB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0.79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3CC69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0361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5D2C5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F0662B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1.公务用车购置和维护经费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7C3AB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0B7A6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56E9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4317A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8606ED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其中：公务车购置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C279C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AA0C0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7533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260480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CBF84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公务车运行维护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408CD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713A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5BB05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76A45E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69CF6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2.出国经费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2A77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09077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33F87E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B62E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6C4A4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3.公务接待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6CE504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0.79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71E5A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3B63D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77EA7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CD3B2C">
            <w:pPr>
              <w:spacing w:beforeLines="0" w:afterLines="0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二、项目支出小计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0D0C4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43.38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9B4BC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6B2C99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9.6</w:t>
            </w:r>
          </w:p>
        </w:tc>
      </w:tr>
      <w:tr w14:paraId="7880E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6C5D0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1.（一个项目一行）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0B89C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B3D2B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F9ED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E1872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A79C6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……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4F290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7275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DC89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EE5E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63A37B">
            <w:pPr>
              <w:spacing w:beforeLines="0" w:afterLines="0"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2.（一个专项一行）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1B9AF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BB7A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368C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12948F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BE361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……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F8A13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6BBA6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9D5AC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F3A2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CC4C1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3.（一个项目一行） 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1BADE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A2BA2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535165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EB2BE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4EB55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……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A21D8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185C0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ABA63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FF52C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BA8BA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政府采购金额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22F5A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0F0F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4C26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1.07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52693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07526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部门基本支出预算调整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11B52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5CA9F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08E0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5888F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40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F9784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楼堂馆所控制情况</w:t>
            </w:r>
          </w:p>
          <w:p w14:paraId="2EF9A0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年完工项目）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E59C2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批复规模</w:t>
            </w:r>
          </w:p>
          <w:p w14:paraId="1F4D849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（㎡）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B185E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实际规模（㎡）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09A0B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规模控制率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48B46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预算投资（万元）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C6C94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实际投资（万元）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4709F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投资概算控制率</w:t>
            </w:r>
          </w:p>
        </w:tc>
      </w:tr>
      <w:tr w14:paraId="10F17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068AB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98D78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F8CB1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9BDF2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F4215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577DD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E7341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0D216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9691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厉行节约保障措施</w:t>
            </w:r>
          </w:p>
        </w:tc>
        <w:tc>
          <w:tcPr>
            <w:tcW w:w="62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08A7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</w:tbl>
    <w:p w14:paraId="3A0C1B3C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670141F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说明：“项目支出”需要填报基本支出以外的所有项目支出情况，“公用经费”填报基本支出中的一般商品和服务支出。</w:t>
      </w:r>
    </w:p>
    <w:p w14:paraId="68C47F66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BA74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sz w:val="32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陈润凤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2026年5月20日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13510845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张政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67CAD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年度部门整体支出绩效自评表</w:t>
      </w:r>
    </w:p>
    <w:tbl>
      <w:tblPr>
        <w:tblStyle w:val="7"/>
        <w:tblW w:w="93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"/>
        <w:gridCol w:w="948"/>
        <w:gridCol w:w="930"/>
        <w:gridCol w:w="1078"/>
        <w:gridCol w:w="68"/>
        <w:gridCol w:w="1078"/>
        <w:gridCol w:w="1202"/>
        <w:gridCol w:w="718"/>
        <w:gridCol w:w="884"/>
        <w:gridCol w:w="1443"/>
      </w:tblGrid>
      <w:tr w14:paraId="5F198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74DC1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级预算部门名称</w:t>
            </w:r>
          </w:p>
        </w:tc>
        <w:tc>
          <w:tcPr>
            <w:tcW w:w="8349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215098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双牌县卫生健康综合监督执法大队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D5A0F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4F1AB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年度预</w:t>
            </w:r>
          </w:p>
          <w:p w14:paraId="709B353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算申请</w:t>
            </w:r>
          </w:p>
          <w:p w14:paraId="507E1C5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7E9C4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E53BF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年初预算数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511F1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全年预算数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54510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全年执行数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22D3C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080E5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CFDC3D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70B6F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2C352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BFE77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2470B4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127.36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6766E4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127.36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B7F55B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121.1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AFBA5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75FD7D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95%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1A9532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422D3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FC1B7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04727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按收入性质分：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9F0FC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按支出性质分：</w:t>
            </w:r>
          </w:p>
        </w:tc>
      </w:tr>
      <w:tr w14:paraId="2CB5F9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757F7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C77BA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其中：  一般公共预算：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127.36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F6F270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其中：基本支出：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111.5</w:t>
            </w:r>
          </w:p>
        </w:tc>
      </w:tr>
      <w:tr w14:paraId="653AC4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81BA6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D6DCCF">
            <w:pPr>
              <w:spacing w:beforeLines="0" w:afterLines="0" w:line="240" w:lineRule="exact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政府性基金拨款：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1B6556">
            <w:pPr>
              <w:spacing w:beforeLines="0" w:afterLines="0" w:line="240" w:lineRule="exact"/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9.6</w:t>
            </w:r>
          </w:p>
        </w:tc>
      </w:tr>
      <w:tr w14:paraId="07512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6ACA2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CCA9A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纳入专户管理的非税收入拨款：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95002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B1B5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33B58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9C0127">
            <w:pPr>
              <w:spacing w:beforeLines="0" w:afterLines="0" w:line="240" w:lineRule="exact"/>
              <w:ind w:firstLine="1680" w:firstLineChars="7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DF2AB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541E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7E57E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430EB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A10A73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491E5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E9E10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D4342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kern w:val="0"/>
              </w:rPr>
              <w:t>我单位在</w:t>
            </w:r>
            <w:r>
              <w:rPr>
                <w:rFonts w:hint="eastAsia" w:ascii="仿宋_GB2312" w:hAnsi="仿宋_GB2312" w:eastAsia="宋体"/>
                <w:kern w:val="0"/>
                <w:lang w:eastAsia="zh-CN"/>
              </w:rPr>
              <w:t>县委、县政府</w:t>
            </w:r>
            <w:r>
              <w:rPr>
                <w:rFonts w:hint="eastAsia" w:ascii="仿宋_GB2312" w:hAnsi="仿宋_GB2312"/>
                <w:kern w:val="0"/>
              </w:rPr>
              <w:t>的正确领导之下，公正严明，秉公执法，认真完成上级和</w:t>
            </w:r>
            <w:r>
              <w:rPr>
                <w:rFonts w:hint="eastAsia" w:ascii="仿宋_GB2312" w:hAnsi="仿宋_GB2312" w:eastAsia="宋体"/>
                <w:kern w:val="0"/>
                <w:lang w:eastAsia="zh-CN"/>
              </w:rPr>
              <w:t>县委、县政府</w:t>
            </w:r>
            <w:r>
              <w:rPr>
                <w:rFonts w:hint="eastAsia" w:ascii="仿宋_GB2312" w:hAnsi="仿宋_GB2312"/>
                <w:kern w:val="0"/>
              </w:rPr>
              <w:t>交办的各项工作任务，做好各项卫生监督检查，坚决打击“两非”、非法行医，净化双牌的食品和医疗服务市场，为创建和谐、文明的双牌而努力。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E632A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圆满完成各项工作任务</w:t>
            </w:r>
          </w:p>
        </w:tc>
      </w:tr>
      <w:tr w14:paraId="6C9DD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08E3B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13E27C9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2771BFF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03C176E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  <w:p w14:paraId="2805692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34338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206B0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61065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85F2B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年度指标值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92711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实际完成值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F3F8C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FA6D6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84AD7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偏差原因分析及改进措施</w:t>
            </w:r>
          </w:p>
        </w:tc>
      </w:tr>
      <w:tr w14:paraId="600EA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16C21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E9F88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产出指标</w:t>
            </w:r>
          </w:p>
          <w:p w14:paraId="1FB43B1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(50分)</w:t>
            </w: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B4009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重点工作</w:t>
            </w:r>
          </w:p>
          <w:p w14:paraId="2837B93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任务完成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6A88F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监督检查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9C3F1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365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9D5435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365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CCE83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9B127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E1FB36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EEE5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DC7CE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F6300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A5A8A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3F274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双随机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F469A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C7515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37BB4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9E9093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C448A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CE29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6DE9B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4004E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90E66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7D8ED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CAC84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D58F6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3FFBC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238E4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8DDD0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1ACA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988C0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48237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C7C99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58B8D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DBA88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CC3E8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19B4A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56AAE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FD1DB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451B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56875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7D1EE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F857C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D8A80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6A081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902C7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A4128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CF3D9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88759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A074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68461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E72B8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8B261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B4FDC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0FEF2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DA4F0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A3AE8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74270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CD065B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560DC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9678B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3B757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861E9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履职目</w:t>
            </w:r>
          </w:p>
          <w:p w14:paraId="3583036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标实现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4C7BF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全年工作任务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75CE69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07B38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573FA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F2F9C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29C26E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F1B5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B7E8F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9CFEE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07D59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891F6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0D487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0DD35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BBC50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20D2A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90351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A0A6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1E8C3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BFC22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12142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8C206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26B03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7F9C8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630F8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B9112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2FFEA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597F5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67EE5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EDC0A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2BEA7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1C2CD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398B3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DF9E1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7A0F2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67904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B80AF4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DEC37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1EAC9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0881D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7E472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0E5AC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7D597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665DA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B1EE8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2C552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39D231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FB7A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80F89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66214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99F28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D3346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897E3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043C1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8313A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358D7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108CD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B369D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3E16D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E165C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效益指标</w:t>
            </w:r>
          </w:p>
          <w:p w14:paraId="3379DE0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0分）</w:t>
            </w:r>
          </w:p>
          <w:p w14:paraId="75C3EAF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  <w:p w14:paraId="611839F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215E7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</w:t>
            </w:r>
          </w:p>
          <w:p w14:paraId="41F00AA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35535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kern w:val="0"/>
              </w:rPr>
              <w:t>不超过预算总成本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91535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127.36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4927A7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121.1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15D928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27A0CB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01834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9D39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A2C49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A7930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F4547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07DD6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D35C3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7CB38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B307E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9D2D0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731BD0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1229C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2BB31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42B92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1A518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3B8B2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78A06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41B65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ABD9A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0B911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0C9427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0A2D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4D75D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5FACD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B34E7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19259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kern w:val="0"/>
              </w:rPr>
              <w:t>完成任务指标/加强财政资金管理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BB0FB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FEF6B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8238FB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E4904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B9857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5B425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8D8A0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C23E0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9E284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AFD2B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33467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68C02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210C6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416A4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55AA57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5D84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C705F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C6C6B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35087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1831D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67816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67911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2333B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7BF25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43B661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EEC3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CF135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CB706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8227C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9F578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564C9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D8FA9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67222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41179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BBDF9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8392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0E78E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16B1E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1490C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22124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F5746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5AFC5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AD367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7ED94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0C34FE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2979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DA228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CFFD3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2E02E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94D48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23C2B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815D5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54EB7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A3A6F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58F25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3453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B1740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2C7E8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8D424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E7727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kern w:val="0"/>
              </w:rPr>
              <w:t>服务对象满意度指标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42A4D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9DD74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5E15F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56155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BA76F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511B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AEBCD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08AD6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9CAE6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A720D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DFE82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AABD1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C9EEF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37BE1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36F6FE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297B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C8629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1E974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55E00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6FC65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B046A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03997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F0E18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B52ED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6BDB2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E401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83E41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74020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D2FD5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9BE69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4505A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2C4EB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5C10A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3757A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B8BAB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D808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288C5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95B2A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4D5D6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36107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14B2B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817C0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D618D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E6535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1046B4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F503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FD991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B8C4F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71D0B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DD2ED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86F63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D2BD5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D3B48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7429B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101FC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D65F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6266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897FF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EF9A3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D7AC6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976B8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78A01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eastAsia="zh-CN"/>
        </w:rPr>
        <w:t>陈润凤</w:t>
      </w:r>
      <w:r>
        <w:rPr>
          <w:rFonts w:hint="eastAsia" w:eastAsia="仿宋_GB2312"/>
          <w:sz w:val="22"/>
          <w:szCs w:val="24"/>
        </w:rPr>
        <w:t xml:space="preserve">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2026年5月20日</w:t>
      </w:r>
      <w:r>
        <w:rPr>
          <w:rFonts w:hint="eastAsia" w:eastAsia="仿宋_GB2312"/>
          <w:sz w:val="22"/>
          <w:szCs w:val="24"/>
        </w:rPr>
        <w:t xml:space="preserve">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>13517445</w:t>
      </w:r>
      <w:r>
        <w:rPr>
          <w:rFonts w:hint="eastAsia" w:eastAsia="仿宋_GB2312"/>
          <w:sz w:val="22"/>
          <w:szCs w:val="24"/>
        </w:rPr>
        <w:t xml:space="preserve">        单位负责人签字：</w:t>
      </w:r>
      <w:r>
        <w:rPr>
          <w:rFonts w:hint="eastAsia" w:eastAsia="仿宋_GB2312"/>
          <w:sz w:val="22"/>
          <w:szCs w:val="24"/>
          <w:lang w:eastAsia="zh-CN"/>
        </w:rPr>
        <w:t>张政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7A354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7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71BA9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75BD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B940C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E6DE9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公共卫生服务费</w:t>
            </w:r>
          </w:p>
        </w:tc>
      </w:tr>
      <w:tr w14:paraId="02D545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ADE09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59F8D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BCABB2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9.6万元</w:t>
            </w:r>
          </w:p>
        </w:tc>
      </w:tr>
      <w:tr w14:paraId="61AFCC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3D8D1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1F08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3136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双牌县卫生健康局</w:t>
            </w:r>
          </w:p>
        </w:tc>
      </w:tr>
      <w:tr w14:paraId="09F24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84D3F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F5537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03C3F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保证卫生监督协管工作开展的工作经费</w:t>
            </w:r>
          </w:p>
        </w:tc>
      </w:tr>
      <w:tr w14:paraId="60F40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325D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48A0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8D135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主要用于卫生监督协管的差旅费、交通费、办公费、委托业务费等方面支出</w:t>
            </w:r>
          </w:p>
        </w:tc>
      </w:tr>
      <w:tr w14:paraId="35EF1D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C3C62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0511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AD39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45CA2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本年度项目绩效目标稳步落实，各项产出，效益，满意度指标基本完成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项目实施规范有序，资金专款专用，支出合规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。</w:t>
            </w:r>
          </w:p>
          <w:p w14:paraId="76AF55A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2973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E388B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4FDE7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C7E5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2A06EB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存在部分工作推进不够精细问题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。</w:t>
            </w:r>
          </w:p>
          <w:p w14:paraId="15330DE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2BB53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50D40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A8A1F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FC0D6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下一步将强化过程管理，补齐短板，全面提升项目绩效水平。</w:t>
            </w:r>
          </w:p>
        </w:tc>
      </w:tr>
      <w:tr w14:paraId="53373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5E54B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0D949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CCA0B2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E227FF1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6E0E053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7D7D5532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4B5049C2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陈润凤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2026年5月20日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13517465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张政</w:t>
      </w:r>
    </w:p>
    <w:p w14:paraId="581E89B9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795FE2E4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0AEF1418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4825A042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DC0BF56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3332DAB7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314F1A7D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5FECCB63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1D09701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5A0A708C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D4DAD30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4E962EA9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5FE9F4C9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DBF3FEB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5C5729C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8FB9DB0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5FD76522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761B793B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1F7507F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04302AA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1702D98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3178180F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7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57A6A4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D70ECD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65DBE161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19124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公共卫生服务费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55C50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5B708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724D0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双牌县卫生健康局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EC9D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26B3CF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卫生健康综合监督执法大队</w:t>
            </w:r>
          </w:p>
        </w:tc>
      </w:tr>
      <w:tr w14:paraId="65A018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2D8E8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3B8CCA4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D644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389AF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4F559F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68898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6E5F42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0B9A6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76DE6E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C4A8D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361D9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8FE49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035A2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6415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4AB26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80EDC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9.6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64D70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9.6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F07A8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9.6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8C2E7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18D98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52CF6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 w14:paraId="3DA937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0B86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DCE8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68F42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7DF94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9.6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92A50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CB34F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27A4F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F94DF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973A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BA997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8BEA92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0CAEC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0ECBD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E1D43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32D3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CDE74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F2DD5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0A3D6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A7D02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18B974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F0A34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A47B1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99C2A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E4FFC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841CA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EF0D58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CD3C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65449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46791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C3DA0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6332C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57EF9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E779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完成监督协管各项工作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086B9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在规定时间内已完成监督协管各项工作</w:t>
            </w:r>
          </w:p>
        </w:tc>
      </w:tr>
      <w:tr w14:paraId="346B2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12D6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24DD7EC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470E641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0BC415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3AF68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091F1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2BF71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DE66A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7F9821D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E60A8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06F1D91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14FC0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4932A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5A6929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21C0081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556B23E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0F3BE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6D1A5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0F4FE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167272D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CFEB9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2CC0A9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0106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  <w:lang w:eastAsia="zh-CN"/>
              </w:rPr>
              <w:t>公共卫生服务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费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326E1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C20A3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7B9DD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B724F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B726B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B719D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D7487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FBAE1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5E957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07F65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4F41A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2CCE3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CA361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C9020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C8BEF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3135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0BC49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E2C74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4F49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社会成</w:t>
            </w:r>
          </w:p>
          <w:p w14:paraId="5936493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35D54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A8C38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5B7AC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F892A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9FBF2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2DED4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A197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C78B7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4CAB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64EE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4444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E307F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B3A35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CFDD2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3DC52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DB5D3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C7970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14760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C3B4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4BC8B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生态环境</w:t>
            </w:r>
          </w:p>
          <w:p w14:paraId="1F647F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6C77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b/>
                <w:bCs/>
                <w:color w:val="000000"/>
                <w:kern w:val="0"/>
              </w:rPr>
              <w:t>生态效益情况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A4B8B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58189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E56AA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962C1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725A7B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2FE7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07711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509E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BEA2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E5F42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6C4C0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CE871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576C4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024AA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60F8E7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53262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1345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93E1F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6CA5FBB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（40分）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C10AD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17555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  <w:lang w:eastAsia="zh-CN"/>
              </w:rPr>
              <w:t>公共卫生服务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费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B0BE6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897AF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D5257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079E7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3AFBB0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5F19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5A02C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E20B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D7536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B1428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F4C74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F93E5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858E8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B907E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D80FA7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C99BE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882F1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7463B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89EF0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5BEDE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保质保量完成监督协管工作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E3932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E3029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F6EFE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5FBD1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B2AB3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EADD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0878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C4EC7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AA264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400E4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5B717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1D18E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596E8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8DEFD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94307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47CC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ED206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1F461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51DB0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E3018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2025年度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E8136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6E9FB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30684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0DEB6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55828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59B86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93811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CC0DC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6BB3E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80840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7915D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CB630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8107C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29148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4788A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09DD3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029D5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EDF1F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497E87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639AE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经济效</w:t>
            </w:r>
          </w:p>
          <w:p w14:paraId="0EF680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9EC1C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  <w:lang w:eastAsia="zh-CN"/>
              </w:rPr>
              <w:t>公共卫生服务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费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BDF9D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41CFD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7D1DC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04D14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C5AFC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5A0E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A72EC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E4EEE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1405F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D670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45CAB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9804A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F0B1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45C64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3DE88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5CBE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C114F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72A2B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629F3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生态效</w:t>
            </w:r>
          </w:p>
          <w:p w14:paraId="1DA040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BE457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b w:val="0"/>
                <w:bCs w:val="0"/>
                <w:color w:val="000000"/>
                <w:kern w:val="0"/>
              </w:rPr>
              <w:t>生态效益情况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B2FDD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F2265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D813B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D1D1E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54AC1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BEC16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8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DBDAE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A17B2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5606B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E9210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4FB15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2AAD4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7D3A5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25E14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682BF2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F79A5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A24D5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40E87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05D18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社会效</w:t>
            </w:r>
          </w:p>
          <w:p w14:paraId="44D1DA6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1F7B3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b w:val="0"/>
                <w:bCs w:val="0"/>
                <w:color w:val="000000"/>
                <w:kern w:val="0"/>
              </w:rPr>
              <w:t>群众满意度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341B8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96FCE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08AD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5EC5A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476C3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6D402F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FD831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613CD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C167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DE869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4A4A4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435D7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6A0F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9C8D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3A6333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0C2D9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A3E2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794F6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3E6DEF7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24472DB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6E20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7EC79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63348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71EA2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690F3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3E5C0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D068C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9ECC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28A04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3CB4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CC819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01DCB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99751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B3F38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47121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9251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5650A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C135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25C4B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F79B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B2F38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270850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26991B4D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0EBA80D6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4BE3020">
      <w:pPr>
        <w:spacing w:beforeLines="0" w:afterLines="0"/>
        <w:jc w:val="left"/>
        <w:rPr>
          <w:rFonts w:hint="eastAsia" w:eastAsiaTheme="minorEastAsia"/>
          <w:sz w:val="22"/>
          <w:szCs w:val="24"/>
          <w:lang w:eastAsia="zh-CN"/>
        </w:rPr>
        <w:sectPr>
          <w:footerReference r:id="rId4" w:type="default"/>
          <w:footerReference r:id="rId5" w:type="even"/>
          <w:pgSz w:w="11905" w:h="16837"/>
          <w:pgMar w:top="1440" w:right="1701" w:bottom="1440" w:left="1701" w:header="851" w:footer="1474" w:gutter="0"/>
          <w:lnNumType w:countBy="0" w:distance="360"/>
          <w:pgNumType w:fmt="numberInDash" w:start="1"/>
          <w:cols w:space="0" w:num="1"/>
          <w:rtlGutter w:val="0"/>
          <w:docGrid w:type="lines" w:linePitch="636" w:charSpace="0"/>
        </w:sect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陈润凤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2026年5月20日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13517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张政</w:t>
      </w:r>
    </w:p>
    <w:p w14:paraId="656360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70715">
    <w:pPr>
      <w:pStyle w:val="5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2C4EA2">
                          <w:pPr>
                            <w:pStyle w:val="5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TgMv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j/nzAlLA798/3b58evy8ytb&#10;Jn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k4DL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2C4EA2">
                    <w:pPr>
                      <w:pStyle w:val="5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9CD39">
    <w:pPr>
      <w:pStyle w:val="5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B4FB8">
                          <w:pPr>
                            <w:pStyle w:val="5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dlBH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q84c8LSwC/fv11+/Lr8/Mqe&#10;J3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XZQR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3B4FB8">
                    <w:pPr>
                      <w:pStyle w:val="5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9AB38"/>
    <w:multiLevelType w:val="multilevel"/>
    <w:tmpl w:val="DBF9AB38"/>
    <w:lvl w:ilvl="0" w:tentative="0">
      <w:start w:val="1"/>
      <w:numFmt w:val="chineseCounting"/>
      <w:suff w:val="nothing"/>
      <w:lvlText w:val="（%1）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1">
    <w:nsid w:val="1B1D5EDB"/>
    <w:multiLevelType w:val="singleLevel"/>
    <w:tmpl w:val="1B1D5EDB"/>
    <w:lvl w:ilvl="0" w:tentative="0">
      <w:start w:val="2"/>
      <w:numFmt w:val="decimal"/>
      <w:suff w:val="nothing"/>
      <w:lvlText w:val="%1．"/>
      <w:lvlJc w:val="left"/>
    </w:lvl>
  </w:abstractNum>
  <w:abstractNum w:abstractNumId="2">
    <w:nsid w:val="57EB91F6"/>
    <w:multiLevelType w:val="multilevel"/>
    <w:tmpl w:val="57EB91F6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16981"/>
    <w:rsid w:val="05763412"/>
    <w:rsid w:val="113328DF"/>
    <w:rsid w:val="70284C37"/>
    <w:rsid w:val="77B1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Times New Roman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index 7"/>
    <w:basedOn w:val="1"/>
    <w:next w:val="1"/>
    <w:qFormat/>
    <w:uiPriority w:val="0"/>
    <w:pPr>
      <w:ind w:left="2520"/>
    </w:pPr>
    <w:rPr>
      <w:rFonts w:ascii="Times New Roman" w:hAnsi="Times New Roman"/>
      <w:szCs w:val="20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kern w:val="0"/>
      <w:sz w:val="28"/>
      <w:szCs w:val="24"/>
    </w:rPr>
  </w:style>
  <w:style w:type="paragraph" w:styleId="6">
    <w:name w:val="Body Text First Indent 2"/>
    <w:basedOn w:val="4"/>
    <w:qFormat/>
    <w:uiPriority w:val="0"/>
    <w:pPr>
      <w:spacing w:before="100" w:beforeAutospacing="1"/>
      <w:ind w:left="0" w:firstLine="420" w:firstLineChars="200"/>
    </w:pPr>
  </w:style>
  <w:style w:type="paragraph" w:styleId="9">
    <w:name w:val="List Paragraph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 w:ascii="Calibri" w:hAnsi="Calibri"/>
      <w:kern w:val="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3749</Words>
  <Characters>4047</Characters>
  <Lines>0</Lines>
  <Paragraphs>0</Paragraphs>
  <TotalTime>0</TotalTime>
  <ScaleCrop>false</ScaleCrop>
  <LinksUpToDate>false</LinksUpToDate>
  <CharactersWithSpaces>4153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2026-05-19T08:54:00Z</dcterms:created>
  <dc:creator>Administrator</dc:creator>
  <cp:lastModifiedBy>syuu秀</cp:lastModifiedBy>
  <dcterms:modified xsi:type="dcterms:W3CDTF">2026-09-01T03:41:26Z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C4E6FE2EF18F45C880ADD65C18EF2FCC</vt:lpwstr>
  </property>
  <property fmtid="{D5CDD505-2E9C-101B-9397-08002B2CF9AE}" pid="4" name="KSOTemplateDocerSaveRecord">
    <vt:lpwstr>eyJoZGlkIjoiMmZhYzdiOTdlYjU0NGU0NTE2NjllMTZjZmM1NzIwYmYiLCJ1c2VySWQiOiIzOTM2OTIzNDUifQ==</vt:lpwstr>
  </property>
</Properties>
</file>