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4613E1">
      <w:pPr>
        <w:pStyle w:val="7"/>
        <w:spacing w:line="260" w:lineRule="auto"/>
        <w:ind w:firstLine="480"/>
        <w:rPr>
          <w:rFonts w:cs="Times New Roman"/>
        </w:rPr>
      </w:pPr>
    </w:p>
    <w:p w14:paraId="19755CC8">
      <w:pPr>
        <w:pStyle w:val="7"/>
        <w:spacing w:line="260" w:lineRule="auto"/>
        <w:ind w:firstLine="480"/>
        <w:rPr>
          <w:rFonts w:cs="Times New Roman"/>
        </w:rPr>
      </w:pPr>
    </w:p>
    <w:p w14:paraId="4675276B">
      <w:pPr>
        <w:pStyle w:val="7"/>
        <w:spacing w:line="261" w:lineRule="auto"/>
        <w:ind w:firstLine="480"/>
        <w:rPr>
          <w:rFonts w:cs="Times New Roman"/>
        </w:rPr>
      </w:pPr>
    </w:p>
    <w:p w14:paraId="177607A5">
      <w:pPr>
        <w:spacing w:before="179" w:line="240" w:lineRule="auto"/>
        <w:ind w:firstLine="0" w:firstLineChars="0"/>
        <w:jc w:val="center"/>
        <w:rPr>
          <w:rFonts w:eastAsia="黑体" w:cs="Times New Roman"/>
          <w:sz w:val="48"/>
          <w:szCs w:val="48"/>
          <w:lang w:eastAsia="zh-CN"/>
        </w:rPr>
      </w:pPr>
      <w:bookmarkStart w:id="0" w:name="_Toc2517"/>
      <w:bookmarkStart w:id="1" w:name="_Toc12864"/>
      <w:r>
        <w:rPr>
          <w:rFonts w:eastAsia="黑体" w:cs="Times New Roman"/>
          <w:sz w:val="48"/>
          <w:szCs w:val="48"/>
          <w:lang w:eastAsia="zh-CN"/>
        </w:rPr>
        <w:t>双牌县阳明山国有林场森林经营方案</w:t>
      </w:r>
      <w:bookmarkEnd w:id="0"/>
      <w:bookmarkEnd w:id="1"/>
    </w:p>
    <w:p w14:paraId="260FFB44">
      <w:pPr>
        <w:spacing w:before="179" w:line="240" w:lineRule="auto"/>
        <w:ind w:firstLine="0" w:firstLineChars="0"/>
        <w:jc w:val="center"/>
        <w:rPr>
          <w:rFonts w:eastAsia="黑体" w:cs="Times New Roman"/>
          <w:sz w:val="48"/>
          <w:szCs w:val="48"/>
          <w:lang w:eastAsia="zh-CN"/>
        </w:rPr>
      </w:pPr>
      <w:r>
        <w:rPr>
          <w:rFonts w:hint="eastAsia" w:eastAsia="黑体" w:cs="Times New Roman"/>
          <w:sz w:val="48"/>
          <w:szCs w:val="48"/>
          <w:lang w:eastAsia="zh-CN"/>
        </w:rPr>
        <w:t>(</w:t>
      </w:r>
      <w:r>
        <w:rPr>
          <w:rFonts w:eastAsia="黑体" w:cs="Times New Roman"/>
          <w:sz w:val="48"/>
          <w:szCs w:val="48"/>
          <w:lang w:eastAsia="zh-CN"/>
        </w:rPr>
        <w:t>2024－2030年</w:t>
      </w:r>
      <w:r>
        <w:rPr>
          <w:rFonts w:hint="eastAsia" w:eastAsia="黑体" w:cs="Times New Roman"/>
          <w:sz w:val="48"/>
          <w:szCs w:val="48"/>
          <w:lang w:eastAsia="zh-CN"/>
        </w:rPr>
        <w:t>)</w:t>
      </w:r>
    </w:p>
    <w:p w14:paraId="4E272DA1">
      <w:pPr>
        <w:pStyle w:val="7"/>
        <w:spacing w:line="241" w:lineRule="auto"/>
        <w:ind w:firstLine="480"/>
        <w:rPr>
          <w:rFonts w:cs="Times New Roman"/>
          <w:lang w:eastAsia="zh-CN"/>
        </w:rPr>
      </w:pPr>
    </w:p>
    <w:p w14:paraId="500E4FBB">
      <w:pPr>
        <w:pStyle w:val="7"/>
        <w:spacing w:line="241" w:lineRule="auto"/>
        <w:ind w:firstLine="480"/>
        <w:rPr>
          <w:rFonts w:cs="Times New Roman"/>
          <w:lang w:eastAsia="zh-CN"/>
        </w:rPr>
      </w:pPr>
    </w:p>
    <w:p w14:paraId="50159565">
      <w:pPr>
        <w:pStyle w:val="7"/>
        <w:spacing w:line="241" w:lineRule="auto"/>
        <w:ind w:firstLine="480"/>
        <w:rPr>
          <w:rFonts w:cs="Times New Roman"/>
          <w:lang w:eastAsia="zh-CN"/>
        </w:rPr>
      </w:pPr>
    </w:p>
    <w:p w14:paraId="67112313">
      <w:pPr>
        <w:pStyle w:val="7"/>
        <w:spacing w:line="241" w:lineRule="auto"/>
        <w:ind w:firstLine="480"/>
        <w:rPr>
          <w:rFonts w:cs="Times New Roman"/>
          <w:lang w:eastAsia="zh-CN"/>
        </w:rPr>
      </w:pPr>
    </w:p>
    <w:p w14:paraId="177B7283">
      <w:pPr>
        <w:pStyle w:val="7"/>
        <w:spacing w:line="241" w:lineRule="auto"/>
        <w:ind w:firstLine="480"/>
        <w:rPr>
          <w:rFonts w:cs="Times New Roman"/>
          <w:lang w:eastAsia="zh-CN"/>
        </w:rPr>
      </w:pPr>
    </w:p>
    <w:p w14:paraId="75E4C090">
      <w:pPr>
        <w:pStyle w:val="7"/>
        <w:spacing w:line="241" w:lineRule="auto"/>
        <w:ind w:firstLine="480"/>
        <w:rPr>
          <w:rFonts w:cs="Times New Roman"/>
          <w:lang w:eastAsia="zh-CN"/>
        </w:rPr>
      </w:pPr>
    </w:p>
    <w:p w14:paraId="63BC3E42">
      <w:pPr>
        <w:pStyle w:val="7"/>
        <w:spacing w:line="241" w:lineRule="auto"/>
        <w:ind w:firstLine="480"/>
        <w:rPr>
          <w:rFonts w:cs="Times New Roman"/>
          <w:lang w:eastAsia="zh-CN"/>
        </w:rPr>
      </w:pPr>
    </w:p>
    <w:p w14:paraId="47AD642F">
      <w:pPr>
        <w:pStyle w:val="7"/>
        <w:spacing w:line="241" w:lineRule="auto"/>
        <w:ind w:firstLine="480"/>
        <w:rPr>
          <w:rFonts w:cs="Times New Roman"/>
          <w:lang w:eastAsia="zh-CN"/>
        </w:rPr>
      </w:pPr>
    </w:p>
    <w:p w14:paraId="61E942BA">
      <w:pPr>
        <w:pStyle w:val="7"/>
        <w:spacing w:line="241" w:lineRule="auto"/>
        <w:ind w:firstLine="480"/>
        <w:rPr>
          <w:rFonts w:cs="Times New Roman"/>
          <w:lang w:eastAsia="zh-CN"/>
        </w:rPr>
      </w:pPr>
    </w:p>
    <w:p w14:paraId="4CB1C9BD">
      <w:pPr>
        <w:pStyle w:val="7"/>
        <w:spacing w:line="241" w:lineRule="auto"/>
        <w:ind w:firstLine="480"/>
        <w:rPr>
          <w:rFonts w:cs="Times New Roman"/>
          <w:lang w:eastAsia="zh-CN"/>
        </w:rPr>
      </w:pPr>
    </w:p>
    <w:p w14:paraId="5B952E47">
      <w:pPr>
        <w:pStyle w:val="7"/>
        <w:spacing w:line="241" w:lineRule="auto"/>
        <w:ind w:firstLine="480"/>
        <w:rPr>
          <w:rFonts w:cs="Times New Roman"/>
          <w:lang w:eastAsia="zh-CN"/>
        </w:rPr>
      </w:pPr>
    </w:p>
    <w:p w14:paraId="051D32BD">
      <w:pPr>
        <w:pStyle w:val="7"/>
        <w:spacing w:line="241" w:lineRule="auto"/>
        <w:ind w:firstLine="480"/>
        <w:rPr>
          <w:rFonts w:cs="Times New Roman"/>
          <w:lang w:eastAsia="zh-CN"/>
        </w:rPr>
      </w:pPr>
    </w:p>
    <w:p w14:paraId="4C302113">
      <w:pPr>
        <w:pStyle w:val="7"/>
        <w:spacing w:line="241" w:lineRule="auto"/>
        <w:ind w:firstLine="480"/>
        <w:rPr>
          <w:rFonts w:cs="Times New Roman"/>
          <w:lang w:eastAsia="zh-CN"/>
        </w:rPr>
      </w:pPr>
    </w:p>
    <w:p w14:paraId="6D71BA61">
      <w:pPr>
        <w:pStyle w:val="7"/>
        <w:spacing w:line="241" w:lineRule="auto"/>
        <w:ind w:firstLine="480"/>
        <w:rPr>
          <w:rFonts w:cs="Times New Roman"/>
          <w:lang w:eastAsia="zh-CN"/>
        </w:rPr>
      </w:pPr>
    </w:p>
    <w:p w14:paraId="3F080B55">
      <w:pPr>
        <w:pStyle w:val="7"/>
        <w:spacing w:line="241" w:lineRule="auto"/>
        <w:ind w:firstLine="480"/>
        <w:rPr>
          <w:rFonts w:cs="Times New Roman"/>
          <w:lang w:eastAsia="zh-CN"/>
        </w:rPr>
      </w:pPr>
    </w:p>
    <w:p w14:paraId="32A78B87">
      <w:pPr>
        <w:pStyle w:val="7"/>
        <w:spacing w:line="241" w:lineRule="auto"/>
        <w:ind w:firstLine="480"/>
        <w:rPr>
          <w:rFonts w:cs="Times New Roman"/>
          <w:lang w:eastAsia="zh-CN"/>
        </w:rPr>
      </w:pPr>
    </w:p>
    <w:p w14:paraId="60A0971A">
      <w:pPr>
        <w:pStyle w:val="7"/>
        <w:spacing w:line="241" w:lineRule="auto"/>
        <w:ind w:firstLine="480"/>
        <w:rPr>
          <w:rFonts w:cs="Times New Roman"/>
          <w:lang w:eastAsia="zh-CN"/>
        </w:rPr>
      </w:pPr>
    </w:p>
    <w:p w14:paraId="0BD1B137">
      <w:pPr>
        <w:pStyle w:val="7"/>
        <w:spacing w:line="241" w:lineRule="auto"/>
        <w:ind w:firstLine="480"/>
        <w:rPr>
          <w:rFonts w:cs="Times New Roman"/>
          <w:lang w:eastAsia="zh-CN"/>
        </w:rPr>
      </w:pPr>
    </w:p>
    <w:p w14:paraId="06884C9F">
      <w:pPr>
        <w:pStyle w:val="7"/>
        <w:spacing w:line="241" w:lineRule="auto"/>
        <w:ind w:firstLine="480"/>
        <w:rPr>
          <w:rFonts w:cs="Times New Roman"/>
          <w:lang w:eastAsia="zh-CN"/>
        </w:rPr>
      </w:pPr>
    </w:p>
    <w:p w14:paraId="35F027BC">
      <w:pPr>
        <w:pStyle w:val="7"/>
        <w:spacing w:line="241" w:lineRule="auto"/>
        <w:ind w:firstLine="480"/>
        <w:rPr>
          <w:rFonts w:cs="Times New Roman"/>
          <w:lang w:eastAsia="zh-CN"/>
        </w:rPr>
      </w:pPr>
    </w:p>
    <w:p w14:paraId="59312512">
      <w:pPr>
        <w:pStyle w:val="7"/>
        <w:spacing w:line="241" w:lineRule="auto"/>
        <w:ind w:firstLine="480"/>
        <w:rPr>
          <w:rFonts w:cs="Times New Roman"/>
          <w:lang w:eastAsia="zh-CN"/>
        </w:rPr>
      </w:pPr>
    </w:p>
    <w:p w14:paraId="4D681235">
      <w:pPr>
        <w:pStyle w:val="7"/>
        <w:spacing w:line="241" w:lineRule="auto"/>
        <w:ind w:firstLine="480"/>
        <w:rPr>
          <w:rFonts w:cs="Times New Roman"/>
          <w:lang w:eastAsia="zh-CN"/>
        </w:rPr>
      </w:pPr>
    </w:p>
    <w:p w14:paraId="2C8F5FF6">
      <w:pPr>
        <w:pStyle w:val="7"/>
        <w:spacing w:line="241" w:lineRule="auto"/>
        <w:ind w:firstLine="480"/>
        <w:rPr>
          <w:rFonts w:cs="Times New Roman"/>
          <w:lang w:eastAsia="zh-CN"/>
        </w:rPr>
      </w:pPr>
    </w:p>
    <w:p w14:paraId="136118A4">
      <w:pPr>
        <w:pStyle w:val="7"/>
        <w:spacing w:line="241" w:lineRule="auto"/>
        <w:ind w:firstLine="480"/>
        <w:rPr>
          <w:rFonts w:cs="Times New Roman"/>
          <w:lang w:eastAsia="zh-CN"/>
        </w:rPr>
      </w:pPr>
    </w:p>
    <w:p w14:paraId="0EFB0EDE">
      <w:pPr>
        <w:pStyle w:val="7"/>
        <w:spacing w:line="241" w:lineRule="auto"/>
        <w:ind w:firstLine="480"/>
        <w:rPr>
          <w:rFonts w:cs="Times New Roman"/>
          <w:lang w:eastAsia="zh-CN"/>
        </w:rPr>
      </w:pPr>
    </w:p>
    <w:p w14:paraId="50761278">
      <w:pPr>
        <w:pStyle w:val="7"/>
        <w:spacing w:line="241" w:lineRule="auto"/>
        <w:ind w:firstLine="480"/>
        <w:rPr>
          <w:rFonts w:cs="Times New Roman"/>
          <w:lang w:eastAsia="zh-CN"/>
        </w:rPr>
      </w:pPr>
    </w:p>
    <w:p w14:paraId="5CAF6BCB">
      <w:pPr>
        <w:pStyle w:val="7"/>
        <w:spacing w:line="241" w:lineRule="auto"/>
        <w:ind w:firstLine="480"/>
        <w:rPr>
          <w:rFonts w:cs="Times New Roman"/>
          <w:lang w:eastAsia="zh-CN"/>
        </w:rPr>
      </w:pPr>
    </w:p>
    <w:p w14:paraId="50C741A8">
      <w:pPr>
        <w:pStyle w:val="7"/>
        <w:spacing w:line="241" w:lineRule="auto"/>
        <w:ind w:firstLine="480"/>
        <w:rPr>
          <w:rFonts w:cs="Times New Roman"/>
          <w:lang w:eastAsia="zh-CN"/>
        </w:rPr>
      </w:pPr>
    </w:p>
    <w:p w14:paraId="072EADFD">
      <w:pPr>
        <w:pStyle w:val="7"/>
        <w:spacing w:line="241" w:lineRule="auto"/>
        <w:ind w:firstLine="480"/>
        <w:rPr>
          <w:rFonts w:cs="Times New Roman"/>
          <w:lang w:eastAsia="zh-CN"/>
        </w:rPr>
      </w:pPr>
    </w:p>
    <w:p w14:paraId="24D5823A">
      <w:pPr>
        <w:pStyle w:val="7"/>
        <w:spacing w:line="242" w:lineRule="auto"/>
        <w:ind w:firstLine="0" w:firstLineChars="0"/>
        <w:rPr>
          <w:rFonts w:cs="Times New Roman"/>
          <w:b/>
          <w:bCs/>
          <w:lang w:eastAsia="zh-CN"/>
        </w:rPr>
      </w:pPr>
    </w:p>
    <w:p w14:paraId="2DF1B134">
      <w:pPr>
        <w:ind w:firstLine="0" w:firstLineChars="0"/>
        <w:jc w:val="center"/>
        <w:rPr>
          <w:rFonts w:cs="Times New Roman"/>
          <w:b/>
          <w:bCs/>
          <w:sz w:val="32"/>
          <w:szCs w:val="44"/>
          <w:lang w:eastAsia="zh-CN"/>
        </w:rPr>
      </w:pPr>
      <w:r>
        <w:rPr>
          <w:rFonts w:cs="Times New Roman"/>
          <w:b/>
          <w:bCs/>
          <w:sz w:val="32"/>
          <w:szCs w:val="44"/>
          <w:lang w:eastAsia="zh-CN"/>
        </w:rPr>
        <w:t>双牌县阳明山国有林场</w:t>
      </w:r>
    </w:p>
    <w:p w14:paraId="2C27F255">
      <w:pPr>
        <w:ind w:firstLine="0" w:firstLineChars="0"/>
        <w:jc w:val="center"/>
        <w:rPr>
          <w:rFonts w:cs="Times New Roman"/>
          <w:b/>
          <w:bCs/>
          <w:sz w:val="32"/>
          <w:szCs w:val="44"/>
          <w:lang w:eastAsia="zh-CN"/>
        </w:rPr>
      </w:pPr>
      <w:bookmarkStart w:id="2" w:name="_Toc7756"/>
      <w:r>
        <w:rPr>
          <w:rFonts w:cs="Times New Roman"/>
          <w:b/>
          <w:bCs/>
          <w:sz w:val="32"/>
          <w:szCs w:val="44"/>
          <w:lang w:eastAsia="zh-CN"/>
        </w:rPr>
        <w:t>中南林业科技大学</w:t>
      </w:r>
      <w:bookmarkEnd w:id="2"/>
    </w:p>
    <w:p w14:paraId="13886393">
      <w:pPr>
        <w:ind w:firstLine="0" w:firstLineChars="0"/>
        <w:jc w:val="center"/>
        <w:rPr>
          <w:rFonts w:cs="Times New Roman"/>
          <w:b/>
          <w:bCs/>
          <w:sz w:val="44"/>
          <w:szCs w:val="44"/>
          <w:lang w:eastAsia="zh-CN"/>
        </w:rPr>
      </w:pPr>
      <w:r>
        <w:rPr>
          <w:rFonts w:cs="Times New Roman"/>
          <w:b/>
          <w:bCs/>
          <w:sz w:val="32"/>
          <w:szCs w:val="44"/>
          <w:lang w:eastAsia="zh-CN"/>
        </w:rPr>
        <w:t>二〇二四年十一月</w:t>
      </w:r>
    </w:p>
    <w:p w14:paraId="7349B8C4">
      <w:pPr>
        <w:spacing w:line="224" w:lineRule="auto"/>
        <w:ind w:firstLine="860"/>
        <w:rPr>
          <w:rFonts w:eastAsia="黑体" w:cs="Times New Roman"/>
          <w:sz w:val="43"/>
          <w:szCs w:val="43"/>
          <w:lang w:eastAsia="zh-CN"/>
        </w:rPr>
        <w:sectPr>
          <w:headerReference r:id="rId7" w:type="first"/>
          <w:footerReference r:id="rId10" w:type="first"/>
          <w:headerReference r:id="rId5" w:type="default"/>
          <w:footerReference r:id="rId8" w:type="default"/>
          <w:headerReference r:id="rId6" w:type="even"/>
          <w:footerReference r:id="rId9" w:type="even"/>
          <w:pgSz w:w="11905" w:h="16843"/>
          <w:pgMar w:top="1440" w:right="1406" w:bottom="1440" w:left="1406" w:header="873" w:footer="1276" w:gutter="0"/>
          <w:pgNumType w:fmt="upperRoman"/>
          <w:cols w:space="0" w:num="1"/>
          <w:rtlGutter w:val="0"/>
          <w:docGrid w:linePitch="0" w:charSpace="0"/>
        </w:sectPr>
      </w:pPr>
    </w:p>
    <w:p w14:paraId="03528DE1">
      <w:pPr>
        <w:adjustRightInd/>
        <w:snapToGrid/>
        <w:spacing w:before="480" w:beforeLines="200"/>
        <w:ind w:firstLine="0" w:firstLineChars="0"/>
        <w:jc w:val="center"/>
        <w:rPr>
          <w:rFonts w:eastAsia="黑体" w:cs="Times New Roman"/>
          <w:sz w:val="32"/>
          <w:szCs w:val="32"/>
          <w:lang w:eastAsia="zh-CN"/>
        </w:rPr>
      </w:pPr>
      <w:r>
        <w:rPr>
          <w:rFonts w:eastAsia="黑体" w:cs="Times New Roman"/>
          <w:sz w:val="32"/>
          <w:szCs w:val="32"/>
          <w:lang w:eastAsia="zh-CN"/>
        </w:rPr>
        <w:t>双牌县阳明山国有林场森林经营方案</w:t>
      </w:r>
    </w:p>
    <w:p w14:paraId="1119A052">
      <w:pPr>
        <w:adjustRightInd/>
        <w:snapToGrid/>
        <w:ind w:firstLine="0" w:firstLineChars="0"/>
        <w:jc w:val="center"/>
        <w:rPr>
          <w:rFonts w:eastAsia="黑体" w:cs="Times New Roman"/>
          <w:sz w:val="32"/>
          <w:szCs w:val="32"/>
          <w:lang w:eastAsia="zh-CN"/>
        </w:rPr>
      </w:pPr>
      <w:r>
        <w:rPr>
          <w:rFonts w:hint="eastAsia" w:eastAsia="黑体" w:cs="Times New Roman"/>
          <w:sz w:val="32"/>
          <w:szCs w:val="32"/>
          <w:lang w:eastAsia="zh-CN"/>
        </w:rPr>
        <w:t>(</w:t>
      </w:r>
      <w:r>
        <w:rPr>
          <w:rFonts w:eastAsia="黑体" w:cs="Times New Roman"/>
          <w:sz w:val="32"/>
          <w:szCs w:val="32"/>
          <w:lang w:eastAsia="zh-CN"/>
        </w:rPr>
        <w:t>2024—2030年</w:t>
      </w:r>
      <w:r>
        <w:rPr>
          <w:rFonts w:hint="eastAsia" w:eastAsia="黑体" w:cs="Times New Roman"/>
          <w:sz w:val="32"/>
          <w:szCs w:val="32"/>
          <w:lang w:eastAsia="zh-CN"/>
        </w:rPr>
        <w:t>)</w:t>
      </w:r>
      <w:r>
        <w:rPr>
          <w:rFonts w:eastAsia="黑体" w:cs="Times New Roman"/>
          <w:sz w:val="32"/>
          <w:szCs w:val="32"/>
          <w:lang w:eastAsia="zh-CN"/>
        </w:rPr>
        <w:t>编制人员名单</w:t>
      </w:r>
    </w:p>
    <w:p w14:paraId="1F282A62">
      <w:pPr>
        <w:adjustRightInd/>
        <w:snapToGrid/>
        <w:ind w:firstLine="0" w:firstLineChars="0"/>
        <w:jc w:val="center"/>
        <w:rPr>
          <w:rFonts w:eastAsia="黑体" w:cs="Times New Roman"/>
          <w:sz w:val="32"/>
          <w:szCs w:val="32"/>
          <w:lang w:eastAsia="zh-CN"/>
        </w:rPr>
      </w:pPr>
    </w:p>
    <w:p w14:paraId="62EEABBE">
      <w:pPr>
        <w:ind w:firstLine="480"/>
        <w:rPr>
          <w:rFonts w:cs="宋体"/>
          <w:lang w:eastAsia="zh-CN"/>
        </w:rPr>
      </w:pPr>
      <w:r>
        <w:rPr>
          <w:rFonts w:hint="eastAsia" w:cs="宋体"/>
          <w:kern w:val="2"/>
          <w:szCs w:val="24"/>
          <w:lang w:eastAsia="zh-CN" w:bidi="ar"/>
        </w:rPr>
        <w:t>技术顾问：    陈传胜  中南林业科技大学 林学博士 教    授</w:t>
      </w:r>
    </w:p>
    <w:p w14:paraId="793F966D">
      <w:pPr>
        <w:ind w:firstLine="1920" w:firstLineChars="800"/>
        <w:rPr>
          <w:rFonts w:cs="宋体"/>
          <w:kern w:val="2"/>
          <w:szCs w:val="24"/>
          <w:lang w:eastAsia="zh-CN" w:bidi="ar"/>
        </w:rPr>
      </w:pPr>
      <w:r>
        <w:rPr>
          <w:rFonts w:hint="eastAsia" w:cs="宋体"/>
          <w:kern w:val="2"/>
          <w:szCs w:val="24"/>
          <w:lang w:eastAsia="zh-CN" w:bidi="ar"/>
        </w:rPr>
        <w:t>曹小玉  中南林业科技大学 林学博士 副教授</w:t>
      </w:r>
    </w:p>
    <w:p w14:paraId="177ABDD9">
      <w:pPr>
        <w:ind w:firstLine="480"/>
        <w:jc w:val="left"/>
        <w:rPr>
          <w:rFonts w:cs="宋体"/>
          <w:kern w:val="2"/>
          <w:szCs w:val="24"/>
          <w:lang w:eastAsia="zh-CN" w:bidi="ar"/>
        </w:rPr>
      </w:pPr>
      <w:r>
        <w:rPr>
          <w:rFonts w:hint="eastAsia" w:cs="宋体"/>
          <w:kern w:val="2"/>
          <w:szCs w:val="24"/>
          <w:lang w:eastAsia="zh-CN" w:bidi="ar"/>
        </w:rPr>
        <w:t xml:space="preserve">组      长：      </w:t>
      </w:r>
      <w:r>
        <w:rPr>
          <w:rFonts w:hint="eastAsia" w:ascii="宋体" w:hAnsi="宋体"/>
          <w:snapToGrid/>
          <w:kern w:val="2"/>
          <w:szCs w:val="24"/>
          <w:lang w:eastAsia="zh-CN"/>
        </w:rPr>
        <w:t>杨丽军</w:t>
      </w:r>
      <w:r>
        <w:rPr>
          <w:rFonts w:hint="eastAsia" w:cs="Times New Roman"/>
          <w:snapToGrid/>
          <w:kern w:val="2"/>
          <w:szCs w:val="28"/>
          <w:lang w:eastAsia="zh-CN"/>
        </w:rPr>
        <w:t xml:space="preserve">  双牌县</w:t>
      </w:r>
      <w:r>
        <w:rPr>
          <w:rFonts w:hint="eastAsia" w:ascii="宋体" w:hAnsi="宋体"/>
          <w:snapToGrid/>
          <w:kern w:val="2"/>
          <w:szCs w:val="24"/>
          <w:lang w:eastAsia="zh-CN"/>
        </w:rPr>
        <w:t>阳明山国有林场  党委书记</w:t>
      </w:r>
    </w:p>
    <w:p w14:paraId="5AD1F72F">
      <w:pPr>
        <w:ind w:firstLine="1920" w:firstLineChars="800"/>
        <w:jc w:val="left"/>
        <w:rPr>
          <w:rFonts w:hint="eastAsia" w:ascii="宋体" w:hAnsi="宋体"/>
          <w:snapToGrid/>
          <w:kern w:val="2"/>
          <w:szCs w:val="24"/>
          <w:lang w:eastAsia="zh-CN"/>
        </w:rPr>
      </w:pPr>
      <w:r>
        <w:rPr>
          <w:rFonts w:hint="eastAsia" w:ascii="宋体" w:hAnsi="宋体"/>
          <w:snapToGrid/>
          <w:kern w:val="2"/>
          <w:szCs w:val="24"/>
          <w:lang w:eastAsia="zh-CN"/>
        </w:rPr>
        <w:t>张  明</w:t>
      </w:r>
      <w:r>
        <w:rPr>
          <w:rFonts w:hint="eastAsia" w:cs="Times New Roman"/>
          <w:snapToGrid/>
          <w:kern w:val="2"/>
          <w:szCs w:val="28"/>
          <w:lang w:eastAsia="zh-CN"/>
        </w:rPr>
        <w:t xml:space="preserve">  双牌县</w:t>
      </w:r>
      <w:r>
        <w:rPr>
          <w:rFonts w:hint="eastAsia" w:ascii="宋体" w:hAnsi="宋体"/>
          <w:snapToGrid/>
          <w:kern w:val="2"/>
          <w:szCs w:val="24"/>
          <w:lang w:eastAsia="zh-CN"/>
        </w:rPr>
        <w:t>阳明山国有林场  场    长</w:t>
      </w:r>
    </w:p>
    <w:p w14:paraId="4404BF9C">
      <w:pPr>
        <w:ind w:firstLine="480"/>
        <w:jc w:val="left"/>
        <w:rPr>
          <w:rFonts w:hint="eastAsia" w:ascii="宋体" w:hAnsi="宋体"/>
          <w:snapToGrid/>
          <w:kern w:val="2"/>
          <w:szCs w:val="24"/>
          <w:lang w:eastAsia="zh-CN"/>
        </w:rPr>
      </w:pPr>
      <w:r>
        <w:rPr>
          <w:rFonts w:hint="eastAsia" w:cs="宋体"/>
          <w:kern w:val="2"/>
          <w:szCs w:val="24"/>
          <w:lang w:eastAsia="zh-CN" w:bidi="ar"/>
        </w:rPr>
        <w:t xml:space="preserve">副 组 长：      </w:t>
      </w:r>
      <w:r>
        <w:rPr>
          <w:rFonts w:hint="eastAsia" w:ascii="宋体" w:hAnsi="宋体"/>
          <w:snapToGrid/>
          <w:kern w:val="2"/>
          <w:szCs w:val="24"/>
          <w:lang w:eastAsia="zh-CN"/>
        </w:rPr>
        <w:t>龚  杰</w:t>
      </w:r>
      <w:r>
        <w:rPr>
          <w:rFonts w:hint="eastAsia" w:cs="Times New Roman"/>
          <w:snapToGrid/>
          <w:kern w:val="2"/>
          <w:szCs w:val="28"/>
          <w:lang w:eastAsia="zh-CN"/>
        </w:rPr>
        <w:t xml:space="preserve">  双牌县</w:t>
      </w:r>
      <w:r>
        <w:rPr>
          <w:rFonts w:hint="eastAsia" w:ascii="宋体" w:hAnsi="宋体"/>
          <w:snapToGrid/>
          <w:kern w:val="2"/>
          <w:szCs w:val="24"/>
          <w:lang w:eastAsia="zh-CN"/>
        </w:rPr>
        <w:t>阳明山国有林场  副 书 记</w:t>
      </w:r>
    </w:p>
    <w:p w14:paraId="05378EFB">
      <w:pPr>
        <w:widowControl w:val="0"/>
        <w:kinsoku/>
        <w:autoSpaceDE/>
        <w:autoSpaceDN/>
        <w:adjustRightInd/>
        <w:snapToGrid/>
        <w:ind w:firstLine="480"/>
        <w:contextualSpacing/>
        <w:textAlignment w:val="auto"/>
        <w:rPr>
          <w:rFonts w:cs="Times New Roman"/>
          <w:snapToGrid/>
          <w:kern w:val="2"/>
          <w:szCs w:val="28"/>
          <w:lang w:eastAsia="zh-CN"/>
        </w:rPr>
      </w:pPr>
      <w:r>
        <w:rPr>
          <w:rFonts w:hint="eastAsia" w:cs="宋体"/>
          <w:kern w:val="2"/>
          <w:szCs w:val="24"/>
          <w:lang w:eastAsia="zh-CN" w:bidi="ar"/>
        </w:rPr>
        <w:t>项目负责人：</w:t>
      </w:r>
      <w:r>
        <w:rPr>
          <w:rFonts w:cs="Times New Roman"/>
          <w:snapToGrid/>
          <w:kern w:val="2"/>
          <w:szCs w:val="28"/>
          <w:lang w:eastAsia="zh-CN"/>
        </w:rPr>
        <w:t xml:space="preserve">唐  </w:t>
      </w:r>
      <w:r>
        <w:rPr>
          <w:rFonts w:hint="eastAsia" w:cs="Times New Roman"/>
          <w:snapToGrid/>
          <w:kern w:val="2"/>
          <w:szCs w:val="28"/>
          <w:lang w:eastAsia="zh-CN"/>
        </w:rPr>
        <w:t xml:space="preserve">  </w:t>
      </w:r>
      <w:r>
        <w:rPr>
          <w:rFonts w:cs="Times New Roman"/>
          <w:snapToGrid/>
          <w:kern w:val="2"/>
          <w:szCs w:val="28"/>
          <w:lang w:eastAsia="zh-CN"/>
        </w:rPr>
        <w:t>涛</w:t>
      </w:r>
      <w:r>
        <w:rPr>
          <w:rFonts w:hint="eastAsia" w:cs="Times New Roman"/>
          <w:snapToGrid/>
          <w:kern w:val="2"/>
          <w:szCs w:val="28"/>
          <w:lang w:eastAsia="zh-CN"/>
        </w:rPr>
        <w:t xml:space="preserve">  </w:t>
      </w:r>
      <w:r>
        <w:rPr>
          <w:rFonts w:cs="Times New Roman"/>
          <w:snapToGrid/>
          <w:kern w:val="2"/>
          <w:szCs w:val="28"/>
          <w:lang w:eastAsia="zh-CN"/>
        </w:rPr>
        <w:t xml:space="preserve">中南林业科技大学 林学博士 </w:t>
      </w:r>
      <w:r>
        <w:rPr>
          <w:rFonts w:hint="eastAsia" w:cs="Times New Roman"/>
          <w:snapToGrid/>
          <w:kern w:val="2"/>
          <w:szCs w:val="28"/>
          <w:lang w:eastAsia="zh-CN"/>
        </w:rPr>
        <w:t xml:space="preserve"> 副教授</w:t>
      </w:r>
    </w:p>
    <w:p w14:paraId="3F74D55A">
      <w:pPr>
        <w:widowControl w:val="0"/>
        <w:kinsoku/>
        <w:autoSpaceDE/>
        <w:autoSpaceDN/>
        <w:adjustRightInd/>
        <w:snapToGrid/>
        <w:ind w:firstLine="1920" w:firstLineChars="800"/>
        <w:contextualSpacing/>
        <w:textAlignment w:val="auto"/>
        <w:rPr>
          <w:rFonts w:cs="Times New Roman"/>
          <w:snapToGrid/>
          <w:kern w:val="2"/>
          <w:szCs w:val="28"/>
          <w:lang w:eastAsia="zh-CN"/>
        </w:rPr>
      </w:pPr>
      <w:r>
        <w:rPr>
          <w:rFonts w:hint="eastAsia" w:cs="Times New Roman"/>
          <w:snapToGrid/>
          <w:kern w:val="2"/>
          <w:szCs w:val="28"/>
          <w:lang w:eastAsia="zh-CN"/>
        </w:rPr>
        <w:t>张亮亮  永州市国有林场服务中心  高级工程师</w:t>
      </w:r>
    </w:p>
    <w:p w14:paraId="0029B0F2">
      <w:pPr>
        <w:widowControl w:val="0"/>
        <w:kinsoku/>
        <w:autoSpaceDE/>
        <w:autoSpaceDN/>
        <w:adjustRightInd/>
        <w:snapToGrid/>
        <w:ind w:firstLine="1920" w:firstLineChars="800"/>
        <w:contextualSpacing/>
        <w:textAlignment w:val="auto"/>
        <w:rPr>
          <w:rFonts w:hint="eastAsia" w:ascii="宋体" w:hAnsi="宋体"/>
          <w:snapToGrid/>
          <w:kern w:val="2"/>
          <w:szCs w:val="24"/>
          <w:lang w:eastAsia="zh-CN"/>
        </w:rPr>
      </w:pPr>
      <w:r>
        <w:rPr>
          <w:rFonts w:hint="eastAsia" w:cs="宋体"/>
          <w:kern w:val="2"/>
          <w:szCs w:val="24"/>
          <w:lang w:eastAsia="zh-CN" w:bidi="ar"/>
        </w:rPr>
        <w:t>蒋凌云</w:t>
      </w:r>
      <w:r>
        <w:rPr>
          <w:rFonts w:hint="eastAsia" w:cs="Times New Roman"/>
          <w:snapToGrid/>
          <w:kern w:val="2"/>
          <w:szCs w:val="28"/>
          <w:lang w:eastAsia="zh-CN"/>
        </w:rPr>
        <w:t xml:space="preserve">  双牌县</w:t>
      </w:r>
      <w:r>
        <w:rPr>
          <w:rFonts w:hint="eastAsia" w:cs="宋体"/>
          <w:kern w:val="2"/>
          <w:szCs w:val="24"/>
          <w:lang w:eastAsia="zh-CN" w:bidi="ar"/>
        </w:rPr>
        <w:t>阳明山国有林场</w:t>
      </w:r>
      <w:r>
        <w:rPr>
          <w:rFonts w:hint="eastAsia" w:ascii="宋体" w:hAnsi="宋体"/>
          <w:snapToGrid/>
          <w:kern w:val="2"/>
          <w:szCs w:val="24"/>
          <w:lang w:eastAsia="zh-CN"/>
        </w:rPr>
        <w:t xml:space="preserve">  组织委员 </w:t>
      </w:r>
    </w:p>
    <w:p w14:paraId="5A75DFD2">
      <w:pPr>
        <w:widowControl w:val="0"/>
        <w:kinsoku/>
        <w:autoSpaceDE/>
        <w:autoSpaceDN/>
        <w:adjustRightInd/>
        <w:snapToGrid/>
        <w:ind w:firstLine="480"/>
        <w:contextualSpacing/>
        <w:textAlignment w:val="auto"/>
        <w:rPr>
          <w:rFonts w:cs="Times New Roman"/>
          <w:snapToGrid/>
          <w:kern w:val="2"/>
          <w:szCs w:val="28"/>
          <w:lang w:eastAsia="zh-CN"/>
        </w:rPr>
      </w:pPr>
      <w:r>
        <w:rPr>
          <w:rFonts w:hint="eastAsia" w:cs="Times New Roman"/>
          <w:snapToGrid/>
          <w:kern w:val="2"/>
          <w:szCs w:val="28"/>
          <w:lang w:eastAsia="zh-CN"/>
        </w:rPr>
        <w:t>技术负责人：何林骏  永州市国有林场服务中心  工程师</w:t>
      </w:r>
    </w:p>
    <w:p w14:paraId="7718660F">
      <w:pPr>
        <w:keepNext w:val="0"/>
        <w:keepLines w:val="0"/>
        <w:pageBreakBefore w:val="0"/>
        <w:widowControl w:val="0"/>
        <w:kinsoku/>
        <w:wordWrap/>
        <w:overflowPunct/>
        <w:topLinePunct w:val="0"/>
        <w:autoSpaceDE/>
        <w:autoSpaceDN/>
        <w:bidi w:val="0"/>
        <w:adjustRightInd/>
        <w:snapToGrid/>
        <w:ind w:left="1440" w:leftChars="600" w:firstLine="480"/>
        <w:contextualSpacing/>
        <w:textAlignment w:val="auto"/>
        <w:rPr>
          <w:rFonts w:cs="Times New Roman"/>
          <w:snapToGrid/>
          <w:kern w:val="2"/>
          <w:szCs w:val="28"/>
          <w:lang w:eastAsia="zh-CN"/>
        </w:rPr>
      </w:pPr>
      <w:r>
        <w:rPr>
          <w:rFonts w:hint="eastAsia" w:cs="Times New Roman"/>
          <w:snapToGrid/>
          <w:kern w:val="2"/>
          <w:szCs w:val="28"/>
          <w:lang w:eastAsia="zh-CN"/>
        </w:rPr>
        <w:t>何周玲  永州市国有林场服务中心  高级工程师</w:t>
      </w:r>
    </w:p>
    <w:p w14:paraId="7E1055D1">
      <w:pPr>
        <w:keepNext w:val="0"/>
        <w:keepLines w:val="0"/>
        <w:pageBreakBefore w:val="0"/>
        <w:widowControl w:val="0"/>
        <w:kinsoku/>
        <w:wordWrap/>
        <w:overflowPunct/>
        <w:topLinePunct w:val="0"/>
        <w:autoSpaceDE/>
        <w:autoSpaceDN/>
        <w:bidi w:val="0"/>
        <w:adjustRightInd/>
        <w:snapToGrid/>
        <w:ind w:left="1440" w:leftChars="600"/>
        <w:contextualSpacing/>
        <w:textAlignment w:val="auto"/>
        <w:rPr>
          <w:rFonts w:hint="eastAsia" w:ascii="宋体" w:hAnsi="宋体"/>
          <w:snapToGrid/>
          <w:kern w:val="2"/>
          <w:szCs w:val="24"/>
          <w:lang w:eastAsia="zh-CN"/>
        </w:rPr>
      </w:pPr>
      <w:r>
        <w:rPr>
          <w:rFonts w:hint="eastAsia" w:cs="Times New Roman"/>
          <w:snapToGrid/>
          <w:kern w:val="2"/>
          <w:szCs w:val="28"/>
          <w:lang w:eastAsia="zh-CN"/>
        </w:rPr>
        <w:t>程屹立  永州市国有林场服务中心  工程师</w:t>
      </w:r>
    </w:p>
    <w:p w14:paraId="53B9233E">
      <w:pPr>
        <w:ind w:firstLine="480"/>
        <w:jc w:val="left"/>
        <w:rPr>
          <w:rFonts w:cs="宋体"/>
          <w:kern w:val="2"/>
          <w:szCs w:val="24"/>
          <w:lang w:eastAsia="zh-CN" w:bidi="ar"/>
        </w:rPr>
      </w:pPr>
      <w:r>
        <w:rPr>
          <w:rFonts w:hint="eastAsia" w:cs="宋体"/>
          <w:kern w:val="2"/>
          <w:szCs w:val="24"/>
          <w:lang w:eastAsia="zh-CN" w:bidi="ar"/>
        </w:rPr>
        <w:t xml:space="preserve">参与人员：   龚    杰   蒋凌云   </w:t>
      </w:r>
      <w:r>
        <w:rPr>
          <w:rFonts w:hint="eastAsia" w:ascii="宋体" w:hAnsi="宋体"/>
          <w:snapToGrid/>
          <w:kern w:val="2"/>
          <w:szCs w:val="24"/>
          <w:lang w:eastAsia="zh-CN"/>
        </w:rPr>
        <w:t>蒋秦栋</w:t>
      </w:r>
      <w:r>
        <w:rPr>
          <w:rFonts w:hint="eastAsia" w:cs="宋体"/>
          <w:kern w:val="2"/>
          <w:szCs w:val="24"/>
          <w:lang w:eastAsia="zh-CN" w:bidi="ar"/>
        </w:rPr>
        <w:t xml:space="preserve">   </w:t>
      </w:r>
      <w:r>
        <w:rPr>
          <w:rFonts w:hint="eastAsia" w:ascii="宋体" w:hAnsi="宋体"/>
          <w:snapToGrid/>
          <w:kern w:val="2"/>
          <w:szCs w:val="24"/>
          <w:lang w:eastAsia="zh-CN"/>
        </w:rPr>
        <w:t>胡孟秋</w:t>
      </w:r>
      <w:r>
        <w:rPr>
          <w:rFonts w:hint="eastAsia" w:cs="宋体"/>
          <w:kern w:val="2"/>
          <w:szCs w:val="24"/>
          <w:lang w:eastAsia="zh-CN" w:bidi="ar"/>
        </w:rPr>
        <w:t xml:space="preserve">   </w:t>
      </w:r>
      <w:r>
        <w:rPr>
          <w:rFonts w:hint="eastAsia" w:ascii="宋体" w:hAnsi="宋体"/>
          <w:snapToGrid/>
          <w:kern w:val="2"/>
          <w:szCs w:val="24"/>
          <w:lang w:eastAsia="zh-CN"/>
        </w:rPr>
        <w:t>唐国清</w:t>
      </w:r>
      <w:r>
        <w:rPr>
          <w:rFonts w:hint="eastAsia" w:cs="宋体"/>
          <w:kern w:val="2"/>
          <w:szCs w:val="24"/>
          <w:lang w:eastAsia="zh-CN" w:bidi="ar"/>
        </w:rPr>
        <w:t xml:space="preserve">   </w:t>
      </w:r>
      <w:r>
        <w:rPr>
          <w:rFonts w:hint="eastAsia" w:ascii="宋体" w:hAnsi="宋体"/>
          <w:snapToGrid/>
          <w:kern w:val="2"/>
          <w:szCs w:val="24"/>
          <w:lang w:eastAsia="zh-CN"/>
        </w:rPr>
        <w:t>皮扬焱</w:t>
      </w:r>
      <w:r>
        <w:rPr>
          <w:rFonts w:hint="eastAsia" w:cs="宋体"/>
          <w:kern w:val="2"/>
          <w:szCs w:val="24"/>
          <w:lang w:eastAsia="zh-CN" w:bidi="ar"/>
        </w:rPr>
        <w:t xml:space="preserve">   唐    圣</w:t>
      </w:r>
    </w:p>
    <w:p w14:paraId="0089E628">
      <w:pPr>
        <w:widowControl w:val="0"/>
        <w:kinsoku/>
        <w:autoSpaceDE/>
        <w:autoSpaceDN/>
        <w:adjustRightInd/>
        <w:snapToGrid/>
        <w:ind w:firstLine="480"/>
        <w:contextualSpacing/>
        <w:textAlignment w:val="auto"/>
        <w:rPr>
          <w:rFonts w:cs="Times New Roman"/>
          <w:snapToGrid/>
          <w:kern w:val="2"/>
          <w:szCs w:val="28"/>
          <w:lang w:eastAsia="zh-CN"/>
        </w:rPr>
      </w:pPr>
      <w:r>
        <w:rPr>
          <w:rFonts w:hint="eastAsia" w:cs="宋体"/>
          <w:kern w:val="2"/>
          <w:szCs w:val="24"/>
          <w:lang w:eastAsia="zh-CN" w:bidi="ar"/>
        </w:rPr>
        <w:t xml:space="preserve">执       笔：    </w:t>
      </w:r>
      <w:r>
        <w:rPr>
          <w:rFonts w:cs="Times New Roman"/>
          <w:snapToGrid/>
          <w:kern w:val="2"/>
          <w:szCs w:val="28"/>
          <w:lang w:eastAsia="zh-CN"/>
        </w:rPr>
        <w:t xml:space="preserve">骆家富  </w:t>
      </w:r>
      <w:r>
        <w:rPr>
          <w:rFonts w:hint="eastAsia" w:cs="Times New Roman"/>
          <w:snapToGrid/>
          <w:kern w:val="2"/>
          <w:szCs w:val="28"/>
          <w:lang w:eastAsia="zh-CN"/>
        </w:rPr>
        <w:t xml:space="preserve"> 奉永轩</w:t>
      </w:r>
      <w:r>
        <w:rPr>
          <w:rFonts w:cs="Times New Roman"/>
          <w:snapToGrid/>
          <w:kern w:val="2"/>
          <w:szCs w:val="28"/>
          <w:lang w:eastAsia="zh-CN"/>
        </w:rPr>
        <w:t xml:space="preserve">  </w:t>
      </w:r>
      <w:r>
        <w:rPr>
          <w:rFonts w:hint="eastAsia" w:cs="Times New Roman"/>
          <w:snapToGrid/>
          <w:kern w:val="2"/>
          <w:szCs w:val="28"/>
          <w:lang w:eastAsia="zh-CN"/>
        </w:rPr>
        <w:t xml:space="preserve"> 刘福星   李官正   雷嘉俊   刘伶俐   叶剑阳</w:t>
      </w:r>
    </w:p>
    <w:p w14:paraId="454F3DD6">
      <w:pPr>
        <w:keepNext w:val="0"/>
        <w:keepLines w:val="0"/>
        <w:pageBreakBefore w:val="0"/>
        <w:widowControl w:val="0"/>
        <w:kinsoku/>
        <w:wordWrap/>
        <w:overflowPunct/>
        <w:topLinePunct w:val="0"/>
        <w:autoSpaceDE/>
        <w:autoSpaceDN/>
        <w:bidi w:val="0"/>
        <w:adjustRightInd/>
        <w:snapToGrid/>
        <w:ind w:left="1440" w:leftChars="600" w:firstLine="480"/>
        <w:contextualSpacing/>
        <w:textAlignment w:val="auto"/>
        <w:rPr>
          <w:rFonts w:cs="Times New Roman"/>
          <w:snapToGrid/>
          <w:kern w:val="2"/>
          <w:szCs w:val="28"/>
          <w:lang w:eastAsia="zh-CN"/>
        </w:rPr>
      </w:pPr>
      <w:r>
        <w:rPr>
          <w:rFonts w:hint="eastAsia" w:cs="Times New Roman"/>
          <w:snapToGrid/>
          <w:kern w:val="2"/>
          <w:szCs w:val="28"/>
          <w:lang w:eastAsia="zh-CN"/>
        </w:rPr>
        <w:t>刘    祺   张心怡   黄起红   苏泽亚   张金锦   林嘉琪   罗师师</w:t>
      </w:r>
    </w:p>
    <w:p w14:paraId="4EC8A8A6">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cs="宋体"/>
          <w:kern w:val="2"/>
          <w:szCs w:val="24"/>
          <w:highlight w:val="yellow"/>
          <w:lang w:eastAsia="zh-CN" w:bidi="ar"/>
        </w:rPr>
      </w:pPr>
      <w:r>
        <w:rPr>
          <w:rFonts w:hint="eastAsia" w:cs="宋体"/>
          <w:kern w:val="2"/>
          <w:szCs w:val="24"/>
          <w:lang w:eastAsia="zh-CN" w:bidi="ar"/>
        </w:rPr>
        <w:t xml:space="preserve">审      </w:t>
      </w:r>
      <w:r>
        <w:rPr>
          <w:rFonts w:hint="eastAsia" w:cs="宋体"/>
          <w:kern w:val="2"/>
          <w:szCs w:val="24"/>
          <w:lang w:val="en-US" w:eastAsia="zh-CN" w:bidi="ar"/>
        </w:rPr>
        <w:t xml:space="preserve"> </w:t>
      </w:r>
      <w:r>
        <w:rPr>
          <w:rFonts w:hint="eastAsia" w:cs="宋体"/>
          <w:kern w:val="2"/>
          <w:szCs w:val="24"/>
          <w:lang w:eastAsia="zh-CN" w:bidi="ar"/>
        </w:rPr>
        <w:t xml:space="preserve">稿：    </w:t>
      </w:r>
      <w:r>
        <w:rPr>
          <w:rFonts w:hint="eastAsia" w:cs="宋体"/>
          <w:kern w:val="2"/>
          <w:szCs w:val="24"/>
          <w:lang w:val="en-US" w:eastAsia="zh-CN" w:bidi="ar"/>
        </w:rPr>
        <w:t xml:space="preserve"> </w:t>
      </w:r>
      <w:r>
        <w:rPr>
          <w:rFonts w:hint="eastAsia" w:cs="宋体"/>
          <w:kern w:val="2"/>
          <w:szCs w:val="24"/>
          <w:highlight w:val="yellow"/>
          <w:lang w:eastAsia="zh-CN" w:bidi="ar"/>
        </w:rPr>
        <w:t xml:space="preserve">杨丽军  双牌县阳明山国有林场  党委书记  </w:t>
      </w:r>
    </w:p>
    <w:p w14:paraId="4B744032">
      <w:pPr>
        <w:keepNext w:val="0"/>
        <w:keepLines w:val="0"/>
        <w:pageBreakBefore w:val="0"/>
        <w:widowControl/>
        <w:kinsoku w:val="0"/>
        <w:wordWrap/>
        <w:overflowPunct/>
        <w:topLinePunct w:val="0"/>
        <w:autoSpaceDE w:val="0"/>
        <w:autoSpaceDN w:val="0"/>
        <w:bidi w:val="0"/>
        <w:adjustRightInd w:val="0"/>
        <w:snapToGrid w:val="0"/>
        <w:ind w:left="1440" w:leftChars="600" w:firstLine="480" w:firstLineChars="200"/>
        <w:jc w:val="left"/>
        <w:textAlignment w:val="baseline"/>
        <w:rPr>
          <w:rFonts w:cs="宋体"/>
          <w:kern w:val="2"/>
          <w:szCs w:val="24"/>
          <w:highlight w:val="yellow"/>
          <w:lang w:eastAsia="zh-CN" w:bidi="ar"/>
        </w:rPr>
      </w:pPr>
      <w:r>
        <w:rPr>
          <w:rFonts w:hint="eastAsia" w:cs="宋体"/>
          <w:kern w:val="2"/>
          <w:szCs w:val="24"/>
          <w:highlight w:val="yellow"/>
          <w:lang w:eastAsia="zh-CN" w:bidi="ar"/>
        </w:rPr>
        <w:t>张    明  双牌县阳明山国有林场   场      长</w:t>
      </w:r>
    </w:p>
    <w:p w14:paraId="3554B0A3">
      <w:pPr>
        <w:keepNext w:val="0"/>
        <w:keepLines w:val="0"/>
        <w:pageBreakBefore w:val="0"/>
        <w:widowControl/>
        <w:kinsoku w:val="0"/>
        <w:wordWrap/>
        <w:overflowPunct/>
        <w:topLinePunct w:val="0"/>
        <w:autoSpaceDE w:val="0"/>
        <w:autoSpaceDN w:val="0"/>
        <w:bidi w:val="0"/>
        <w:adjustRightInd w:val="0"/>
        <w:snapToGrid w:val="0"/>
        <w:ind w:left="1440" w:leftChars="600" w:firstLine="480" w:firstLineChars="200"/>
        <w:jc w:val="left"/>
        <w:textAlignment w:val="baseline"/>
        <w:rPr>
          <w:rFonts w:cs="宋体"/>
          <w:kern w:val="2"/>
          <w:szCs w:val="24"/>
          <w:highlight w:val="yellow"/>
          <w:lang w:eastAsia="zh-CN" w:bidi="ar"/>
        </w:rPr>
      </w:pPr>
      <w:r>
        <w:rPr>
          <w:rFonts w:hint="eastAsia" w:cs="宋体"/>
          <w:kern w:val="2"/>
          <w:szCs w:val="24"/>
          <w:highlight w:val="yellow"/>
          <w:lang w:eastAsia="zh-CN" w:bidi="ar"/>
        </w:rPr>
        <w:t>龚    杰  双牌县阳明山国有林场   副 书 记</w:t>
      </w:r>
    </w:p>
    <w:p w14:paraId="4514ECBB">
      <w:pPr>
        <w:keepNext w:val="0"/>
        <w:keepLines w:val="0"/>
        <w:pageBreakBefore w:val="0"/>
        <w:widowControl/>
        <w:kinsoku w:val="0"/>
        <w:wordWrap/>
        <w:overflowPunct/>
        <w:topLinePunct w:val="0"/>
        <w:autoSpaceDE w:val="0"/>
        <w:autoSpaceDN w:val="0"/>
        <w:bidi w:val="0"/>
        <w:adjustRightInd w:val="0"/>
        <w:snapToGrid w:val="0"/>
        <w:ind w:left="1440" w:leftChars="600" w:firstLine="480" w:firstLineChars="200"/>
        <w:jc w:val="left"/>
        <w:textAlignment w:val="baseline"/>
        <w:rPr>
          <w:rFonts w:hint="eastAsia" w:cs="宋体"/>
          <w:kern w:val="2"/>
          <w:szCs w:val="24"/>
          <w:highlight w:val="yellow"/>
          <w:lang w:val="en-US" w:eastAsia="zh-CN" w:bidi="ar"/>
        </w:rPr>
      </w:pPr>
      <w:r>
        <w:rPr>
          <w:rFonts w:hint="eastAsia" w:cs="宋体"/>
          <w:kern w:val="2"/>
          <w:szCs w:val="24"/>
          <w:highlight w:val="yellow"/>
          <w:lang w:eastAsia="zh-CN" w:bidi="ar"/>
        </w:rPr>
        <w:t>蒋凌云  双牌县阳明山国有林场 组织委员</w:t>
      </w:r>
    </w:p>
    <w:p w14:paraId="0C040227">
      <w:pPr>
        <w:keepNext w:val="0"/>
        <w:keepLines w:val="0"/>
        <w:pageBreakBefore w:val="0"/>
        <w:widowControl/>
        <w:kinsoku w:val="0"/>
        <w:wordWrap/>
        <w:overflowPunct/>
        <w:topLinePunct w:val="0"/>
        <w:autoSpaceDE w:val="0"/>
        <w:autoSpaceDN w:val="0"/>
        <w:bidi w:val="0"/>
        <w:adjustRightInd w:val="0"/>
        <w:snapToGrid w:val="0"/>
        <w:ind w:left="1440" w:leftChars="600" w:firstLine="480" w:firstLineChars="200"/>
        <w:jc w:val="left"/>
        <w:textAlignment w:val="baseline"/>
        <w:rPr>
          <w:rFonts w:hint="eastAsia" w:cs="宋体"/>
          <w:kern w:val="2"/>
          <w:szCs w:val="24"/>
          <w:highlight w:val="yellow"/>
          <w:lang w:eastAsia="zh-CN" w:bidi="ar"/>
        </w:rPr>
      </w:pPr>
      <w:r>
        <w:rPr>
          <w:rFonts w:hint="eastAsia" w:cs="宋体"/>
          <w:kern w:val="2"/>
          <w:szCs w:val="24"/>
          <w:highlight w:val="yellow"/>
          <w:lang w:eastAsia="zh-CN" w:bidi="ar"/>
        </w:rPr>
        <w:t>盘爱军  双牌县林业局  局  长</w:t>
      </w:r>
    </w:p>
    <w:p w14:paraId="10D35515">
      <w:pPr>
        <w:keepNext w:val="0"/>
        <w:keepLines w:val="0"/>
        <w:pageBreakBefore w:val="0"/>
        <w:widowControl/>
        <w:kinsoku w:val="0"/>
        <w:wordWrap/>
        <w:overflowPunct/>
        <w:topLinePunct w:val="0"/>
        <w:autoSpaceDE w:val="0"/>
        <w:autoSpaceDN w:val="0"/>
        <w:bidi w:val="0"/>
        <w:adjustRightInd w:val="0"/>
        <w:snapToGrid w:val="0"/>
        <w:ind w:left="1440" w:leftChars="600"/>
        <w:jc w:val="left"/>
        <w:textAlignment w:val="baseline"/>
        <w:rPr>
          <w:rFonts w:cs="宋体"/>
          <w:kern w:val="2"/>
          <w:szCs w:val="24"/>
          <w:highlight w:val="yellow"/>
          <w:lang w:eastAsia="zh-CN" w:bidi="ar"/>
        </w:rPr>
      </w:pPr>
      <w:r>
        <w:rPr>
          <w:rFonts w:hint="eastAsia" w:cs="宋体"/>
          <w:kern w:val="2"/>
          <w:szCs w:val="24"/>
          <w:highlight w:val="yellow"/>
          <w:lang w:eastAsia="zh-CN" w:bidi="ar"/>
        </w:rPr>
        <w:t>刘    辉  双牌县林业局  副局长</w:t>
      </w:r>
    </w:p>
    <w:p w14:paraId="1673C1FA">
      <w:pPr>
        <w:keepNext w:val="0"/>
        <w:keepLines w:val="0"/>
        <w:pageBreakBefore w:val="0"/>
        <w:widowControl/>
        <w:kinsoku w:val="0"/>
        <w:wordWrap/>
        <w:overflowPunct/>
        <w:topLinePunct w:val="0"/>
        <w:autoSpaceDE w:val="0"/>
        <w:autoSpaceDN w:val="0"/>
        <w:bidi w:val="0"/>
        <w:adjustRightInd w:val="0"/>
        <w:snapToGrid w:val="0"/>
        <w:ind w:left="1440" w:leftChars="600" w:firstLine="480" w:firstLineChars="200"/>
        <w:jc w:val="left"/>
        <w:textAlignment w:val="baseline"/>
        <w:rPr>
          <w:rFonts w:cs="宋体"/>
          <w:kern w:val="2"/>
          <w:szCs w:val="24"/>
          <w:highlight w:val="yellow"/>
          <w:lang w:eastAsia="zh-CN" w:bidi="ar"/>
        </w:rPr>
      </w:pPr>
      <w:r>
        <w:rPr>
          <w:rFonts w:hint="eastAsia" w:cs="宋体"/>
          <w:kern w:val="2"/>
          <w:szCs w:val="24"/>
          <w:highlight w:val="yellow"/>
          <w:lang w:eastAsia="zh-CN" w:bidi="ar"/>
        </w:rPr>
        <w:t>胡    楠  双牌县林业局  工程师</w:t>
      </w:r>
    </w:p>
    <w:p w14:paraId="0B036FF7">
      <w:pPr>
        <w:widowControl w:val="0"/>
        <w:kinsoku/>
        <w:autoSpaceDE/>
        <w:autoSpaceDN/>
        <w:adjustRightInd/>
        <w:snapToGrid/>
        <w:ind w:left="1747" w:leftChars="228" w:hanging="1200" w:hangingChars="500"/>
        <w:contextualSpacing/>
        <w:textAlignment w:val="auto"/>
        <w:rPr>
          <w:rFonts w:cs="Times New Roman"/>
          <w:snapToGrid/>
          <w:kern w:val="2"/>
          <w:szCs w:val="28"/>
          <w:lang w:eastAsia="zh-CN"/>
        </w:rPr>
      </w:pPr>
      <w:r>
        <w:rPr>
          <w:rFonts w:hint="eastAsia" w:cs="宋体"/>
          <w:kern w:val="2"/>
          <w:szCs w:val="24"/>
          <w:lang w:eastAsia="zh-CN" w:bidi="ar"/>
        </w:rPr>
        <w:t xml:space="preserve">制      图：    </w:t>
      </w:r>
      <w:r>
        <w:rPr>
          <w:rFonts w:cs="Times New Roman"/>
          <w:snapToGrid/>
          <w:kern w:val="2"/>
          <w:szCs w:val="28"/>
          <w:lang w:eastAsia="zh-CN"/>
        </w:rPr>
        <w:t xml:space="preserve">骆家富  </w:t>
      </w:r>
      <w:r>
        <w:rPr>
          <w:rFonts w:hint="eastAsia" w:cs="Times New Roman"/>
          <w:snapToGrid/>
          <w:kern w:val="2"/>
          <w:szCs w:val="28"/>
          <w:lang w:eastAsia="zh-CN"/>
        </w:rPr>
        <w:t xml:space="preserve">奉永轩  刘福星  </w:t>
      </w:r>
      <w:r>
        <w:rPr>
          <w:rFonts w:hint="eastAsia" w:cs="宋体"/>
          <w:kern w:val="2"/>
          <w:szCs w:val="24"/>
          <w:lang w:eastAsia="zh-CN" w:bidi="ar"/>
        </w:rPr>
        <w:t xml:space="preserve"> </w:t>
      </w:r>
      <w:r>
        <w:rPr>
          <w:rFonts w:hint="eastAsia" w:cs="Times New Roman"/>
          <w:snapToGrid/>
          <w:kern w:val="2"/>
          <w:szCs w:val="28"/>
          <w:lang w:eastAsia="zh-CN"/>
        </w:rPr>
        <w:t xml:space="preserve">刘伶俐  </w:t>
      </w:r>
      <w:r>
        <w:rPr>
          <w:rFonts w:cs="Times New Roman"/>
          <w:snapToGrid/>
          <w:kern w:val="2"/>
          <w:szCs w:val="28"/>
          <w:lang w:eastAsia="zh-CN"/>
        </w:rPr>
        <w:t xml:space="preserve">叶剑阳 </w:t>
      </w:r>
      <w:r>
        <w:rPr>
          <w:rFonts w:hint="eastAsia" w:cs="Times New Roman"/>
          <w:snapToGrid/>
          <w:kern w:val="2"/>
          <w:szCs w:val="28"/>
          <w:lang w:eastAsia="zh-CN"/>
        </w:rPr>
        <w:t xml:space="preserve"> 李官正  雷嘉俊  </w:t>
      </w:r>
    </w:p>
    <w:p w14:paraId="1DEB0DCE">
      <w:pPr>
        <w:keepNext w:val="0"/>
        <w:keepLines w:val="0"/>
        <w:pageBreakBefore w:val="0"/>
        <w:widowControl w:val="0"/>
        <w:kinsoku/>
        <w:wordWrap/>
        <w:overflowPunct/>
        <w:topLinePunct w:val="0"/>
        <w:autoSpaceDE/>
        <w:autoSpaceDN/>
        <w:bidi w:val="0"/>
        <w:adjustRightInd/>
        <w:snapToGrid/>
        <w:ind w:left="1440" w:leftChars="600" w:firstLine="480" w:firstLineChars="200"/>
        <w:contextualSpacing/>
        <w:textAlignment w:val="auto"/>
        <w:rPr>
          <w:rFonts w:cs="Times New Roman"/>
          <w:snapToGrid/>
          <w:kern w:val="2"/>
          <w:szCs w:val="28"/>
          <w:lang w:eastAsia="zh-CN"/>
        </w:rPr>
      </w:pPr>
      <w:r>
        <w:rPr>
          <w:rFonts w:hint="eastAsia" w:cs="Times New Roman"/>
          <w:snapToGrid/>
          <w:kern w:val="2"/>
          <w:szCs w:val="28"/>
          <w:lang w:eastAsia="zh-CN"/>
        </w:rPr>
        <w:t>赵庄恒  罗师师</w:t>
      </w:r>
    </w:p>
    <w:p w14:paraId="5D7D5EB7">
      <w:pPr>
        <w:ind w:left="1680" w:leftChars="200" w:hanging="1200" w:hangingChars="500"/>
        <w:jc w:val="left"/>
        <w:rPr>
          <w:rFonts w:cs="宋体"/>
          <w:kern w:val="2"/>
          <w:szCs w:val="24"/>
          <w:lang w:eastAsia="zh-CN" w:bidi="ar"/>
        </w:rPr>
      </w:pPr>
    </w:p>
    <w:p w14:paraId="2DA78C3E">
      <w:pPr>
        <w:spacing w:line="480" w:lineRule="auto"/>
        <w:ind w:firstLine="562"/>
        <w:rPr>
          <w:rFonts w:cs="Times New Roman" w:eastAsiaTheme="minorEastAsia"/>
          <w:b/>
          <w:bCs/>
          <w:sz w:val="28"/>
          <w:szCs w:val="28"/>
          <w:lang w:eastAsia="zh-CN"/>
        </w:rPr>
      </w:pPr>
      <w:r>
        <w:rPr>
          <w:rFonts w:cs="Times New Roman"/>
          <w:b/>
          <w:bCs/>
          <w:sz w:val="28"/>
          <w:szCs w:val="28"/>
          <w:lang w:eastAsia="zh-CN"/>
        </w:rPr>
        <w:br w:type="page"/>
      </w:r>
    </w:p>
    <w:p w14:paraId="0FBBE05F">
      <w:pPr>
        <w:kinsoku/>
        <w:autoSpaceDE/>
        <w:autoSpaceDN/>
        <w:adjustRightInd/>
        <w:snapToGrid/>
        <w:spacing w:after="240" w:afterLines="100"/>
        <w:ind w:firstLine="562"/>
        <w:jc w:val="center"/>
        <w:textAlignment w:val="auto"/>
        <w:outlineLvl w:val="0"/>
        <w:rPr>
          <w:rFonts w:cs="Times New Roman"/>
          <w:sz w:val="28"/>
          <w:szCs w:val="28"/>
          <w:lang w:eastAsia="zh-CN"/>
        </w:rPr>
      </w:pPr>
      <w:bookmarkStart w:id="3" w:name="_Toc11077"/>
      <w:r>
        <w:rPr>
          <w:rFonts w:cs="Times New Roman"/>
          <w:b/>
          <w:bCs/>
          <w:sz w:val="28"/>
          <w:szCs w:val="28"/>
          <w:lang w:eastAsia="zh-CN"/>
        </w:rPr>
        <w:t>前</w:t>
      </w:r>
      <w:r>
        <w:rPr>
          <w:rFonts w:hint="eastAsia" w:cs="Times New Roman"/>
          <w:b/>
          <w:bCs/>
          <w:sz w:val="28"/>
          <w:szCs w:val="28"/>
          <w:lang w:eastAsia="zh-CN"/>
        </w:rPr>
        <w:t xml:space="preserve">  </w:t>
      </w:r>
      <w:r>
        <w:rPr>
          <w:rFonts w:cs="Times New Roman"/>
          <w:b/>
          <w:bCs/>
          <w:sz w:val="28"/>
          <w:szCs w:val="28"/>
          <w:lang w:eastAsia="zh-CN"/>
        </w:rPr>
        <w:t>言</w:t>
      </w:r>
      <w:bookmarkEnd w:id="3"/>
    </w:p>
    <w:p w14:paraId="359B58AE">
      <w:pPr>
        <w:spacing w:before="120" w:beforeLines="50" w:line="389" w:lineRule="auto"/>
        <w:ind w:firstLine="480"/>
        <w:rPr>
          <w:rFonts w:cs="Times New Roman"/>
          <w:szCs w:val="24"/>
          <w:lang w:eastAsia="zh-CN"/>
        </w:rPr>
      </w:pPr>
      <w:r>
        <w:rPr>
          <w:rFonts w:cs="Times New Roman"/>
          <w:szCs w:val="24"/>
          <w:lang w:eastAsia="zh-CN"/>
        </w:rPr>
        <w:t>森林经营方案是森林经营主体为了科学、合理、有序地经营森林，充分发挥森林的生态、经济和社会效益，根据森林资源状况和社会、经济、自然条件，编制的有关森林资源培育、保护和利用及其生产顺序和经营利用措施安排的规划设计文件。科学编制森林经营方案，是实施林业可持续发展战略的必然要求，也是着力提高森林质量的有效措施和手段，对于维护国家生态安全、淡水安全、气候安全、物种安全和木材安全，实现森林可持续发展具有十分重要的意义。《中华人民共和国森林法》第五十三条规定：国有林业企业事业单位应当编制森林经营方案，明确森林培育和管护的经营措施，报县级以上人民政府林业主管部门批准后实施；第七十二条规定：国有林业企事业单位未履行保护培育森林资源义务、未编制森林经营方案或者未按照批准的森林经营方案开展森林经营活动的，由县级以上人民政府林业主管部门责令限期改正，对直接负责的主管人员和其他直接责任人员依法给予处分。因此，编制森林经营方案既是《中华人民共和国森林法》的法定要求，也是林业行政主管部门和森林经营单位依法管理和经营森林的依据，既是贯彻落实习近平总书记</w:t>
      </w:r>
      <w:r>
        <w:rPr>
          <w:rFonts w:hint="eastAsia" w:cs="Times New Roman"/>
          <w:szCs w:val="24"/>
          <w:lang w:eastAsia="zh-CN"/>
        </w:rPr>
        <w:t>“</w:t>
      </w:r>
      <w:r>
        <w:rPr>
          <w:rFonts w:cs="Times New Roman"/>
          <w:szCs w:val="24"/>
          <w:lang w:eastAsia="zh-CN"/>
        </w:rPr>
        <w:t>四个着力</w:t>
      </w:r>
      <w:r>
        <w:rPr>
          <w:rFonts w:hint="eastAsia" w:cs="Times New Roman"/>
          <w:szCs w:val="24"/>
          <w:lang w:eastAsia="zh-CN"/>
        </w:rPr>
        <w:t>”</w:t>
      </w:r>
      <w:r>
        <w:rPr>
          <w:rFonts w:cs="Times New Roman"/>
          <w:szCs w:val="24"/>
          <w:lang w:eastAsia="zh-CN"/>
        </w:rPr>
        <w:t>要求的具体举措，也是我国森林资源提质增效的根本抓手。</w:t>
      </w:r>
    </w:p>
    <w:p w14:paraId="7C1282B9">
      <w:pPr>
        <w:adjustRightInd w:val="0"/>
        <w:snapToGrid w:val="0"/>
        <w:spacing w:line="360" w:lineRule="auto"/>
        <w:ind w:left="137" w:leftChars="57" w:firstLine="360" w:firstLineChars="150"/>
        <w:rPr>
          <w:rFonts w:hint="eastAsia" w:ascii="宋体" w:hAnsi="宋体" w:cs="宋体"/>
          <w:sz w:val="24"/>
        </w:rPr>
      </w:pPr>
      <w:r>
        <w:rPr>
          <w:rFonts w:hint="eastAsia" w:ascii="宋体" w:hAnsi="宋体" w:cs="宋体"/>
          <w:sz w:val="24"/>
        </w:rPr>
        <w:t>林场始建于1958年，始建址在宁远县上龙盘乡土谷坪村，当时属宁远县管辖。1959年场址由土谷坪迁往黄柏洞乡，称国营宁远阳明山林场，林场代管黄柏洞乡三个村。1965年林场划归潇水林区管理局，并接管零陵县茶林乡绞车庙村和国营五星岭林场的三岔水、阳明山、北江冲工区。1969年双牌建县后划归双牌县管辖。林场下设三岔水、北江冲、阳明山三个工区。同时代管4个行政村。土地总面积11398.33公顷，其中1行政村</w:t>
      </w:r>
      <w:r>
        <w:rPr>
          <w:rFonts w:hint="eastAsia" w:ascii="宋体" w:hAnsi="宋体" w:cs="宋体"/>
          <w:sz w:val="24"/>
          <w:lang w:eastAsia="zh-CN"/>
        </w:rPr>
        <w:t>(</w:t>
      </w:r>
      <w:r>
        <w:rPr>
          <w:rFonts w:hint="eastAsia" w:ascii="宋体" w:hAnsi="宋体" w:cs="宋体"/>
          <w:sz w:val="24"/>
        </w:rPr>
        <w:t>原4个村，现合并</w:t>
      </w:r>
      <w:r>
        <w:rPr>
          <w:rFonts w:hint="eastAsia" w:ascii="宋体" w:hAnsi="宋体" w:cs="宋体"/>
          <w:sz w:val="24"/>
          <w:lang w:eastAsia="zh-CN"/>
        </w:rPr>
        <w:t>)</w:t>
      </w:r>
      <w:r>
        <w:rPr>
          <w:rFonts w:hint="eastAsia" w:ascii="宋体" w:hAnsi="宋体" w:cs="宋体"/>
          <w:sz w:val="24"/>
        </w:rPr>
        <w:t>集所有的土地面积为7286.71公顷，国有林场所有国有土面积为4111.42公顷。</w:t>
      </w:r>
    </w:p>
    <w:p w14:paraId="3E2C205D">
      <w:pPr>
        <w:spacing w:before="50" w:line="389" w:lineRule="auto"/>
        <w:ind w:left="18" w:right="91" w:firstLine="480"/>
        <w:rPr>
          <w:rFonts w:hint="default" w:eastAsia="宋体" w:cs="Times New Roman"/>
          <w:szCs w:val="24"/>
          <w:lang w:val="en-US" w:eastAsia="zh-CN"/>
        </w:rPr>
      </w:pPr>
      <w:r>
        <w:rPr>
          <w:rFonts w:hint="eastAsia" w:ascii="宋体" w:hAnsi="宋体" w:cs="宋体"/>
          <w:sz w:val="24"/>
        </w:rPr>
        <w:t>1982年湖南省人民政府以湘政发(1982)29号文《关于保护稀有珍贵动植物资源的通知》批准设立湖南省阳明山自然保护区；1992年4月被原国家林业部批准设立湖南省阳明山国家森林公园；2009年9月被国家环保部批准设立湖南省阳明山国家级自然保护区。</w:t>
      </w:r>
      <w:r>
        <w:rPr>
          <w:rFonts w:hint="eastAsia" w:ascii="宋体" w:hAnsi="宋体" w:cs="宋体"/>
          <w:sz w:val="24"/>
          <w:lang w:val="en-US" w:eastAsia="zh-CN"/>
        </w:rPr>
        <w:t>现双牌县阳明山林场经营总面积为</w:t>
      </w:r>
      <w:r>
        <w:rPr>
          <w:lang w:eastAsia="zh-CN"/>
        </w:rPr>
        <w:t>11458.53</w:t>
      </w:r>
      <w:r>
        <w:rPr>
          <w:rFonts w:hint="eastAsia" w:cs="Times New Roman"/>
          <w:szCs w:val="24"/>
          <w:lang w:val="zh-CN" w:eastAsia="zh-CN"/>
        </w:rPr>
        <w:t>hm</w:t>
      </w:r>
      <w:r>
        <w:rPr>
          <w:rFonts w:hint="eastAsia" w:cs="Times New Roman"/>
          <w:szCs w:val="24"/>
          <w:vertAlign w:val="superscript"/>
          <w:lang w:val="zh-CN" w:eastAsia="zh-CN"/>
        </w:rPr>
        <w:t>2</w:t>
      </w:r>
    </w:p>
    <w:p w14:paraId="00CECB11">
      <w:pPr>
        <w:spacing w:before="120" w:beforeLines="50" w:line="389" w:lineRule="auto"/>
        <w:ind w:firstLine="480"/>
        <w:rPr>
          <w:rFonts w:cs="Times New Roman"/>
          <w:szCs w:val="24"/>
          <w:lang w:eastAsia="zh-CN"/>
        </w:rPr>
      </w:pPr>
      <w:r>
        <w:rPr>
          <w:rFonts w:cs="Times New Roman"/>
          <w:szCs w:val="24"/>
          <w:lang w:eastAsia="zh-CN"/>
        </w:rPr>
        <w:t>林场上期经营以科学发展观为指导，以森林可持续经营理论为依据，以生态建设为中心，通过科学规划、分类经营、分区实施，实现对森林资源的有效保护和利用，充分发挥了林业的生态效益、经济效益和社会效益。然而，近些年国家和湖南省各级政府高度重视森林可持续经营和森林质量精准提升工作，林场前期编制的经营方案已不适用于当前林业发展需求。因此，根据国家林业和草原局《关于加快推进森林经营编制工作的通知》</w:t>
      </w:r>
      <w:r>
        <w:rPr>
          <w:rFonts w:hint="eastAsia" w:cs="Times New Roman"/>
          <w:szCs w:val="24"/>
          <w:lang w:eastAsia="zh-CN"/>
        </w:rPr>
        <w:t>(</w:t>
      </w:r>
      <w:r>
        <w:rPr>
          <w:rFonts w:cs="Times New Roman"/>
          <w:szCs w:val="24"/>
          <w:lang w:eastAsia="zh-CN"/>
        </w:rPr>
        <w:t>林资发</w:t>
      </w:r>
      <w:r>
        <w:rPr>
          <w:rFonts w:hint="eastAsia" w:cs="Times New Roman"/>
          <w:szCs w:val="24"/>
          <w:lang w:eastAsia="zh-CN"/>
        </w:rPr>
        <w:t>〔2018〕57号))</w:t>
      </w:r>
      <w:r>
        <w:rPr>
          <w:rFonts w:cs="Times New Roman"/>
          <w:szCs w:val="24"/>
          <w:lang w:eastAsia="zh-CN"/>
        </w:rPr>
        <w:t>和省林业局《湖南省森林经营方案编制</w:t>
      </w:r>
      <w:r>
        <w:rPr>
          <w:rFonts w:hint="eastAsia" w:cs="Times New Roman"/>
          <w:szCs w:val="24"/>
          <w:lang w:eastAsia="zh-CN"/>
        </w:rPr>
        <w:t>(</w:t>
      </w:r>
      <w:r>
        <w:rPr>
          <w:rFonts w:cs="Times New Roman"/>
          <w:szCs w:val="24"/>
          <w:lang w:eastAsia="zh-CN"/>
        </w:rPr>
        <w:t>修编</w:t>
      </w:r>
      <w:r>
        <w:rPr>
          <w:rFonts w:hint="eastAsia" w:cs="Times New Roman"/>
          <w:szCs w:val="24"/>
          <w:lang w:eastAsia="zh-CN"/>
        </w:rPr>
        <w:t>)</w:t>
      </w:r>
      <w:r>
        <w:rPr>
          <w:rFonts w:cs="Times New Roman"/>
          <w:szCs w:val="24"/>
          <w:lang w:eastAsia="zh-CN"/>
        </w:rPr>
        <w:t>工作方案》</w:t>
      </w:r>
      <w:r>
        <w:rPr>
          <w:rFonts w:hint="eastAsia" w:cs="Times New Roman"/>
          <w:szCs w:val="24"/>
          <w:lang w:eastAsia="zh-CN"/>
        </w:rPr>
        <w:t>(</w:t>
      </w:r>
      <w:r>
        <w:rPr>
          <w:rFonts w:cs="Times New Roman"/>
          <w:szCs w:val="24"/>
          <w:lang w:eastAsia="zh-CN"/>
        </w:rPr>
        <w:t>湘林资函</w:t>
      </w:r>
      <w:r>
        <w:rPr>
          <w:rFonts w:hint="eastAsia" w:cs="Times New Roman"/>
          <w:szCs w:val="24"/>
          <w:lang w:eastAsia="zh-CN"/>
        </w:rPr>
        <w:t>〔2024〕22号)</w:t>
      </w:r>
      <w:r>
        <w:rPr>
          <w:rFonts w:cs="Times New Roman"/>
          <w:szCs w:val="24"/>
          <w:lang w:eastAsia="zh-CN"/>
        </w:rPr>
        <w:t>等相关文件要求，2024年8月湖南省永州市双牌县阳明山国有林场专门成立了森林经营方案</w:t>
      </w:r>
      <w:r>
        <w:rPr>
          <w:rFonts w:hint="eastAsia" w:cs="Times New Roman"/>
          <w:szCs w:val="24"/>
          <w:lang w:eastAsia="zh-CN"/>
        </w:rPr>
        <w:t>(</w:t>
      </w:r>
      <w:r>
        <w:rPr>
          <w:rFonts w:cs="Times New Roman"/>
          <w:szCs w:val="24"/>
          <w:lang w:eastAsia="zh-CN"/>
        </w:rPr>
        <w:t>修编</w:t>
      </w:r>
      <w:r>
        <w:rPr>
          <w:rFonts w:hint="eastAsia" w:cs="Times New Roman"/>
          <w:szCs w:val="24"/>
          <w:lang w:eastAsia="zh-CN"/>
        </w:rPr>
        <w:t>)</w:t>
      </w:r>
      <w:r>
        <w:rPr>
          <w:rFonts w:cs="Times New Roman"/>
          <w:szCs w:val="24"/>
          <w:lang w:eastAsia="zh-CN"/>
        </w:rPr>
        <w:t>领导小组并委托中南林业科技大学进行“双牌县阳明山国有林场森林经营方案</w:t>
      </w:r>
      <w:r>
        <w:rPr>
          <w:rFonts w:hint="eastAsia" w:cs="Times New Roman"/>
          <w:szCs w:val="24"/>
          <w:lang w:eastAsia="zh-CN"/>
        </w:rPr>
        <w:t>(</w:t>
      </w:r>
      <w:r>
        <w:rPr>
          <w:rFonts w:cs="Times New Roman"/>
          <w:szCs w:val="24"/>
          <w:lang w:eastAsia="zh-CN"/>
        </w:rPr>
        <w:t>2024—2030年</w:t>
      </w:r>
      <w:r>
        <w:rPr>
          <w:rFonts w:hint="eastAsia" w:cs="Times New Roman"/>
          <w:szCs w:val="24"/>
          <w:lang w:eastAsia="zh-CN"/>
        </w:rPr>
        <w:t>)</w:t>
      </w:r>
      <w:r>
        <w:rPr>
          <w:rFonts w:cs="Times New Roman"/>
          <w:szCs w:val="24"/>
          <w:lang w:eastAsia="zh-CN"/>
        </w:rPr>
        <w:t>”的修编工作。在省、市、县林业有关部门的重视、关心和指导下，在林场及其所在乡镇的大力支持下，双牌县阳明山国有林场森林经营方案</w:t>
      </w:r>
      <w:r>
        <w:rPr>
          <w:rFonts w:hint="eastAsia" w:cs="Times New Roman"/>
          <w:szCs w:val="24"/>
          <w:lang w:eastAsia="zh-CN"/>
        </w:rPr>
        <w:t>(</w:t>
      </w:r>
      <w:r>
        <w:rPr>
          <w:rFonts w:cs="Times New Roman"/>
          <w:szCs w:val="24"/>
          <w:lang w:eastAsia="zh-CN"/>
        </w:rPr>
        <w:t>2024—2030年</w:t>
      </w:r>
      <w:r>
        <w:rPr>
          <w:rFonts w:hint="eastAsia" w:cs="Times New Roman"/>
          <w:szCs w:val="24"/>
          <w:lang w:eastAsia="zh-CN"/>
        </w:rPr>
        <w:t>)</w:t>
      </w:r>
      <w:r>
        <w:rPr>
          <w:rFonts w:cs="Times New Roman"/>
          <w:szCs w:val="24"/>
          <w:lang w:eastAsia="zh-CN"/>
        </w:rPr>
        <w:t>编制工作圆满结束，在此一并致谢。</w:t>
      </w:r>
    </w:p>
    <w:p w14:paraId="7BDF34EA">
      <w:pPr>
        <w:ind w:firstLine="480"/>
        <w:jc w:val="center"/>
        <w:rPr>
          <w:rFonts w:cs="Times New Roman"/>
          <w:lang w:eastAsia="zh-CN"/>
        </w:rPr>
        <w:sectPr>
          <w:footerReference r:id="rId11" w:type="default"/>
          <w:pgSz w:w="11905" w:h="16843"/>
          <w:pgMar w:top="1440" w:right="1406" w:bottom="1440" w:left="1803" w:header="873" w:footer="1276" w:gutter="0"/>
          <w:pgNumType w:fmt="upperRoman" w:start="1"/>
          <w:cols w:space="0" w:num="1"/>
          <w:rtlGutter w:val="0"/>
          <w:docGrid w:linePitch="326" w:charSpace="0"/>
        </w:sectPr>
      </w:pPr>
    </w:p>
    <w:sdt>
      <w:sdtPr>
        <w:rPr>
          <w:rFonts w:cs="Times New Roman"/>
        </w:rPr>
        <w:id w:val="147476856"/>
        <w15:color w:val="DBDBDB"/>
        <w:docPartObj>
          <w:docPartGallery w:val="Table of Contents"/>
          <w:docPartUnique/>
        </w:docPartObj>
      </w:sdtPr>
      <w:sdtEndPr>
        <w:rPr>
          <w:rFonts w:cs="Times New Roman"/>
          <w:b/>
        </w:rPr>
      </w:sdtEndPr>
      <w:sdtContent>
        <w:p w14:paraId="762F1F5F">
          <w:pPr>
            <w:ind w:firstLine="480"/>
            <w:jc w:val="center"/>
            <w:rPr>
              <w:rFonts w:cs="Times New Roman"/>
              <w:b/>
              <w:bCs/>
              <w:sz w:val="40"/>
              <w:szCs w:val="40"/>
            </w:rPr>
          </w:pPr>
          <w:r>
            <w:rPr>
              <w:rFonts w:hint="eastAsia" w:ascii="黑体" w:hAnsi="黑体" w:eastAsia="黑体" w:cs="黑体"/>
              <w:b/>
              <w:bCs/>
              <w:sz w:val="32"/>
              <w:szCs w:val="32"/>
            </w:rPr>
            <w:t>目</w:t>
          </w:r>
          <w:r>
            <w:rPr>
              <w:rFonts w:hint="eastAsia" w:ascii="黑体" w:hAnsi="黑体" w:eastAsia="黑体" w:cs="黑体"/>
              <w:b/>
              <w:bCs/>
              <w:sz w:val="32"/>
              <w:szCs w:val="32"/>
              <w:lang w:eastAsia="zh-CN"/>
            </w:rPr>
            <w:t xml:space="preserve"> </w:t>
          </w:r>
          <w:r>
            <w:rPr>
              <w:rFonts w:hint="eastAsia" w:ascii="黑体" w:hAnsi="黑体" w:eastAsia="黑体" w:cs="黑体"/>
              <w:b/>
              <w:bCs/>
              <w:sz w:val="32"/>
              <w:szCs w:val="32"/>
            </w:rPr>
            <w:t>录</w:t>
          </w:r>
        </w:p>
        <w:p w14:paraId="08D38560">
          <w:pPr>
            <w:pStyle w:val="12"/>
            <w:keepNext w:val="0"/>
            <w:keepLines w:val="0"/>
            <w:pageBreakBefore w:val="0"/>
            <w:widowControl/>
            <w:tabs>
              <w:tab w:val="right" w:leader="dot" w:pos="8505"/>
            </w:tabs>
            <w:kinsoku w:val="0"/>
            <w:wordWrap/>
            <w:overflowPunct/>
            <w:topLinePunct w:val="0"/>
            <w:autoSpaceDE w:val="0"/>
            <w:autoSpaceDN w:val="0"/>
            <w:bidi w:val="0"/>
            <w:adjustRightInd w:val="0"/>
            <w:snapToGrid w:val="0"/>
            <w:ind w:firstLine="0" w:firstLineChars="0"/>
            <w:textAlignment w:val="baseline"/>
          </w:pPr>
          <w:r>
            <w:rPr>
              <w:rFonts w:cs="Times New Roman"/>
              <w:b/>
              <w:sz w:val="20"/>
              <w:szCs w:val="20"/>
            </w:rPr>
            <w:fldChar w:fldCharType="begin"/>
          </w:r>
          <w:r>
            <w:rPr>
              <w:rFonts w:cs="Times New Roman"/>
              <w:b/>
              <w:sz w:val="20"/>
              <w:szCs w:val="20"/>
            </w:rPr>
            <w:instrText xml:space="preserve">TOC \o "1-2" \h \u </w:instrText>
          </w:r>
          <w:r>
            <w:rPr>
              <w:rFonts w:cs="Times New Roman"/>
              <w:b/>
              <w:sz w:val="20"/>
              <w:szCs w:val="20"/>
            </w:rPr>
            <w:fldChar w:fldCharType="separate"/>
          </w:r>
          <w:r>
            <w:fldChar w:fldCharType="begin"/>
          </w:r>
          <w:r>
            <w:instrText xml:space="preserve"> HYPERLINK \l "_Toc11077" </w:instrText>
          </w:r>
          <w:r>
            <w:fldChar w:fldCharType="separate"/>
          </w:r>
          <w:r>
            <w:rPr>
              <w:rFonts w:cs="Times New Roman"/>
              <w:bCs/>
              <w:szCs w:val="28"/>
              <w:lang w:eastAsia="zh-CN"/>
            </w:rPr>
            <w:t>前</w:t>
          </w:r>
          <w:r>
            <w:rPr>
              <w:rFonts w:hint="eastAsia" w:cs="Times New Roman"/>
              <w:bCs/>
              <w:szCs w:val="28"/>
              <w:lang w:eastAsia="zh-CN"/>
            </w:rPr>
            <w:t xml:space="preserve">  </w:t>
          </w:r>
          <w:r>
            <w:rPr>
              <w:rFonts w:cs="Times New Roman"/>
              <w:bCs/>
              <w:szCs w:val="28"/>
              <w:lang w:eastAsia="zh-CN"/>
            </w:rPr>
            <w:t>言</w:t>
          </w:r>
          <w:r>
            <w:tab/>
          </w:r>
          <w:r>
            <w:fldChar w:fldCharType="begin"/>
          </w:r>
          <w:r>
            <w:instrText xml:space="preserve"> PAGEREF _Toc11077 \h </w:instrText>
          </w:r>
          <w:r>
            <w:fldChar w:fldCharType="separate"/>
          </w:r>
          <w:r>
            <w:t>II</w:t>
          </w:r>
          <w:r>
            <w:fldChar w:fldCharType="end"/>
          </w:r>
          <w:r>
            <w:fldChar w:fldCharType="end"/>
          </w:r>
        </w:p>
        <w:p w14:paraId="35B06780">
          <w:pPr>
            <w:pStyle w:val="12"/>
            <w:keepNext w:val="0"/>
            <w:keepLines w:val="0"/>
            <w:pageBreakBefore w:val="0"/>
            <w:widowControl/>
            <w:tabs>
              <w:tab w:val="right" w:leader="dot" w:pos="8505"/>
            </w:tabs>
            <w:kinsoku w:val="0"/>
            <w:wordWrap/>
            <w:overflowPunct/>
            <w:topLinePunct w:val="0"/>
            <w:autoSpaceDE w:val="0"/>
            <w:autoSpaceDN w:val="0"/>
            <w:bidi w:val="0"/>
            <w:adjustRightInd w:val="0"/>
            <w:snapToGrid w:val="0"/>
            <w:ind w:firstLine="0" w:firstLineChars="0"/>
            <w:textAlignment w:val="baseline"/>
          </w:pPr>
          <w:r>
            <w:fldChar w:fldCharType="begin"/>
          </w:r>
          <w:r>
            <w:instrText xml:space="preserve"> HYPERLINK \l "_Toc4338" </w:instrText>
          </w:r>
          <w:r>
            <w:fldChar w:fldCharType="separate"/>
          </w:r>
          <w:r>
            <w:rPr>
              <w:lang w:eastAsia="zh-CN"/>
            </w:rPr>
            <w:t>第一章</w:t>
          </w:r>
          <w:r>
            <w:rPr>
              <w:rFonts w:hint="eastAsia"/>
              <w:lang w:eastAsia="zh-CN"/>
            </w:rPr>
            <w:t xml:space="preserve"> </w:t>
          </w:r>
          <w:r>
            <w:rPr>
              <w:lang w:eastAsia="zh-CN"/>
            </w:rPr>
            <w:t>基本概况</w:t>
          </w:r>
          <w:r>
            <w:tab/>
          </w:r>
          <w:r>
            <w:fldChar w:fldCharType="begin"/>
          </w:r>
          <w:r>
            <w:instrText xml:space="preserve"> PAGEREF _Toc4338 \h </w:instrText>
          </w:r>
          <w:r>
            <w:fldChar w:fldCharType="separate"/>
          </w:r>
          <w:r>
            <w:t>1</w:t>
          </w:r>
          <w:r>
            <w:fldChar w:fldCharType="end"/>
          </w:r>
          <w:r>
            <w:fldChar w:fldCharType="end"/>
          </w:r>
        </w:p>
        <w:p w14:paraId="4B7F791C">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"_Toc15900" </w:instrText>
          </w:r>
          <w:r>
            <w:fldChar w:fldCharType="separate"/>
          </w:r>
          <w:r>
            <w:rPr>
              <w:lang w:eastAsia="zh-CN"/>
            </w:rPr>
            <w:t>1.1自然概况</w:t>
          </w:r>
          <w:r>
            <w:tab/>
          </w:r>
          <w:r>
            <w:fldChar w:fldCharType="begin"/>
          </w:r>
          <w:r>
            <w:instrText xml:space="preserve"> PAGEREF _Toc15900 \h </w:instrText>
          </w:r>
          <w:r>
            <w:fldChar w:fldCharType="separate"/>
          </w:r>
          <w:r>
            <w:t>1</w:t>
          </w:r>
          <w:r>
            <w:fldChar w:fldCharType="end"/>
          </w:r>
          <w:r>
            <w:fldChar w:fldCharType="end"/>
          </w:r>
        </w:p>
        <w:p w14:paraId="7455F851">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"_Toc7546" </w:instrText>
          </w:r>
          <w:r>
            <w:fldChar w:fldCharType="separate"/>
          </w:r>
          <w:r>
            <w:rPr>
              <w:lang w:eastAsia="zh-CN"/>
            </w:rPr>
            <w:t>1.2社会经济概况</w:t>
          </w:r>
          <w:r>
            <w:tab/>
          </w:r>
          <w:r>
            <w:fldChar w:fldCharType="begin"/>
          </w:r>
          <w:r>
            <w:instrText xml:space="preserve"> PAGEREF _Toc7546 \h </w:instrText>
          </w:r>
          <w:r>
            <w:fldChar w:fldCharType="separate"/>
          </w:r>
          <w:r>
            <w:t>3</w:t>
          </w:r>
          <w:r>
            <w:fldChar w:fldCharType="end"/>
          </w:r>
          <w:r>
            <w:fldChar w:fldCharType="end"/>
          </w:r>
        </w:p>
        <w:p w14:paraId="212430C4">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"_Toc1663" </w:instrText>
          </w:r>
          <w:r>
            <w:fldChar w:fldCharType="separate"/>
          </w:r>
          <w:r>
            <w:rPr>
              <w:lang w:eastAsia="zh-CN"/>
            </w:rPr>
            <w:t>1.3林场经营情况</w:t>
          </w:r>
          <w:r>
            <w:tab/>
          </w:r>
          <w:r>
            <w:fldChar w:fldCharType="begin"/>
          </w:r>
          <w:r>
            <w:instrText xml:space="preserve"> PAGEREF _Toc1663 \h </w:instrText>
          </w:r>
          <w:r>
            <w:fldChar w:fldCharType="separate"/>
          </w:r>
          <w:r>
            <w:t>5</w:t>
          </w:r>
          <w:r>
            <w:fldChar w:fldCharType="end"/>
          </w:r>
          <w:r>
            <w:fldChar w:fldCharType="end"/>
          </w:r>
        </w:p>
        <w:p w14:paraId="046F9411">
          <w:pPr>
            <w:pStyle w:val="12"/>
            <w:keepNext w:val="0"/>
            <w:keepLines w:val="0"/>
            <w:pageBreakBefore w:val="0"/>
            <w:widowControl/>
            <w:tabs>
              <w:tab w:val="right" w:leader="dot" w:pos="8505"/>
            </w:tabs>
            <w:kinsoku w:val="0"/>
            <w:wordWrap/>
            <w:overflowPunct/>
            <w:topLinePunct w:val="0"/>
            <w:autoSpaceDE w:val="0"/>
            <w:autoSpaceDN w:val="0"/>
            <w:bidi w:val="0"/>
            <w:adjustRightInd w:val="0"/>
            <w:snapToGrid w:val="0"/>
            <w:ind w:firstLine="0" w:firstLineChars="0"/>
            <w:textAlignment w:val="baseline"/>
          </w:pPr>
          <w:r>
            <w:fldChar w:fldCharType="begin"/>
          </w:r>
          <w:r>
            <w:instrText xml:space="preserve"> HYPERLINK \l "_Toc17157" </w:instrText>
          </w:r>
          <w:r>
            <w:fldChar w:fldCharType="separate"/>
          </w:r>
          <w:r>
            <w:rPr>
              <w:lang w:eastAsia="zh-CN"/>
            </w:rPr>
            <w:t>第二章</w:t>
          </w:r>
          <w:r>
            <w:rPr>
              <w:rFonts w:hint="eastAsia"/>
              <w:lang w:eastAsia="zh-CN"/>
            </w:rPr>
            <w:t xml:space="preserve"> </w:t>
          </w:r>
          <w:r>
            <w:rPr>
              <w:lang w:eastAsia="zh-CN"/>
            </w:rPr>
            <w:t>森林资源、经营环境和需求分析</w:t>
          </w:r>
          <w:r>
            <w:tab/>
          </w:r>
          <w:r>
            <w:fldChar w:fldCharType="begin"/>
          </w:r>
          <w:r>
            <w:instrText xml:space="preserve"> PAGEREF _Toc17157 \h </w:instrText>
          </w:r>
          <w:r>
            <w:fldChar w:fldCharType="separate"/>
          </w:r>
          <w:r>
            <w:t>7</w:t>
          </w:r>
          <w:r>
            <w:fldChar w:fldCharType="end"/>
          </w:r>
          <w:r>
            <w:fldChar w:fldCharType="end"/>
          </w:r>
        </w:p>
        <w:p w14:paraId="479000E1">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"_Toc16357" </w:instrText>
          </w:r>
          <w:r>
            <w:fldChar w:fldCharType="separate"/>
          </w:r>
          <w:r>
            <w:rPr>
              <w:lang w:eastAsia="zh-CN"/>
            </w:rPr>
            <w:t>2.1森林资源现状分析</w:t>
          </w:r>
          <w:r>
            <w:tab/>
          </w:r>
          <w:r>
            <w:fldChar w:fldCharType="begin"/>
          </w:r>
          <w:r>
            <w:instrText xml:space="preserve"> PAGEREF _Toc16357 \h </w:instrText>
          </w:r>
          <w:r>
            <w:fldChar w:fldCharType="separate"/>
          </w:r>
          <w:r>
            <w:t>7</w:t>
          </w:r>
          <w:r>
            <w:fldChar w:fldCharType="end"/>
          </w:r>
          <w:r>
            <w:fldChar w:fldCharType="end"/>
          </w:r>
        </w:p>
        <w:p w14:paraId="7A7E941F">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"_Toc9820" </w:instrText>
          </w:r>
          <w:r>
            <w:fldChar w:fldCharType="separate"/>
          </w:r>
          <w:r>
            <w:rPr>
              <w:lang w:eastAsia="zh-CN"/>
            </w:rPr>
            <w:t>2.2生态产品生产能力评价</w:t>
          </w:r>
          <w:r>
            <w:tab/>
          </w:r>
          <w:r>
            <w:fldChar w:fldCharType="begin"/>
          </w:r>
          <w:r>
            <w:instrText xml:space="preserve"> PAGEREF _Toc9820 \h </w:instrText>
          </w:r>
          <w:r>
            <w:fldChar w:fldCharType="separate"/>
          </w:r>
          <w:r>
            <w:t>31</w:t>
          </w:r>
          <w:r>
            <w:fldChar w:fldCharType="end"/>
          </w:r>
          <w:r>
            <w:fldChar w:fldCharType="end"/>
          </w:r>
        </w:p>
        <w:p w14:paraId="6505680A">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"_Toc15965" </w:instrText>
          </w:r>
          <w:r>
            <w:fldChar w:fldCharType="separate"/>
          </w:r>
          <w:r>
            <w:t>2.</w:t>
          </w:r>
          <w:r>
            <w:rPr>
              <w:lang w:eastAsia="zh-CN"/>
            </w:rPr>
            <w:t>3</w:t>
          </w:r>
          <w:r>
            <w:t>林场森林经营环境分析</w:t>
          </w:r>
          <w:r>
            <w:tab/>
          </w:r>
          <w:r>
            <w:fldChar w:fldCharType="begin"/>
          </w:r>
          <w:r>
            <w:instrText xml:space="preserve"> PAGEREF _Toc15965 \h </w:instrText>
          </w:r>
          <w:r>
            <w:fldChar w:fldCharType="separate"/>
          </w:r>
          <w:r>
            <w:t>32</w:t>
          </w:r>
          <w:r>
            <w:fldChar w:fldCharType="end"/>
          </w:r>
          <w:r>
            <w:fldChar w:fldCharType="end"/>
          </w:r>
        </w:p>
        <w:p w14:paraId="1B752E5D">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"_Toc11291" </w:instrText>
          </w:r>
          <w:r>
            <w:fldChar w:fldCharType="separate"/>
          </w:r>
          <w:r>
            <w:rPr>
              <w:lang w:eastAsia="zh-CN"/>
            </w:rPr>
            <w:t>2.4林场经营需求与对策分析</w:t>
          </w:r>
          <w:r>
            <w:tab/>
          </w:r>
          <w:r>
            <w:fldChar w:fldCharType="begin"/>
          </w:r>
          <w:r>
            <w:instrText xml:space="preserve"> PAGEREF _Toc11291 \h </w:instrText>
          </w:r>
          <w:r>
            <w:fldChar w:fldCharType="separate"/>
          </w:r>
          <w:r>
            <w:t>34</w:t>
          </w:r>
          <w:r>
            <w:fldChar w:fldCharType="end"/>
          </w:r>
          <w:r>
            <w:fldChar w:fldCharType="end"/>
          </w:r>
        </w:p>
        <w:p w14:paraId="79805A62">
          <w:pPr>
            <w:pStyle w:val="12"/>
            <w:keepNext w:val="0"/>
            <w:keepLines w:val="0"/>
            <w:pageBreakBefore w:val="0"/>
            <w:widowControl/>
            <w:tabs>
              <w:tab w:val="right" w:leader="dot" w:pos="8505"/>
            </w:tabs>
            <w:kinsoku w:val="0"/>
            <w:wordWrap/>
            <w:overflowPunct/>
            <w:topLinePunct w:val="0"/>
            <w:autoSpaceDE w:val="0"/>
            <w:autoSpaceDN w:val="0"/>
            <w:bidi w:val="0"/>
            <w:adjustRightInd w:val="0"/>
            <w:snapToGrid w:val="0"/>
            <w:ind w:firstLine="0" w:firstLineChars="0"/>
            <w:textAlignment w:val="baseline"/>
          </w:pPr>
          <w:r>
            <w:fldChar w:fldCharType="begin"/>
          </w:r>
          <w:r>
            <w:instrText xml:space="preserve"> HYPERLINK \l "_Toc14802" </w:instrText>
          </w:r>
          <w:r>
            <w:fldChar w:fldCharType="separate"/>
          </w:r>
          <w:r>
            <w:rPr>
              <w:lang w:eastAsia="zh-CN"/>
            </w:rPr>
            <w:t>第三章</w:t>
          </w:r>
          <w:r>
            <w:rPr>
              <w:rFonts w:hint="eastAsia"/>
              <w:lang w:eastAsia="zh-CN"/>
            </w:rPr>
            <w:t xml:space="preserve"> </w:t>
          </w:r>
          <w:r>
            <w:rPr>
              <w:lang w:eastAsia="zh-CN"/>
            </w:rPr>
            <w:t>森林经营方针与经营目标</w:t>
          </w:r>
          <w:r>
            <w:tab/>
          </w:r>
          <w:r>
            <w:fldChar w:fldCharType="begin"/>
          </w:r>
          <w:r>
            <w:instrText xml:space="preserve"> PAGEREF _Toc14802 \h </w:instrText>
          </w:r>
          <w:r>
            <w:fldChar w:fldCharType="separate"/>
          </w:r>
          <w:r>
            <w:t>35</w:t>
          </w:r>
          <w:r>
            <w:fldChar w:fldCharType="end"/>
          </w:r>
          <w:r>
            <w:fldChar w:fldCharType="end"/>
          </w:r>
        </w:p>
        <w:p w14:paraId="4C184F12">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"_Toc25423" </w:instrText>
          </w:r>
          <w:r>
            <w:fldChar w:fldCharType="separate"/>
          </w:r>
          <w:r>
            <w:rPr>
              <w:lang w:eastAsia="zh-CN"/>
            </w:rPr>
            <w:t>3.1方案编案原则</w:t>
          </w:r>
          <w:r>
            <w:tab/>
          </w:r>
          <w:r>
            <w:fldChar w:fldCharType="begin"/>
          </w:r>
          <w:r>
            <w:instrText xml:space="preserve"> PAGEREF _Toc25423 \h </w:instrText>
          </w:r>
          <w:r>
            <w:fldChar w:fldCharType="separate"/>
          </w:r>
          <w:r>
            <w:t>35</w:t>
          </w:r>
          <w:r>
            <w:fldChar w:fldCharType="end"/>
          </w:r>
          <w:r>
            <w:fldChar w:fldCharType="end"/>
          </w:r>
        </w:p>
        <w:p w14:paraId="5B9E4DEA">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"_Toc10399" </w:instrText>
          </w:r>
          <w:r>
            <w:fldChar w:fldCharType="separate"/>
          </w:r>
          <w:r>
            <w:rPr>
              <w:lang w:eastAsia="zh-CN"/>
            </w:rPr>
            <w:t>3.2方案编制依据</w:t>
          </w:r>
          <w:r>
            <w:tab/>
          </w:r>
          <w:r>
            <w:fldChar w:fldCharType="begin"/>
          </w:r>
          <w:r>
            <w:instrText xml:space="preserve"> PAGEREF _Toc10399 \h </w:instrText>
          </w:r>
          <w:r>
            <w:fldChar w:fldCharType="separate"/>
          </w:r>
          <w:r>
            <w:t>36</w:t>
          </w:r>
          <w:r>
            <w:fldChar w:fldCharType="end"/>
          </w:r>
          <w:r>
            <w:fldChar w:fldCharType="end"/>
          </w:r>
        </w:p>
        <w:p w14:paraId="631FE4D2">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"_Toc9800" </w:instrText>
          </w:r>
          <w:r>
            <w:fldChar w:fldCharType="separate"/>
          </w:r>
          <w:r>
            <w:rPr>
              <w:lang w:eastAsia="zh-CN"/>
            </w:rPr>
            <w:t>3.3森林经营方针</w:t>
          </w:r>
          <w:r>
            <w:tab/>
          </w:r>
          <w:r>
            <w:fldChar w:fldCharType="begin"/>
          </w:r>
          <w:r>
            <w:instrText xml:space="preserve"> PAGEREF _Toc9800 \h </w:instrText>
          </w:r>
          <w:r>
            <w:fldChar w:fldCharType="separate"/>
          </w:r>
          <w:r>
            <w:t>39</w:t>
          </w:r>
          <w:r>
            <w:fldChar w:fldCharType="end"/>
          </w:r>
          <w:r>
            <w:fldChar w:fldCharType="end"/>
          </w:r>
        </w:p>
        <w:p w14:paraId="599A2BD2">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"_Toc19380" </w:instrText>
          </w:r>
          <w:r>
            <w:fldChar w:fldCharType="separate"/>
          </w:r>
          <w:r>
            <w:rPr>
              <w:lang w:eastAsia="zh-CN"/>
            </w:rPr>
            <w:t>3.4森林经营目标</w:t>
          </w:r>
          <w:r>
            <w:tab/>
          </w:r>
          <w:r>
            <w:fldChar w:fldCharType="begin"/>
          </w:r>
          <w:r>
            <w:instrText xml:space="preserve"> PAGEREF _Toc19380 \h </w:instrText>
          </w:r>
          <w:r>
            <w:fldChar w:fldCharType="separate"/>
          </w:r>
          <w:r>
            <w:t>39</w:t>
          </w:r>
          <w:r>
            <w:fldChar w:fldCharType="end"/>
          </w:r>
          <w:r>
            <w:fldChar w:fldCharType="end"/>
          </w:r>
        </w:p>
        <w:p w14:paraId="0A9007D6">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"_Toc10921" </w:instrText>
          </w:r>
          <w:r>
            <w:fldChar w:fldCharType="separate"/>
          </w:r>
          <w:r>
            <w:t>3.5森林区划</w:t>
          </w:r>
          <w:r>
            <w:tab/>
          </w:r>
          <w:r>
            <w:fldChar w:fldCharType="begin"/>
          </w:r>
          <w:r>
            <w:instrText xml:space="preserve"> PAGEREF _Toc10921 \h </w:instrText>
          </w:r>
          <w:r>
            <w:fldChar w:fldCharType="separate"/>
          </w:r>
          <w:r>
            <w:t>40</w:t>
          </w:r>
          <w:r>
            <w:fldChar w:fldCharType="end"/>
          </w:r>
          <w:r>
            <w:fldChar w:fldCharType="end"/>
          </w:r>
        </w:p>
        <w:p w14:paraId="52894979">
          <w:pPr>
            <w:pStyle w:val="12"/>
            <w:keepNext w:val="0"/>
            <w:keepLines w:val="0"/>
            <w:pageBreakBefore w:val="0"/>
            <w:widowControl/>
            <w:tabs>
              <w:tab w:val="right" w:leader="dot" w:pos="8505"/>
            </w:tabs>
            <w:kinsoku w:val="0"/>
            <w:wordWrap/>
            <w:overflowPunct/>
            <w:topLinePunct w:val="0"/>
            <w:autoSpaceDE w:val="0"/>
            <w:autoSpaceDN w:val="0"/>
            <w:bidi w:val="0"/>
            <w:adjustRightInd w:val="0"/>
            <w:snapToGrid w:val="0"/>
            <w:ind w:firstLine="0" w:firstLineChars="0"/>
            <w:textAlignment w:val="baseline"/>
          </w:pPr>
          <w:r>
            <w:fldChar w:fldCharType="begin"/>
          </w:r>
          <w:r>
            <w:instrText xml:space="preserve"> HYPERLINK \l "_Toc24784" </w:instrText>
          </w:r>
          <w:r>
            <w:fldChar w:fldCharType="separate"/>
          </w:r>
          <w:r>
            <w:rPr>
              <w:lang w:eastAsia="zh-CN"/>
            </w:rPr>
            <w:t>第四章</w:t>
          </w:r>
          <w:r>
            <w:rPr>
              <w:rFonts w:hint="eastAsia"/>
              <w:lang w:eastAsia="zh-CN"/>
            </w:rPr>
            <w:t xml:space="preserve"> </w:t>
          </w:r>
          <w:r>
            <w:rPr>
              <w:lang w:eastAsia="zh-CN"/>
            </w:rPr>
            <w:t>森林经营技术体系</w:t>
          </w:r>
          <w:r>
            <w:tab/>
          </w:r>
          <w:r>
            <w:fldChar w:fldCharType="begin"/>
          </w:r>
          <w:r>
            <w:instrText xml:space="preserve"> PAGEREF _Toc24784 \h </w:instrText>
          </w:r>
          <w:r>
            <w:fldChar w:fldCharType="separate"/>
          </w:r>
          <w:r>
            <w:t>41</w:t>
          </w:r>
          <w:r>
            <w:fldChar w:fldCharType="end"/>
          </w:r>
          <w:r>
            <w:fldChar w:fldCharType="end"/>
          </w:r>
        </w:p>
        <w:p w14:paraId="77D491A7">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"_Toc17207" </w:instrText>
          </w:r>
          <w:r>
            <w:fldChar w:fldCharType="separate"/>
          </w:r>
          <w:r>
            <w:rPr>
              <w:lang w:eastAsia="zh-CN"/>
            </w:rPr>
            <w:t>4.1森林经营类型组织</w:t>
          </w:r>
          <w:r>
            <w:tab/>
          </w:r>
          <w:r>
            <w:fldChar w:fldCharType="begin"/>
          </w:r>
          <w:r>
            <w:instrText xml:space="preserve"> PAGEREF _Toc17207 \h </w:instrText>
          </w:r>
          <w:r>
            <w:fldChar w:fldCharType="separate"/>
          </w:r>
          <w:r>
            <w:t>41</w:t>
          </w:r>
          <w:r>
            <w:fldChar w:fldCharType="end"/>
          </w:r>
          <w:r>
            <w:fldChar w:fldCharType="end"/>
          </w:r>
        </w:p>
        <w:p w14:paraId="30E4A6AF">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"_Toc21407" </w:instrText>
          </w:r>
          <w:r>
            <w:fldChar w:fldCharType="separate"/>
          </w:r>
          <w:r>
            <w:rPr>
              <w:lang w:eastAsia="zh-CN"/>
            </w:rPr>
            <w:t>4.2森林经营技术措施</w:t>
          </w:r>
          <w:r>
            <w:tab/>
          </w:r>
          <w:r>
            <w:fldChar w:fldCharType="begin"/>
          </w:r>
          <w:r>
            <w:instrText xml:space="preserve"> PAGEREF _Toc21407 \h </w:instrText>
          </w:r>
          <w:r>
            <w:fldChar w:fldCharType="separate"/>
          </w:r>
          <w:r>
            <w:t>44</w:t>
          </w:r>
          <w:r>
            <w:fldChar w:fldCharType="end"/>
          </w:r>
          <w:r>
            <w:fldChar w:fldCharType="end"/>
          </w:r>
        </w:p>
        <w:p w14:paraId="4EDB5A85">
          <w:pPr>
            <w:pStyle w:val="12"/>
            <w:keepNext w:val="0"/>
            <w:keepLines w:val="0"/>
            <w:pageBreakBefore w:val="0"/>
            <w:widowControl/>
            <w:tabs>
              <w:tab w:val="right" w:leader="dot" w:pos="8505"/>
            </w:tabs>
            <w:kinsoku w:val="0"/>
            <w:wordWrap/>
            <w:overflowPunct/>
            <w:topLinePunct w:val="0"/>
            <w:autoSpaceDE w:val="0"/>
            <w:autoSpaceDN w:val="0"/>
            <w:bidi w:val="0"/>
            <w:adjustRightInd w:val="0"/>
            <w:snapToGrid w:val="0"/>
            <w:ind w:firstLine="0" w:firstLineChars="0"/>
            <w:textAlignment w:val="baseline"/>
          </w:pPr>
          <w:r>
            <w:fldChar w:fldCharType="begin"/>
          </w:r>
          <w:r>
            <w:instrText xml:space="preserve"> HYPERLINK \l "_Toc26880" </w:instrText>
          </w:r>
          <w:r>
            <w:fldChar w:fldCharType="separate"/>
          </w:r>
          <w:r>
            <w:rPr>
              <w:lang w:eastAsia="zh-CN"/>
            </w:rPr>
            <w:t>第五章</w:t>
          </w:r>
          <w:r>
            <w:rPr>
              <w:rFonts w:hint="eastAsia"/>
              <w:lang w:eastAsia="zh-CN"/>
            </w:rPr>
            <w:t xml:space="preserve"> </w:t>
          </w:r>
          <w:r>
            <w:rPr>
              <w:lang w:eastAsia="zh-CN"/>
            </w:rPr>
            <w:t>森林培育</w:t>
          </w:r>
          <w:r>
            <w:tab/>
          </w:r>
          <w:r>
            <w:fldChar w:fldCharType="begin"/>
          </w:r>
          <w:r>
            <w:instrText xml:space="preserve"> PAGEREF _Toc26880 \h </w:instrText>
          </w:r>
          <w:r>
            <w:fldChar w:fldCharType="separate"/>
          </w:r>
          <w:r>
            <w:t>49</w:t>
          </w:r>
          <w:r>
            <w:fldChar w:fldCharType="end"/>
          </w:r>
          <w:r>
            <w:fldChar w:fldCharType="end"/>
          </w:r>
        </w:p>
        <w:p w14:paraId="502C7D14">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"_Toc19648" </w:instrText>
          </w:r>
          <w:r>
            <w:fldChar w:fldCharType="separate"/>
          </w:r>
          <w:r>
            <w:rPr>
              <w:lang w:eastAsia="zh-CN"/>
            </w:rPr>
            <w:t>5.1造林</w:t>
          </w:r>
          <w:r>
            <w:tab/>
          </w:r>
          <w:r>
            <w:fldChar w:fldCharType="begin"/>
          </w:r>
          <w:r>
            <w:instrText xml:space="preserve"> PAGEREF _Toc19648 \h </w:instrText>
          </w:r>
          <w:r>
            <w:fldChar w:fldCharType="separate"/>
          </w:r>
          <w:r>
            <w:t>49</w:t>
          </w:r>
          <w:r>
            <w:fldChar w:fldCharType="end"/>
          </w:r>
          <w:r>
            <w:fldChar w:fldCharType="end"/>
          </w:r>
        </w:p>
        <w:p w14:paraId="55C73D29">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"_Toc3785" </w:instrText>
          </w:r>
          <w:r>
            <w:fldChar w:fldCharType="separate"/>
          </w:r>
          <w:r>
            <w:rPr>
              <w:lang w:eastAsia="zh-CN"/>
            </w:rPr>
            <w:t>5.2抚育</w:t>
          </w:r>
          <w:r>
            <w:tab/>
          </w:r>
          <w:r>
            <w:fldChar w:fldCharType="begin"/>
          </w:r>
          <w:r>
            <w:instrText xml:space="preserve"> PAGEREF _Toc3785 \h </w:instrText>
          </w:r>
          <w:r>
            <w:fldChar w:fldCharType="separate"/>
          </w:r>
          <w:r>
            <w:t>49</w:t>
          </w:r>
          <w:r>
            <w:fldChar w:fldCharType="end"/>
          </w:r>
          <w:r>
            <w:fldChar w:fldCharType="end"/>
          </w:r>
        </w:p>
        <w:p w14:paraId="57822004">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"_Toc13820" </w:instrText>
          </w:r>
          <w:r>
            <w:fldChar w:fldCharType="separate"/>
          </w:r>
          <w:r>
            <w:t>5.3低效林改造</w:t>
          </w:r>
          <w:r>
            <w:tab/>
          </w:r>
          <w:r>
            <w:fldChar w:fldCharType="begin"/>
          </w:r>
          <w:r>
            <w:instrText xml:space="preserve"> PAGEREF _Toc13820 \h </w:instrText>
          </w:r>
          <w:r>
            <w:fldChar w:fldCharType="separate"/>
          </w:r>
          <w:r>
            <w:t>52</w:t>
          </w:r>
          <w:r>
            <w:fldChar w:fldCharType="end"/>
          </w:r>
          <w:r>
            <w:fldChar w:fldCharType="end"/>
          </w:r>
        </w:p>
        <w:p w14:paraId="3613164A">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"_Toc6380" </w:instrText>
          </w:r>
          <w:r>
            <w:fldChar w:fldCharType="separate"/>
          </w:r>
          <w:r>
            <w:rPr>
              <w:lang w:eastAsia="zh-CN"/>
            </w:rPr>
            <w:t>5.4毛竹林改造</w:t>
          </w:r>
          <w:r>
            <w:tab/>
          </w:r>
          <w:r>
            <w:fldChar w:fldCharType="begin"/>
          </w:r>
          <w:r>
            <w:instrText xml:space="preserve"> PAGEREF _Toc6380 \h </w:instrText>
          </w:r>
          <w:r>
            <w:fldChar w:fldCharType="separate"/>
          </w:r>
          <w:r>
            <w:t>52</w:t>
          </w:r>
          <w:r>
            <w:fldChar w:fldCharType="end"/>
          </w:r>
          <w:r>
            <w:fldChar w:fldCharType="end"/>
          </w:r>
        </w:p>
        <w:p w14:paraId="154AF0BF">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"_Toc17717" </w:instrText>
          </w:r>
          <w:r>
            <w:fldChar w:fldCharType="separate"/>
          </w:r>
          <w:r>
            <w:rPr>
              <w:lang w:eastAsia="zh-CN"/>
            </w:rPr>
            <w:t>5.5种苗</w:t>
          </w:r>
          <w:r>
            <w:rPr>
              <w:rFonts w:hint="eastAsia"/>
              <w:lang w:eastAsia="zh-CN"/>
            </w:rPr>
            <w:t>生产</w:t>
          </w:r>
          <w:r>
            <w:tab/>
          </w:r>
          <w:r>
            <w:fldChar w:fldCharType="begin"/>
          </w:r>
          <w:r>
            <w:instrText xml:space="preserve"> PAGEREF _Toc17717 \h </w:instrText>
          </w:r>
          <w:r>
            <w:fldChar w:fldCharType="separate"/>
          </w:r>
          <w:r>
            <w:t>55</w:t>
          </w:r>
          <w:r>
            <w:fldChar w:fldCharType="end"/>
          </w:r>
          <w:r>
            <w:fldChar w:fldCharType="end"/>
          </w:r>
        </w:p>
        <w:p w14:paraId="77029D62">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"_Toc25856" </w:instrText>
          </w:r>
          <w:r>
            <w:fldChar w:fldCharType="separate"/>
          </w:r>
          <w:r>
            <w:rPr>
              <w:lang w:eastAsia="zh-CN"/>
            </w:rPr>
            <w:t>5.6森林培育重点工程</w:t>
          </w:r>
          <w:r>
            <w:tab/>
          </w:r>
          <w:r>
            <w:fldChar w:fldCharType="begin"/>
          </w:r>
          <w:r>
            <w:instrText xml:space="preserve"> PAGEREF _Toc25856 \h </w:instrText>
          </w:r>
          <w:r>
            <w:fldChar w:fldCharType="separate"/>
          </w:r>
          <w:r>
            <w:t>55</w:t>
          </w:r>
          <w:r>
            <w:fldChar w:fldCharType="end"/>
          </w:r>
          <w:r>
            <w:fldChar w:fldCharType="end"/>
          </w:r>
        </w:p>
        <w:p w14:paraId="3A5CBC2D">
          <w:pPr>
            <w:pStyle w:val="12"/>
            <w:keepNext w:val="0"/>
            <w:keepLines w:val="0"/>
            <w:pageBreakBefore w:val="0"/>
            <w:widowControl/>
            <w:tabs>
              <w:tab w:val="right" w:leader="dot" w:pos="8505"/>
            </w:tabs>
            <w:kinsoku w:val="0"/>
            <w:wordWrap/>
            <w:overflowPunct/>
            <w:topLinePunct w:val="0"/>
            <w:autoSpaceDE w:val="0"/>
            <w:autoSpaceDN w:val="0"/>
            <w:bidi w:val="0"/>
            <w:adjustRightInd w:val="0"/>
            <w:snapToGrid w:val="0"/>
            <w:ind w:firstLine="0" w:firstLineChars="0"/>
            <w:textAlignment w:val="baseline"/>
          </w:pPr>
          <w:r>
            <w:fldChar w:fldCharType="begin"/>
          </w:r>
          <w:r>
            <w:instrText xml:space="preserve"> HYPERLINK \l "_Toc27610" </w:instrText>
          </w:r>
          <w:r>
            <w:fldChar w:fldCharType="separate"/>
          </w:r>
          <w:r>
            <w:rPr>
              <w:lang w:eastAsia="zh-CN"/>
            </w:rPr>
            <w:t>第六章</w:t>
          </w:r>
          <w:r>
            <w:rPr>
              <w:rFonts w:hint="eastAsia"/>
              <w:lang w:eastAsia="zh-CN"/>
            </w:rPr>
            <w:t xml:space="preserve"> </w:t>
          </w:r>
          <w:r>
            <w:rPr>
              <w:lang w:eastAsia="zh-CN"/>
            </w:rPr>
            <w:t>森林采伐</w:t>
          </w:r>
          <w:r>
            <w:tab/>
          </w:r>
          <w:r>
            <w:fldChar w:fldCharType="begin"/>
          </w:r>
          <w:r>
            <w:instrText xml:space="preserve"> PAGEREF _Toc27610 \h </w:instrText>
          </w:r>
          <w:r>
            <w:fldChar w:fldCharType="separate"/>
          </w:r>
          <w:r>
            <w:t>63</w:t>
          </w:r>
          <w:r>
            <w:fldChar w:fldCharType="end"/>
          </w:r>
          <w:r>
            <w:fldChar w:fldCharType="end"/>
          </w:r>
        </w:p>
        <w:p w14:paraId="12ABE2B1">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"_Toc26637" </w:instrText>
          </w:r>
          <w:r>
            <w:fldChar w:fldCharType="separate"/>
          </w:r>
          <w:r>
            <w:rPr>
              <w:lang w:eastAsia="zh-CN"/>
            </w:rPr>
            <w:t>6.1采伐原则</w:t>
          </w:r>
          <w:r>
            <w:tab/>
          </w:r>
          <w:r>
            <w:fldChar w:fldCharType="begin"/>
          </w:r>
          <w:r>
            <w:instrText xml:space="preserve"> PAGEREF _Toc26637 \h </w:instrText>
          </w:r>
          <w:r>
            <w:fldChar w:fldCharType="separate"/>
          </w:r>
          <w:r>
            <w:t>63</w:t>
          </w:r>
          <w:r>
            <w:fldChar w:fldCharType="end"/>
          </w:r>
          <w:r>
            <w:fldChar w:fldCharType="end"/>
          </w:r>
        </w:p>
        <w:p w14:paraId="672459B2">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"_Toc14046" </w:instrText>
          </w:r>
          <w:r>
            <w:fldChar w:fldCharType="separate"/>
          </w:r>
          <w:r>
            <w:rPr>
              <w:lang w:eastAsia="zh-CN"/>
            </w:rPr>
            <w:t>6.2采伐类型</w:t>
          </w:r>
          <w:r>
            <w:tab/>
          </w:r>
          <w:r>
            <w:fldChar w:fldCharType="begin"/>
          </w:r>
          <w:r>
            <w:instrText xml:space="preserve"> PAGEREF _Toc14046 \h </w:instrText>
          </w:r>
          <w:r>
            <w:fldChar w:fldCharType="separate"/>
          </w:r>
          <w:r>
            <w:t>63</w:t>
          </w:r>
          <w:r>
            <w:fldChar w:fldCharType="end"/>
          </w:r>
          <w:r>
            <w:fldChar w:fldCharType="end"/>
          </w:r>
        </w:p>
        <w:p w14:paraId="7891E0BF">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"_Toc24348" </w:instrText>
          </w:r>
          <w:r>
            <w:fldChar w:fldCharType="separate"/>
          </w:r>
          <w:r>
            <w:rPr>
              <w:lang w:eastAsia="zh-CN"/>
            </w:rPr>
            <w:t>6.3测算参数</w:t>
          </w:r>
          <w:r>
            <w:tab/>
          </w:r>
          <w:r>
            <w:fldChar w:fldCharType="begin"/>
          </w:r>
          <w:r>
            <w:instrText xml:space="preserve"> PAGEREF _Toc24348 \h </w:instrText>
          </w:r>
          <w:r>
            <w:fldChar w:fldCharType="separate"/>
          </w:r>
          <w:r>
            <w:t>63</w:t>
          </w:r>
          <w:r>
            <w:fldChar w:fldCharType="end"/>
          </w:r>
          <w:r>
            <w:fldChar w:fldCharType="end"/>
          </w:r>
        </w:p>
        <w:p w14:paraId="0F67EC7C">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"_Toc19333" </w:instrText>
          </w:r>
          <w:r>
            <w:fldChar w:fldCharType="separate"/>
          </w:r>
          <w:r>
            <w:rPr>
              <w:lang w:eastAsia="zh-CN"/>
            </w:rPr>
            <w:t>6.</w:t>
          </w:r>
          <w:r>
            <w:rPr>
              <w:rFonts w:hint="eastAsia"/>
              <w:lang w:eastAsia="zh-CN"/>
            </w:rPr>
            <w:t>4</w:t>
          </w:r>
          <w:r>
            <w:rPr>
              <w:lang w:eastAsia="zh-CN"/>
            </w:rPr>
            <w:t>抚育采伐</w:t>
          </w:r>
          <w:r>
            <w:tab/>
          </w:r>
          <w:r>
            <w:fldChar w:fldCharType="begin"/>
          </w:r>
          <w:r>
            <w:instrText xml:space="preserve"> PAGEREF _Toc19333 \h </w:instrText>
          </w:r>
          <w:r>
            <w:fldChar w:fldCharType="separate"/>
          </w:r>
          <w:r>
            <w:t>66</w:t>
          </w:r>
          <w:r>
            <w:fldChar w:fldCharType="end"/>
          </w:r>
          <w:r>
            <w:fldChar w:fldCharType="end"/>
          </w:r>
        </w:p>
        <w:p w14:paraId="20E81682">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"_Toc11600" </w:instrText>
          </w:r>
          <w:r>
            <w:fldChar w:fldCharType="separate"/>
          </w:r>
          <w:r>
            <w:rPr>
              <w:lang w:eastAsia="zh-CN"/>
            </w:rPr>
            <w:t>6.</w:t>
          </w:r>
          <w:r>
            <w:rPr>
              <w:rFonts w:hint="eastAsia"/>
              <w:lang w:eastAsia="zh-CN"/>
            </w:rPr>
            <w:t>5</w:t>
          </w:r>
          <w:r>
            <w:rPr>
              <w:lang w:eastAsia="zh-CN"/>
            </w:rPr>
            <w:t>毛竹林采伐</w:t>
          </w:r>
          <w:r>
            <w:tab/>
          </w:r>
          <w:r>
            <w:fldChar w:fldCharType="begin"/>
          </w:r>
          <w:r>
            <w:instrText xml:space="preserve"> PAGEREF _Toc11600 \h </w:instrText>
          </w:r>
          <w:r>
            <w:fldChar w:fldCharType="separate"/>
          </w:r>
          <w:r>
            <w:t>68</w:t>
          </w:r>
          <w:r>
            <w:fldChar w:fldCharType="end"/>
          </w:r>
          <w:r>
            <w:fldChar w:fldCharType="end"/>
          </w:r>
        </w:p>
        <w:p w14:paraId="02B43B51">
          <w:pPr>
            <w:pStyle w:val="12"/>
            <w:keepNext w:val="0"/>
            <w:keepLines w:val="0"/>
            <w:pageBreakBefore w:val="0"/>
            <w:widowControl/>
            <w:tabs>
              <w:tab w:val="right" w:leader="dot" w:pos="8505"/>
            </w:tabs>
            <w:kinsoku w:val="0"/>
            <w:wordWrap/>
            <w:overflowPunct/>
            <w:topLinePunct w:val="0"/>
            <w:autoSpaceDE w:val="0"/>
            <w:autoSpaceDN w:val="0"/>
            <w:bidi w:val="0"/>
            <w:adjustRightInd w:val="0"/>
            <w:snapToGrid w:val="0"/>
            <w:ind w:firstLine="0" w:firstLineChars="0"/>
            <w:textAlignment w:val="baseline"/>
          </w:pPr>
          <w:r>
            <w:fldChar w:fldCharType="begin"/>
          </w:r>
          <w:r>
            <w:instrText xml:space="preserve"> HYPERLINK \l "_Toc20360" </w:instrText>
          </w:r>
          <w:r>
            <w:fldChar w:fldCharType="separate"/>
          </w:r>
          <w:r>
            <w:rPr>
              <w:lang w:eastAsia="zh-CN"/>
            </w:rPr>
            <w:t>第七章</w:t>
          </w:r>
          <w:r>
            <w:rPr>
              <w:rFonts w:hint="eastAsia"/>
              <w:lang w:eastAsia="zh-CN"/>
            </w:rPr>
            <w:t xml:space="preserve"> </w:t>
          </w:r>
          <w:r>
            <w:rPr>
              <w:lang w:eastAsia="zh-CN"/>
            </w:rPr>
            <w:t>森林多资源利用规划</w:t>
          </w:r>
          <w:r>
            <w:tab/>
          </w:r>
          <w:r>
            <w:fldChar w:fldCharType="begin"/>
          </w:r>
          <w:r>
            <w:instrText xml:space="preserve"> PAGEREF _Toc20360 \h </w:instrText>
          </w:r>
          <w:r>
            <w:fldChar w:fldCharType="separate"/>
          </w:r>
          <w:r>
            <w:t>69</w:t>
          </w:r>
          <w:r>
            <w:fldChar w:fldCharType="end"/>
          </w:r>
          <w:r>
            <w:fldChar w:fldCharType="end"/>
          </w:r>
        </w:p>
        <w:p w14:paraId="57544DD8">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"_Toc7171" </w:instrText>
          </w:r>
          <w:r>
            <w:fldChar w:fldCharType="separate"/>
          </w:r>
          <w:r>
            <w:rPr>
              <w:lang w:eastAsia="zh-CN"/>
            </w:rPr>
            <w:t>7.1特色经济林经营</w:t>
          </w:r>
          <w:r>
            <w:tab/>
          </w:r>
          <w:r>
            <w:fldChar w:fldCharType="begin"/>
          </w:r>
          <w:r>
            <w:instrText xml:space="preserve"> PAGEREF _Toc7171 \h </w:instrText>
          </w:r>
          <w:r>
            <w:fldChar w:fldCharType="separate"/>
          </w:r>
          <w:r>
            <w:t>69</w:t>
          </w:r>
          <w:r>
            <w:fldChar w:fldCharType="end"/>
          </w:r>
          <w:r>
            <w:fldChar w:fldCharType="end"/>
          </w:r>
        </w:p>
        <w:p w14:paraId="583B32E2">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"_Toc16218" </w:instrText>
          </w:r>
          <w:r>
            <w:fldChar w:fldCharType="separate"/>
          </w:r>
          <w:r>
            <w:rPr>
              <w:lang w:eastAsia="zh-CN"/>
            </w:rPr>
            <w:t>7.2森林旅游规划</w:t>
          </w:r>
          <w:r>
            <w:tab/>
          </w:r>
          <w:r>
            <w:fldChar w:fldCharType="begin"/>
          </w:r>
          <w:r>
            <w:instrText xml:space="preserve"> PAGEREF _Toc16218 \h </w:instrText>
          </w:r>
          <w:r>
            <w:fldChar w:fldCharType="separate"/>
          </w:r>
          <w:r>
            <w:t>69</w:t>
          </w:r>
          <w:r>
            <w:fldChar w:fldCharType="end"/>
          </w:r>
          <w:r>
            <w:fldChar w:fldCharType="end"/>
          </w:r>
        </w:p>
        <w:p w14:paraId="721BE9A8">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"_Toc5231" </w:instrText>
          </w:r>
          <w:r>
            <w:fldChar w:fldCharType="separate"/>
          </w:r>
          <w:r>
            <w:rPr>
              <w:lang w:eastAsia="zh-CN"/>
            </w:rPr>
            <w:t>7.3林下经济规划</w:t>
          </w:r>
          <w:r>
            <w:tab/>
          </w:r>
          <w:r>
            <w:fldChar w:fldCharType="begin"/>
          </w:r>
          <w:r>
            <w:instrText xml:space="preserve"> PAGEREF _Toc5231 \h </w:instrText>
          </w:r>
          <w:r>
            <w:fldChar w:fldCharType="separate"/>
          </w:r>
          <w:r>
            <w:t>74</w:t>
          </w:r>
          <w:r>
            <w:fldChar w:fldCharType="end"/>
          </w:r>
          <w:r>
            <w:fldChar w:fldCharType="end"/>
          </w:r>
        </w:p>
        <w:p w14:paraId="33DFBEE7">
          <w:pPr>
            <w:pStyle w:val="12"/>
            <w:keepNext w:val="0"/>
            <w:keepLines w:val="0"/>
            <w:pageBreakBefore w:val="0"/>
            <w:widowControl/>
            <w:tabs>
              <w:tab w:val="right" w:leader="dot" w:pos="8505"/>
            </w:tabs>
            <w:kinsoku w:val="0"/>
            <w:wordWrap/>
            <w:overflowPunct/>
            <w:topLinePunct w:val="0"/>
            <w:autoSpaceDE w:val="0"/>
            <w:autoSpaceDN w:val="0"/>
            <w:bidi w:val="0"/>
            <w:adjustRightInd w:val="0"/>
            <w:snapToGrid w:val="0"/>
            <w:ind w:firstLine="0" w:firstLineChars="0"/>
            <w:textAlignment w:val="baseline"/>
          </w:pPr>
          <w:r>
            <w:fldChar w:fldCharType="begin"/>
          </w:r>
          <w:r>
            <w:instrText xml:space="preserve"> HYPERLINK \l "_Toc2964" </w:instrText>
          </w:r>
          <w:r>
            <w:fldChar w:fldCharType="separate"/>
          </w:r>
          <w:r>
            <w:rPr>
              <w:lang w:eastAsia="zh-CN"/>
            </w:rPr>
            <w:t>第八章</w:t>
          </w:r>
          <w:r>
            <w:rPr>
              <w:rFonts w:hint="eastAsia"/>
              <w:lang w:eastAsia="zh-CN"/>
            </w:rPr>
            <w:t xml:space="preserve"> </w:t>
          </w:r>
          <w:r>
            <w:rPr>
              <w:lang w:eastAsia="zh-CN"/>
            </w:rPr>
            <w:t>森林健康与森林保护规划</w:t>
          </w:r>
          <w:r>
            <w:tab/>
          </w:r>
          <w:r>
            <w:fldChar w:fldCharType="begin"/>
          </w:r>
          <w:r>
            <w:instrText xml:space="preserve"> PAGEREF _Toc2964 \h </w:instrText>
          </w:r>
          <w:r>
            <w:fldChar w:fldCharType="separate"/>
          </w:r>
          <w:r>
            <w:t>79</w:t>
          </w:r>
          <w:r>
            <w:fldChar w:fldCharType="end"/>
          </w:r>
          <w:r>
            <w:fldChar w:fldCharType="end"/>
          </w:r>
        </w:p>
        <w:p w14:paraId="29AB7AE9">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"_Toc26598" </w:instrText>
          </w:r>
          <w:r>
            <w:fldChar w:fldCharType="separate"/>
          </w:r>
          <w:r>
            <w:rPr>
              <w:lang w:eastAsia="zh-CN"/>
            </w:rPr>
            <w:t>8.</w:t>
          </w:r>
          <w:r>
            <w:rPr>
              <w:rFonts w:hint="eastAsia"/>
              <w:lang w:eastAsia="zh-CN"/>
            </w:rPr>
            <w:t>1林地权属</w:t>
          </w:r>
          <w:r>
            <w:rPr>
              <w:lang w:eastAsia="zh-CN"/>
            </w:rPr>
            <w:t>维护</w:t>
          </w:r>
          <w:r>
            <w:tab/>
          </w:r>
          <w:r>
            <w:fldChar w:fldCharType="begin"/>
          </w:r>
          <w:r>
            <w:instrText xml:space="preserve"> PAGEREF _Toc26598 \h </w:instrText>
          </w:r>
          <w:r>
            <w:fldChar w:fldCharType="separate"/>
          </w:r>
          <w:r>
            <w:t>79</w:t>
          </w:r>
          <w:r>
            <w:fldChar w:fldCharType="end"/>
          </w:r>
          <w:r>
            <w:fldChar w:fldCharType="end"/>
          </w:r>
        </w:p>
        <w:p w14:paraId="32971210">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"_Toc24281" </w:instrText>
          </w:r>
          <w:r>
            <w:fldChar w:fldCharType="separate"/>
          </w:r>
          <w:r>
            <w:rPr>
              <w:lang w:eastAsia="zh-CN"/>
            </w:rPr>
            <w:t>8.</w:t>
          </w:r>
          <w:r>
            <w:rPr>
              <w:rFonts w:hint="eastAsia"/>
              <w:lang w:eastAsia="zh-CN"/>
            </w:rPr>
            <w:t>2</w:t>
          </w:r>
          <w:r>
            <w:rPr>
              <w:lang w:eastAsia="zh-CN"/>
            </w:rPr>
            <w:t>地力维护</w:t>
          </w:r>
          <w:r>
            <w:tab/>
          </w:r>
          <w:r>
            <w:fldChar w:fldCharType="begin"/>
          </w:r>
          <w:r>
            <w:instrText xml:space="preserve"> PAGEREF _Toc24281 \h </w:instrText>
          </w:r>
          <w:r>
            <w:fldChar w:fldCharType="separate"/>
          </w:r>
          <w:r>
            <w:t>79</w:t>
          </w:r>
          <w:r>
            <w:fldChar w:fldCharType="end"/>
          </w:r>
          <w:r>
            <w:fldChar w:fldCharType="end"/>
          </w:r>
        </w:p>
        <w:p w14:paraId="689CCC59">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"_Toc8887" </w:instrText>
          </w:r>
          <w:r>
            <w:fldChar w:fldCharType="separate"/>
          </w:r>
          <w:r>
            <w:rPr>
              <w:rFonts w:hint="eastAsia"/>
              <w:lang w:eastAsia="zh-CN"/>
            </w:rPr>
            <w:t>8.2森林管护</w:t>
          </w:r>
          <w:r>
            <w:tab/>
          </w:r>
          <w:r>
            <w:fldChar w:fldCharType="begin"/>
          </w:r>
          <w:r>
            <w:instrText xml:space="preserve"> PAGEREF _Toc8887 \h </w:instrText>
          </w:r>
          <w:r>
            <w:fldChar w:fldCharType="separate"/>
          </w:r>
          <w:r>
            <w:t>80</w:t>
          </w:r>
          <w:r>
            <w:fldChar w:fldCharType="end"/>
          </w:r>
          <w:r>
            <w:fldChar w:fldCharType="end"/>
          </w:r>
        </w:p>
        <w:p w14:paraId="625858AF">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"_Toc14249" </w:instrText>
          </w:r>
          <w:r>
            <w:fldChar w:fldCharType="separate"/>
          </w:r>
          <w:r>
            <w:rPr>
              <w:lang w:eastAsia="zh-CN"/>
            </w:rPr>
            <w:t>8.3森林防火</w:t>
          </w:r>
          <w:r>
            <w:tab/>
          </w:r>
          <w:r>
            <w:fldChar w:fldCharType="begin"/>
          </w:r>
          <w:r>
            <w:instrText xml:space="preserve"> PAGEREF _Toc14249 \h </w:instrText>
          </w:r>
          <w:r>
            <w:fldChar w:fldCharType="separate"/>
          </w:r>
          <w:r>
            <w:t>83</w:t>
          </w:r>
          <w:r>
            <w:fldChar w:fldCharType="end"/>
          </w:r>
          <w:r>
            <w:fldChar w:fldCharType="end"/>
          </w:r>
        </w:p>
        <w:p w14:paraId="724F100E">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"_Toc1826" </w:instrText>
          </w:r>
          <w:r>
            <w:fldChar w:fldCharType="separate"/>
          </w:r>
          <w:r>
            <w:rPr>
              <w:lang w:eastAsia="zh-CN"/>
            </w:rPr>
            <w:t>8.4林业有害生物防治</w:t>
          </w:r>
          <w:r>
            <w:tab/>
          </w:r>
          <w:r>
            <w:fldChar w:fldCharType="begin"/>
          </w:r>
          <w:r>
            <w:instrText xml:space="preserve"> PAGEREF _Toc1826 \h </w:instrText>
          </w:r>
          <w:r>
            <w:fldChar w:fldCharType="separate"/>
          </w:r>
          <w:r>
            <w:t>88</w:t>
          </w:r>
          <w:r>
            <w:fldChar w:fldCharType="end"/>
          </w:r>
          <w:r>
            <w:fldChar w:fldCharType="end"/>
          </w:r>
        </w:p>
        <w:p w14:paraId="5E27EB29">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"_Toc7676" </w:instrText>
          </w:r>
          <w:r>
            <w:fldChar w:fldCharType="separate"/>
          </w:r>
          <w:r>
            <w:rPr>
              <w:lang w:eastAsia="zh-CN"/>
            </w:rPr>
            <w:t>8.5生物多样性保护</w:t>
          </w:r>
          <w:r>
            <w:tab/>
          </w:r>
          <w:r>
            <w:fldChar w:fldCharType="begin"/>
          </w:r>
          <w:r>
            <w:instrText xml:space="preserve"> PAGEREF _Toc7676 \h </w:instrText>
          </w:r>
          <w:r>
            <w:fldChar w:fldCharType="separate"/>
          </w:r>
          <w:r>
            <w:t>89</w:t>
          </w:r>
          <w:r>
            <w:fldChar w:fldCharType="end"/>
          </w:r>
          <w:r>
            <w:fldChar w:fldCharType="end"/>
          </w:r>
        </w:p>
        <w:p w14:paraId="3C756A52">
          <w:pPr>
            <w:pStyle w:val="12"/>
            <w:keepNext w:val="0"/>
            <w:keepLines w:val="0"/>
            <w:pageBreakBefore w:val="0"/>
            <w:widowControl/>
            <w:tabs>
              <w:tab w:val="right" w:leader="dot" w:pos="8505"/>
            </w:tabs>
            <w:kinsoku w:val="0"/>
            <w:wordWrap/>
            <w:overflowPunct/>
            <w:topLinePunct w:val="0"/>
            <w:autoSpaceDE w:val="0"/>
            <w:autoSpaceDN w:val="0"/>
            <w:bidi w:val="0"/>
            <w:adjustRightInd w:val="0"/>
            <w:snapToGrid w:val="0"/>
            <w:ind w:firstLine="0" w:firstLineChars="0"/>
            <w:textAlignment w:val="baseline"/>
          </w:pPr>
          <w:r>
            <w:fldChar w:fldCharType="begin"/>
          </w:r>
          <w:r>
            <w:instrText xml:space="preserve"> HYPERLINK \l "_Toc30990" </w:instrText>
          </w:r>
          <w:r>
            <w:fldChar w:fldCharType="separate"/>
          </w:r>
          <w:r>
            <w:rPr>
              <w:lang w:eastAsia="zh-CN"/>
            </w:rPr>
            <w:t>第九章</w:t>
          </w:r>
          <w:r>
            <w:rPr>
              <w:rFonts w:hint="eastAsia"/>
              <w:lang w:eastAsia="zh-CN"/>
            </w:rPr>
            <w:t xml:space="preserve"> </w:t>
          </w:r>
          <w:r>
            <w:rPr>
              <w:lang w:eastAsia="zh-CN"/>
            </w:rPr>
            <w:t>营林设施建设维护与经营能力建设</w:t>
          </w:r>
          <w:r>
            <w:tab/>
          </w:r>
          <w:r>
            <w:fldChar w:fldCharType="begin"/>
          </w:r>
          <w:r>
            <w:instrText xml:space="preserve"> PAGEREF _Toc30990 \h </w:instrText>
          </w:r>
          <w:r>
            <w:fldChar w:fldCharType="separate"/>
          </w:r>
          <w:r>
            <w:t>91</w:t>
          </w:r>
          <w:r>
            <w:fldChar w:fldCharType="end"/>
          </w:r>
          <w:r>
            <w:fldChar w:fldCharType="end"/>
          </w:r>
        </w:p>
        <w:p w14:paraId="7F7CB13D">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"_Toc15014" </w:instrText>
          </w:r>
          <w:r>
            <w:fldChar w:fldCharType="separate"/>
          </w:r>
          <w:r>
            <w:rPr>
              <w:lang w:eastAsia="zh-CN"/>
            </w:rPr>
            <w:t>9.1林道设施</w:t>
          </w:r>
          <w:r>
            <w:tab/>
          </w:r>
          <w:r>
            <w:fldChar w:fldCharType="begin"/>
          </w:r>
          <w:r>
            <w:instrText xml:space="preserve"> PAGEREF _Toc15014 \h </w:instrText>
          </w:r>
          <w:r>
            <w:fldChar w:fldCharType="separate"/>
          </w:r>
          <w:r>
            <w:t>91</w:t>
          </w:r>
          <w:r>
            <w:fldChar w:fldCharType="end"/>
          </w:r>
          <w:r>
            <w:fldChar w:fldCharType="end"/>
          </w:r>
        </w:p>
        <w:p w14:paraId="6DA86F1D">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"_Toc10340" </w:instrText>
          </w:r>
          <w:r>
            <w:fldChar w:fldCharType="separate"/>
          </w:r>
          <w:r>
            <w:rPr>
              <w:rFonts w:hint="eastAsia"/>
              <w:lang w:eastAsia="zh-CN"/>
            </w:rPr>
            <w:t>9.2管护用房建设</w:t>
          </w:r>
          <w:r>
            <w:tab/>
          </w:r>
          <w:r>
            <w:fldChar w:fldCharType="begin"/>
          </w:r>
          <w:r>
            <w:instrText xml:space="preserve"> PAGEREF _Toc10340 \h </w:instrText>
          </w:r>
          <w:r>
            <w:fldChar w:fldCharType="separate"/>
          </w:r>
          <w:r>
            <w:t>93</w:t>
          </w:r>
          <w:r>
            <w:fldChar w:fldCharType="end"/>
          </w:r>
          <w:r>
            <w:fldChar w:fldCharType="end"/>
          </w:r>
        </w:p>
        <w:p w14:paraId="71BB9269">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"_Toc1735" </w:instrText>
          </w:r>
          <w:r>
            <w:fldChar w:fldCharType="separate"/>
          </w:r>
          <w:r>
            <w:rPr>
              <w:rFonts w:hint="eastAsia"/>
              <w:lang w:eastAsia="zh-CN"/>
            </w:rPr>
            <w:t>9.3森林防火设施建设</w:t>
          </w:r>
          <w:r>
            <w:tab/>
          </w:r>
          <w:r>
            <w:fldChar w:fldCharType="begin"/>
          </w:r>
          <w:r>
            <w:instrText xml:space="preserve"> PAGEREF _Toc1735 \h </w:instrText>
          </w:r>
          <w:r>
            <w:fldChar w:fldCharType="separate"/>
          </w:r>
          <w:r>
            <w:t>94</w:t>
          </w:r>
          <w:r>
            <w:fldChar w:fldCharType="end"/>
          </w:r>
          <w:r>
            <w:fldChar w:fldCharType="end"/>
          </w:r>
        </w:p>
        <w:p w14:paraId="43ECAF1F">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"_Toc30516" </w:instrText>
          </w:r>
          <w:r>
            <w:fldChar w:fldCharType="separate"/>
          </w:r>
          <w:r>
            <w:rPr>
              <w:rFonts w:hint="eastAsia"/>
              <w:lang w:eastAsia="zh-CN"/>
            </w:rPr>
            <w:t>9.4其它基础设施建设</w:t>
          </w:r>
          <w:r>
            <w:tab/>
          </w:r>
          <w:r>
            <w:fldChar w:fldCharType="begin"/>
          </w:r>
          <w:r>
            <w:instrText xml:space="preserve"> PAGEREF _Toc30516 \h </w:instrText>
          </w:r>
          <w:r>
            <w:fldChar w:fldCharType="separate"/>
          </w:r>
          <w:r>
            <w:t>94</w:t>
          </w:r>
          <w:r>
            <w:fldChar w:fldCharType="end"/>
          </w:r>
          <w:r>
            <w:fldChar w:fldCharType="end"/>
          </w:r>
        </w:p>
        <w:p w14:paraId="6A06FE2B">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"_Toc15323" </w:instrText>
          </w:r>
          <w:r>
            <w:fldChar w:fldCharType="separate"/>
          </w:r>
          <w:r>
            <w:rPr>
              <w:lang w:eastAsia="zh-CN"/>
            </w:rPr>
            <w:t>9.</w:t>
          </w:r>
          <w:r>
            <w:rPr>
              <w:rFonts w:hint="eastAsia"/>
              <w:lang w:eastAsia="zh-CN"/>
            </w:rPr>
            <w:t>5</w:t>
          </w:r>
          <w:r>
            <w:rPr>
              <w:lang w:eastAsia="zh-CN"/>
            </w:rPr>
            <w:t>旅游设施建设</w:t>
          </w:r>
          <w:r>
            <w:tab/>
          </w:r>
          <w:r>
            <w:fldChar w:fldCharType="begin"/>
          </w:r>
          <w:r>
            <w:instrText xml:space="preserve"> PAGEREF _Toc15323 \h </w:instrText>
          </w:r>
          <w:r>
            <w:fldChar w:fldCharType="separate"/>
          </w:r>
          <w:r>
            <w:t>95</w:t>
          </w:r>
          <w:r>
            <w:fldChar w:fldCharType="end"/>
          </w:r>
          <w:r>
            <w:fldChar w:fldCharType="end"/>
          </w:r>
        </w:p>
        <w:p w14:paraId="2951A385">
          <w:pPr>
            <w:pStyle w:val="12"/>
            <w:keepNext w:val="0"/>
            <w:keepLines w:val="0"/>
            <w:pageBreakBefore w:val="0"/>
            <w:widowControl/>
            <w:tabs>
              <w:tab w:val="right" w:leader="dot" w:pos="8505"/>
            </w:tabs>
            <w:kinsoku w:val="0"/>
            <w:wordWrap/>
            <w:overflowPunct/>
            <w:topLinePunct w:val="0"/>
            <w:autoSpaceDE w:val="0"/>
            <w:autoSpaceDN w:val="0"/>
            <w:bidi w:val="0"/>
            <w:adjustRightInd w:val="0"/>
            <w:snapToGrid w:val="0"/>
            <w:ind w:firstLine="0" w:firstLineChars="0"/>
            <w:textAlignment w:val="baseline"/>
          </w:pPr>
          <w:r>
            <w:fldChar w:fldCharType="begin"/>
          </w:r>
          <w:r>
            <w:instrText xml:space="preserve"> HYPERLINK \l "_Toc16913" </w:instrText>
          </w:r>
          <w:r>
            <w:fldChar w:fldCharType="separate"/>
          </w:r>
          <w:r>
            <w:rPr>
              <w:lang w:eastAsia="zh-CN"/>
            </w:rPr>
            <w:t>第十章</w:t>
          </w:r>
          <w:r>
            <w:rPr>
              <w:rFonts w:hint="eastAsia"/>
              <w:lang w:eastAsia="zh-CN"/>
            </w:rPr>
            <w:t xml:space="preserve"> </w:t>
          </w:r>
          <w:r>
            <w:rPr>
              <w:lang w:eastAsia="zh-CN"/>
            </w:rPr>
            <w:t>投资估算</w:t>
          </w:r>
          <w:r>
            <w:tab/>
          </w:r>
          <w:r>
            <w:fldChar w:fldCharType="begin"/>
          </w:r>
          <w:r>
            <w:instrText xml:space="preserve"> PAGEREF _Toc16913 \h </w:instrText>
          </w:r>
          <w:r>
            <w:fldChar w:fldCharType="separate"/>
          </w:r>
          <w:r>
            <w:t>101</w:t>
          </w:r>
          <w:r>
            <w:fldChar w:fldCharType="end"/>
          </w:r>
          <w:r>
            <w:fldChar w:fldCharType="end"/>
          </w:r>
        </w:p>
        <w:p w14:paraId="3BFAEE5F">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"_Toc12577" </w:instrText>
          </w:r>
          <w:r>
            <w:fldChar w:fldCharType="separate"/>
          </w:r>
          <w:r>
            <w:rPr>
              <w:lang w:eastAsia="zh-CN"/>
            </w:rPr>
            <w:t>10.1投资估算</w:t>
          </w:r>
          <w:r>
            <w:tab/>
          </w:r>
          <w:r>
            <w:fldChar w:fldCharType="begin"/>
          </w:r>
          <w:r>
            <w:instrText xml:space="preserve"> PAGEREF _Toc12577 \h </w:instrText>
          </w:r>
          <w:r>
            <w:fldChar w:fldCharType="separate"/>
          </w:r>
          <w:r>
            <w:t>101</w:t>
          </w:r>
          <w:r>
            <w:fldChar w:fldCharType="end"/>
          </w:r>
          <w:r>
            <w:fldChar w:fldCharType="end"/>
          </w:r>
        </w:p>
        <w:p w14:paraId="2497902D">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"_Toc9289" </w:instrText>
          </w:r>
          <w:r>
            <w:fldChar w:fldCharType="separate"/>
          </w:r>
          <w:r>
            <w:rPr>
              <w:rFonts w:hint="eastAsia"/>
              <w:lang w:eastAsia="zh-CN"/>
            </w:rPr>
            <w:t>10.2资金来源</w:t>
          </w:r>
          <w:r>
            <w:tab/>
          </w:r>
          <w:r>
            <w:fldChar w:fldCharType="begin"/>
          </w:r>
          <w:r>
            <w:instrText xml:space="preserve"> PAGEREF _Toc9289 \h </w:instrText>
          </w:r>
          <w:r>
            <w:fldChar w:fldCharType="separate"/>
          </w:r>
          <w:r>
            <w:t>106</w:t>
          </w:r>
          <w:r>
            <w:fldChar w:fldCharType="end"/>
          </w:r>
          <w:r>
            <w:fldChar w:fldCharType="end"/>
          </w:r>
        </w:p>
        <w:p w14:paraId="6582C3C5">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"_Toc31096" </w:instrText>
          </w:r>
          <w:r>
            <w:fldChar w:fldCharType="separate"/>
          </w:r>
          <w:r>
            <w:rPr>
              <w:lang w:eastAsia="zh-CN"/>
            </w:rPr>
            <w:t>10.2资金来源</w:t>
          </w:r>
          <w:r>
            <w:tab/>
          </w:r>
          <w:r>
            <w:fldChar w:fldCharType="begin"/>
          </w:r>
          <w:r>
            <w:instrText xml:space="preserve"> PAGEREF _Toc31096 \h </w:instrText>
          </w:r>
          <w:r>
            <w:fldChar w:fldCharType="separate"/>
          </w:r>
          <w:r>
            <w:t>107</w:t>
          </w:r>
          <w:r>
            <w:fldChar w:fldCharType="end"/>
          </w:r>
          <w:r>
            <w:fldChar w:fldCharType="end"/>
          </w:r>
        </w:p>
        <w:p w14:paraId="649D49F6">
          <w:pPr>
            <w:pStyle w:val="12"/>
            <w:keepNext w:val="0"/>
            <w:keepLines w:val="0"/>
            <w:pageBreakBefore w:val="0"/>
            <w:widowControl/>
            <w:tabs>
              <w:tab w:val="right" w:leader="dot" w:pos="8505"/>
            </w:tabs>
            <w:kinsoku w:val="0"/>
            <w:wordWrap/>
            <w:overflowPunct/>
            <w:topLinePunct w:val="0"/>
            <w:autoSpaceDE w:val="0"/>
            <w:autoSpaceDN w:val="0"/>
            <w:bidi w:val="0"/>
            <w:adjustRightInd w:val="0"/>
            <w:snapToGrid w:val="0"/>
            <w:ind w:firstLine="0" w:firstLineChars="0"/>
            <w:textAlignment w:val="baseline"/>
          </w:pPr>
          <w:r>
            <w:fldChar w:fldCharType="begin"/>
          </w:r>
          <w:r>
            <w:instrText xml:space="preserve"> HYPERLINK \l "_Toc24293" </w:instrText>
          </w:r>
          <w:r>
            <w:fldChar w:fldCharType="separate"/>
          </w:r>
          <w:r>
            <w:t>第十一章</w:t>
          </w:r>
          <w:r>
            <w:rPr>
              <w:rFonts w:hint="eastAsia"/>
              <w:lang w:eastAsia="zh-CN"/>
            </w:rPr>
            <w:t xml:space="preserve"> </w:t>
          </w:r>
          <w:r>
            <w:t>效益分析及展望</w:t>
          </w:r>
          <w:r>
            <w:tab/>
          </w:r>
          <w:r>
            <w:fldChar w:fldCharType="begin"/>
          </w:r>
          <w:r>
            <w:instrText xml:space="preserve"> PAGEREF _Toc24293 \h </w:instrText>
          </w:r>
          <w:r>
            <w:fldChar w:fldCharType="separate"/>
          </w:r>
          <w:r>
            <w:t>108</w:t>
          </w:r>
          <w:r>
            <w:fldChar w:fldCharType="end"/>
          </w:r>
          <w:r>
            <w:fldChar w:fldCharType="end"/>
          </w:r>
        </w:p>
        <w:p w14:paraId="012B43B4">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"_Toc27874" </w:instrText>
          </w:r>
          <w:r>
            <w:fldChar w:fldCharType="separate"/>
          </w:r>
          <w:r>
            <w:rPr>
              <w:lang w:eastAsia="zh-CN"/>
            </w:rPr>
            <w:t>11.1经济效益分析</w:t>
          </w:r>
          <w:r>
            <w:tab/>
          </w:r>
          <w:r>
            <w:fldChar w:fldCharType="begin"/>
          </w:r>
          <w:r>
            <w:instrText xml:space="preserve"> PAGEREF _Toc27874 \h </w:instrText>
          </w:r>
          <w:r>
            <w:fldChar w:fldCharType="separate"/>
          </w:r>
          <w:r>
            <w:t>108</w:t>
          </w:r>
          <w:r>
            <w:fldChar w:fldCharType="end"/>
          </w:r>
          <w:r>
            <w:fldChar w:fldCharType="end"/>
          </w:r>
        </w:p>
        <w:p w14:paraId="73D101FE">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"_Toc144" </w:instrText>
          </w:r>
          <w:r>
            <w:fldChar w:fldCharType="separate"/>
          </w:r>
          <w:r>
            <w:rPr>
              <w:lang w:eastAsia="zh-CN"/>
            </w:rPr>
            <w:t>11.2生态效益分析</w:t>
          </w:r>
          <w:r>
            <w:tab/>
          </w:r>
          <w:r>
            <w:fldChar w:fldCharType="begin"/>
          </w:r>
          <w:r>
            <w:instrText xml:space="preserve"> PAGEREF _Toc144 \h </w:instrText>
          </w:r>
          <w:r>
            <w:fldChar w:fldCharType="separate"/>
          </w:r>
          <w:r>
            <w:t>108</w:t>
          </w:r>
          <w:r>
            <w:fldChar w:fldCharType="end"/>
          </w:r>
          <w:r>
            <w:fldChar w:fldCharType="end"/>
          </w:r>
        </w:p>
        <w:p w14:paraId="3446508E">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"_Toc25413" </w:instrText>
          </w:r>
          <w:r>
            <w:fldChar w:fldCharType="separate"/>
          </w:r>
          <w:r>
            <w:rPr>
              <w:lang w:eastAsia="zh-CN"/>
            </w:rPr>
            <w:t>11.3社会效益分析</w:t>
          </w:r>
          <w:r>
            <w:tab/>
          </w:r>
          <w:r>
            <w:fldChar w:fldCharType="begin"/>
          </w:r>
          <w:r>
            <w:instrText xml:space="preserve"> PAGEREF _Toc25413 \h </w:instrText>
          </w:r>
          <w:r>
            <w:fldChar w:fldCharType="separate"/>
          </w:r>
          <w:r>
            <w:t>109</w:t>
          </w:r>
          <w:r>
            <w:fldChar w:fldCharType="end"/>
          </w:r>
          <w:r>
            <w:fldChar w:fldCharType="end"/>
          </w:r>
        </w:p>
        <w:p w14:paraId="088D3088">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"_Toc7642" </w:instrText>
          </w:r>
          <w:r>
            <w:fldChar w:fldCharType="separate"/>
          </w:r>
          <w:r>
            <w:rPr>
              <w:lang w:eastAsia="zh-CN"/>
            </w:rPr>
            <w:t>11.4森林资源展望分析</w:t>
          </w:r>
          <w:r>
            <w:tab/>
          </w:r>
          <w:r>
            <w:fldChar w:fldCharType="begin"/>
          </w:r>
          <w:r>
            <w:instrText xml:space="preserve"> PAGEREF _Toc7642 \h </w:instrText>
          </w:r>
          <w:r>
            <w:fldChar w:fldCharType="separate"/>
          </w:r>
          <w:r>
            <w:t>109</w:t>
          </w:r>
          <w:r>
            <w:fldChar w:fldCharType="end"/>
          </w:r>
          <w:r>
            <w:fldChar w:fldCharType="end"/>
          </w:r>
        </w:p>
        <w:p w14:paraId="2B8B75D3">
          <w:pPr>
            <w:pStyle w:val="12"/>
            <w:keepNext w:val="0"/>
            <w:keepLines w:val="0"/>
            <w:pageBreakBefore w:val="0"/>
            <w:widowControl/>
            <w:tabs>
              <w:tab w:val="right" w:leader="dot" w:pos="8505"/>
            </w:tabs>
            <w:kinsoku w:val="0"/>
            <w:wordWrap/>
            <w:overflowPunct/>
            <w:topLinePunct w:val="0"/>
            <w:autoSpaceDE w:val="0"/>
            <w:autoSpaceDN w:val="0"/>
            <w:bidi w:val="0"/>
            <w:adjustRightInd w:val="0"/>
            <w:snapToGrid w:val="0"/>
            <w:ind w:firstLine="0" w:firstLineChars="0"/>
            <w:textAlignment w:val="baseline"/>
          </w:pPr>
          <w:r>
            <w:fldChar w:fldCharType="begin"/>
          </w:r>
          <w:r>
            <w:instrText xml:space="preserve"> HYPERLINK \l "_Toc21037" </w:instrText>
          </w:r>
          <w:r>
            <w:fldChar w:fldCharType="separate"/>
          </w:r>
          <w:r>
            <w:rPr>
              <w:lang w:eastAsia="zh-CN"/>
            </w:rPr>
            <w:t>第十二章</w:t>
          </w:r>
          <w:r>
            <w:rPr>
              <w:rFonts w:hint="eastAsia"/>
              <w:lang w:eastAsia="zh-CN"/>
            </w:rPr>
            <w:t xml:space="preserve"> </w:t>
          </w:r>
          <w:r>
            <w:rPr>
              <w:lang w:eastAsia="zh-CN"/>
            </w:rPr>
            <w:t>保障措施</w:t>
          </w:r>
          <w:r>
            <w:tab/>
          </w:r>
          <w:r>
            <w:fldChar w:fldCharType="begin"/>
          </w:r>
          <w:r>
            <w:instrText xml:space="preserve"> PAGEREF _Toc21037 \h </w:instrText>
          </w:r>
          <w:r>
            <w:fldChar w:fldCharType="separate"/>
          </w:r>
          <w:r>
            <w:t>110</w:t>
          </w:r>
          <w:r>
            <w:fldChar w:fldCharType="end"/>
          </w:r>
          <w:r>
            <w:fldChar w:fldCharType="end"/>
          </w:r>
        </w:p>
        <w:p w14:paraId="2033DDC5">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"_Toc9330" </w:instrText>
          </w:r>
          <w:r>
            <w:fldChar w:fldCharType="separate"/>
          </w:r>
          <w:r>
            <w:rPr>
              <w:lang w:eastAsia="zh-CN"/>
            </w:rPr>
            <w:t>12.1组织保障</w:t>
          </w:r>
          <w:r>
            <w:tab/>
          </w:r>
          <w:r>
            <w:fldChar w:fldCharType="begin"/>
          </w:r>
          <w:r>
            <w:instrText xml:space="preserve"> PAGEREF _Toc9330 \h </w:instrText>
          </w:r>
          <w:r>
            <w:fldChar w:fldCharType="separate"/>
          </w:r>
          <w:r>
            <w:t>110</w:t>
          </w:r>
          <w:r>
            <w:fldChar w:fldCharType="end"/>
          </w:r>
          <w:r>
            <w:fldChar w:fldCharType="end"/>
          </w:r>
        </w:p>
        <w:p w14:paraId="00CF984D">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"_Toc19860" </w:instrText>
          </w:r>
          <w:r>
            <w:fldChar w:fldCharType="separate"/>
          </w:r>
          <w:r>
            <w:rPr>
              <w:lang w:eastAsia="zh-CN"/>
            </w:rPr>
            <w:t>12.2资金保障</w:t>
          </w:r>
          <w:r>
            <w:tab/>
          </w:r>
          <w:r>
            <w:fldChar w:fldCharType="begin"/>
          </w:r>
          <w:r>
            <w:instrText xml:space="preserve"> PAGEREF _Toc19860 \h </w:instrText>
          </w:r>
          <w:r>
            <w:fldChar w:fldCharType="separate"/>
          </w:r>
          <w:r>
            <w:t>110</w:t>
          </w:r>
          <w:r>
            <w:fldChar w:fldCharType="end"/>
          </w:r>
          <w:r>
            <w:fldChar w:fldCharType="end"/>
          </w:r>
        </w:p>
        <w:p w14:paraId="37126B42">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"_Toc26955" </w:instrText>
          </w:r>
          <w:r>
            <w:fldChar w:fldCharType="separate"/>
          </w:r>
          <w:r>
            <w:rPr>
              <w:lang w:eastAsia="zh-CN"/>
            </w:rPr>
            <w:t>12.3科技保障</w:t>
          </w:r>
          <w:r>
            <w:tab/>
          </w:r>
          <w:r>
            <w:fldChar w:fldCharType="begin"/>
          </w:r>
          <w:r>
            <w:instrText xml:space="preserve"> PAGEREF _Toc26955 \h </w:instrText>
          </w:r>
          <w:r>
            <w:fldChar w:fldCharType="separate"/>
          </w:r>
          <w:r>
            <w:t>111</w:t>
          </w:r>
          <w:r>
            <w:fldChar w:fldCharType="end"/>
          </w:r>
          <w:r>
            <w:fldChar w:fldCharType="end"/>
          </w:r>
        </w:p>
        <w:p w14:paraId="58A9A00A">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pPr>
          <w:r>
            <w:fldChar w:fldCharType="begin"/>
          </w:r>
          <w:r>
            <w:instrText xml:space="preserve"> HYPERLINK \l "_Toc11264" </w:instrText>
          </w:r>
          <w:r>
            <w:fldChar w:fldCharType="separate"/>
          </w:r>
          <w:r>
            <w:rPr>
              <w:lang w:eastAsia="zh-CN"/>
            </w:rPr>
            <w:t>12.4环境保障</w:t>
          </w:r>
          <w:r>
            <w:tab/>
          </w:r>
          <w:r>
            <w:fldChar w:fldCharType="begin"/>
          </w:r>
          <w:r>
            <w:instrText xml:space="preserve"> PAGEREF _Toc11264 \h </w:instrText>
          </w:r>
          <w:r>
            <w:fldChar w:fldCharType="separate"/>
          </w:r>
          <w:r>
            <w:t>111</w:t>
          </w:r>
          <w:r>
            <w:fldChar w:fldCharType="end"/>
          </w:r>
          <w:r>
            <w:fldChar w:fldCharType="end"/>
          </w:r>
        </w:p>
        <w:p w14:paraId="7E6D757F">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rPr>
              <w:rFonts w:cs="Times New Roman"/>
              <w:szCs w:val="20"/>
            </w:rPr>
          </w:pPr>
          <w:r>
            <w:fldChar w:fldCharType="begin"/>
          </w:r>
          <w:r>
            <w:instrText xml:space="preserve"> HYPERLINK \l "_Toc20678" </w:instrText>
          </w:r>
          <w:r>
            <w:fldChar w:fldCharType="separate"/>
          </w:r>
          <w:r>
            <w:rPr>
              <w:lang w:eastAsia="zh-CN"/>
            </w:rPr>
            <w:t>12.5法律保障</w:t>
          </w:r>
          <w:r>
            <w:tab/>
          </w:r>
          <w:r>
            <w:fldChar w:fldCharType="begin"/>
          </w:r>
          <w:r>
            <w:instrText xml:space="preserve"> PAGEREF _Toc20678 \h </w:instrText>
          </w:r>
          <w:r>
            <w:fldChar w:fldCharType="separate"/>
          </w:r>
          <w:r>
            <w:t>111</w:t>
          </w:r>
          <w:r>
            <w:fldChar w:fldCharType="end"/>
          </w:r>
          <w:r>
            <w:fldChar w:fldCharType="end"/>
          </w:r>
        </w:p>
        <w:p w14:paraId="1F8C5636">
          <w:pPr>
            <w:pStyle w:val="12"/>
            <w:keepNext w:val="0"/>
            <w:keepLines w:val="0"/>
            <w:pageBreakBefore w:val="0"/>
            <w:widowControl/>
            <w:tabs>
              <w:tab w:val="right" w:leader="dot" w:pos="8505"/>
            </w:tabs>
            <w:kinsoku w:val="0"/>
            <w:wordWrap/>
            <w:overflowPunct/>
            <w:topLinePunct w:val="0"/>
            <w:autoSpaceDE w:val="0"/>
            <w:autoSpaceDN w:val="0"/>
            <w:bidi w:val="0"/>
            <w:adjustRightInd w:val="0"/>
            <w:snapToGrid w:val="0"/>
            <w:ind w:firstLine="0" w:firstLineChars="0"/>
            <w:textAlignment w:val="baseline"/>
            <w:rPr>
              <w:rFonts w:hint="eastAsia"/>
              <w:b/>
              <w:bCs/>
              <w:lang w:eastAsia="zh-CN"/>
            </w:rPr>
          </w:pPr>
        </w:p>
        <w:p w14:paraId="48418F7C">
          <w:pPr>
            <w:pStyle w:val="12"/>
            <w:keepNext w:val="0"/>
            <w:keepLines w:val="0"/>
            <w:pageBreakBefore w:val="0"/>
            <w:widowControl/>
            <w:tabs>
              <w:tab w:val="right" w:leader="dot" w:pos="8505"/>
            </w:tabs>
            <w:kinsoku w:val="0"/>
            <w:wordWrap/>
            <w:overflowPunct/>
            <w:topLinePunct w:val="0"/>
            <w:autoSpaceDE w:val="0"/>
            <w:autoSpaceDN w:val="0"/>
            <w:bidi w:val="0"/>
            <w:adjustRightInd w:val="0"/>
            <w:snapToGrid w:val="0"/>
            <w:ind w:firstLine="0" w:firstLineChars="0"/>
            <w:textAlignment w:val="baseline"/>
            <w:rPr>
              <w:b/>
              <w:bCs/>
              <w:lang w:eastAsia="zh-CN"/>
            </w:rPr>
          </w:pPr>
          <w:r>
            <w:rPr>
              <w:rFonts w:hint="eastAsia"/>
              <w:b/>
              <w:bCs/>
              <w:lang w:eastAsia="zh-CN"/>
            </w:rPr>
            <w:t>附表</w:t>
          </w:r>
        </w:p>
        <w:p w14:paraId="162A55C0">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rPr>
              <w:lang w:eastAsia="zh-CN"/>
            </w:rPr>
          </w:pPr>
          <w:r>
            <w:rPr>
              <w:rFonts w:hint="eastAsia"/>
              <w:lang w:eastAsia="zh-CN"/>
            </w:rPr>
            <w:t>附表1 各类土地面积统计表</w:t>
          </w:r>
        </w:p>
        <w:p w14:paraId="71286816">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rPr>
              <w:lang w:eastAsia="zh-CN"/>
            </w:rPr>
          </w:pPr>
          <w:r>
            <w:rPr>
              <w:rFonts w:hint="eastAsia"/>
              <w:lang w:eastAsia="zh-CN"/>
            </w:rPr>
            <w:t>附表2 乔木林各龄组面积蓄积按优势树种和起源统计表</w:t>
          </w:r>
        </w:p>
        <w:p w14:paraId="362DFCD1">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rPr>
              <w:lang w:eastAsia="zh-CN"/>
            </w:rPr>
          </w:pPr>
          <w:r>
            <w:rPr>
              <w:rFonts w:hint="eastAsia"/>
              <w:lang w:eastAsia="zh-CN"/>
            </w:rPr>
            <w:t>附表3 森林经营类型设计表</w:t>
          </w:r>
        </w:p>
        <w:p w14:paraId="1D48BC43">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rPr>
              <w:lang w:eastAsia="zh-CN"/>
            </w:rPr>
          </w:pPr>
          <w:r>
            <w:rPr>
              <w:rFonts w:hint="eastAsia"/>
              <w:lang w:eastAsia="zh-CN"/>
            </w:rPr>
            <w:t>附表4 森林经营面积按措施类型和作业年度统计表</w:t>
          </w:r>
        </w:p>
        <w:p w14:paraId="0A6B241E">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rPr>
              <w:lang w:eastAsia="zh-CN"/>
            </w:rPr>
          </w:pPr>
          <w:r>
            <w:rPr>
              <w:rFonts w:hint="eastAsia"/>
              <w:lang w:eastAsia="zh-CN"/>
            </w:rPr>
            <w:t>附表5 森林经营投资估算表</w:t>
          </w:r>
        </w:p>
        <w:p w14:paraId="7AA8DDF8">
          <w:pPr>
            <w:pStyle w:val="12"/>
            <w:keepNext w:val="0"/>
            <w:keepLines w:val="0"/>
            <w:pageBreakBefore w:val="0"/>
            <w:widowControl/>
            <w:tabs>
              <w:tab w:val="right" w:leader="dot" w:pos="8505"/>
            </w:tabs>
            <w:kinsoku w:val="0"/>
            <w:wordWrap/>
            <w:overflowPunct/>
            <w:topLinePunct w:val="0"/>
            <w:autoSpaceDE w:val="0"/>
            <w:autoSpaceDN w:val="0"/>
            <w:bidi w:val="0"/>
            <w:adjustRightInd w:val="0"/>
            <w:snapToGrid w:val="0"/>
            <w:ind w:firstLine="0" w:firstLineChars="0"/>
            <w:textAlignment w:val="baseline"/>
            <w:rPr>
              <w:rFonts w:hint="eastAsia"/>
              <w:b/>
              <w:bCs/>
              <w:lang w:eastAsia="zh-CN"/>
            </w:rPr>
          </w:pPr>
        </w:p>
        <w:p w14:paraId="4B555B34">
          <w:pPr>
            <w:pStyle w:val="12"/>
            <w:keepNext w:val="0"/>
            <w:keepLines w:val="0"/>
            <w:pageBreakBefore w:val="0"/>
            <w:widowControl/>
            <w:tabs>
              <w:tab w:val="right" w:leader="dot" w:pos="8505"/>
            </w:tabs>
            <w:kinsoku w:val="0"/>
            <w:wordWrap/>
            <w:overflowPunct/>
            <w:topLinePunct w:val="0"/>
            <w:autoSpaceDE w:val="0"/>
            <w:autoSpaceDN w:val="0"/>
            <w:bidi w:val="0"/>
            <w:adjustRightInd w:val="0"/>
            <w:snapToGrid w:val="0"/>
            <w:ind w:firstLine="0" w:firstLineChars="0"/>
            <w:textAlignment w:val="baseline"/>
            <w:rPr>
              <w:b/>
              <w:bCs/>
              <w:lang w:eastAsia="zh-CN"/>
            </w:rPr>
          </w:pPr>
          <w:r>
            <w:rPr>
              <w:rFonts w:hint="eastAsia"/>
              <w:b/>
              <w:bCs/>
              <w:lang w:eastAsia="zh-CN"/>
            </w:rPr>
            <w:t>附图</w:t>
          </w:r>
        </w:p>
        <w:p w14:paraId="2498BE99">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rPr>
              <w:rFonts w:hint="eastAsia"/>
              <w:lang w:eastAsia="zh-CN"/>
            </w:rPr>
          </w:pPr>
          <w:r>
            <w:rPr>
              <w:rFonts w:hint="eastAsia"/>
              <w:lang w:eastAsia="zh-CN"/>
            </w:rPr>
            <w:t>附图1  区域位置图</w:t>
          </w:r>
        </w:p>
        <w:p w14:paraId="12D4ABDB">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rPr>
              <w:rFonts w:hint="eastAsia"/>
              <w:lang w:eastAsia="zh-CN"/>
            </w:rPr>
          </w:pPr>
          <w:r>
            <w:rPr>
              <w:rFonts w:hint="eastAsia"/>
              <w:lang w:eastAsia="zh-CN"/>
            </w:rPr>
            <w:t>附图2  经营设施规划布局图</w:t>
          </w:r>
        </w:p>
        <w:p w14:paraId="03D1B3D9">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rPr>
              <w:rFonts w:hint="eastAsia"/>
              <w:lang w:eastAsia="zh-CN"/>
            </w:rPr>
          </w:pPr>
          <w:r>
            <w:rPr>
              <w:rFonts w:hint="eastAsia"/>
              <w:lang w:eastAsia="zh-CN"/>
            </w:rPr>
            <w:t>附图3  林相图</w:t>
          </w:r>
        </w:p>
        <w:p w14:paraId="1EED43A8">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rPr>
              <w:rFonts w:hint="eastAsia"/>
              <w:lang w:eastAsia="zh-CN"/>
            </w:rPr>
          </w:pPr>
          <w:r>
            <w:rPr>
              <w:rFonts w:hint="eastAsia"/>
              <w:lang w:eastAsia="zh-CN"/>
            </w:rPr>
            <w:t>附图4  森林功能区划图</w:t>
          </w:r>
        </w:p>
        <w:p w14:paraId="0F4943E0">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rPr>
              <w:rFonts w:hint="eastAsia"/>
              <w:lang w:eastAsia="zh-CN"/>
            </w:rPr>
          </w:pPr>
          <w:r>
            <w:rPr>
              <w:rFonts w:hint="eastAsia"/>
              <w:lang w:eastAsia="zh-CN"/>
            </w:rPr>
            <w:t>附图5  森林经营措施类型规划</w:t>
          </w:r>
        </w:p>
        <w:p w14:paraId="08BD9290">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rPr>
              <w:rFonts w:hint="eastAsia"/>
              <w:lang w:eastAsia="zh-CN"/>
            </w:rPr>
          </w:pPr>
          <w:r>
            <w:rPr>
              <w:rFonts w:hint="eastAsia"/>
              <w:lang w:eastAsia="zh-CN"/>
            </w:rPr>
            <w:t>附图6  森林经营类型分布图</w:t>
          </w:r>
        </w:p>
        <w:p w14:paraId="6BAC5BE7">
          <w:pPr>
            <w:pStyle w:val="13"/>
            <w:keepNext w:val="0"/>
            <w:keepLines w:val="0"/>
            <w:pageBreakBefore w:val="0"/>
            <w:widowControl/>
            <w:tabs>
              <w:tab w:val="right" w:leader="dot" w:pos="8505"/>
            </w:tabs>
            <w:kinsoku w:val="0"/>
            <w:wordWrap/>
            <w:overflowPunct/>
            <w:topLinePunct w:val="0"/>
            <w:autoSpaceDE w:val="0"/>
            <w:autoSpaceDN w:val="0"/>
            <w:bidi w:val="0"/>
            <w:adjustRightInd w:val="0"/>
            <w:snapToGrid w:val="0"/>
            <w:ind w:left="240" w:leftChars="100" w:firstLine="480"/>
            <w:textAlignment w:val="baseline"/>
            <w:rPr>
              <w:lang w:eastAsia="zh-CN"/>
            </w:rPr>
          </w:pPr>
          <w:r>
            <w:rPr>
              <w:rFonts w:hint="eastAsia"/>
              <w:lang w:eastAsia="zh-CN"/>
            </w:rPr>
            <w:t>附表7  森林经营任务年度图</w:t>
          </w:r>
        </w:p>
        <w:p w14:paraId="375ABDCA">
          <w:pPr>
            <w:ind w:firstLine="480"/>
            <w:rPr>
              <w:rFonts w:cs="Times New Roman"/>
              <w:b/>
            </w:rPr>
          </w:pPr>
          <w:r>
            <w:rPr>
              <w:rFonts w:cs="Times New Roman"/>
              <w:szCs w:val="20"/>
            </w:rPr>
            <w:fldChar w:fldCharType="end"/>
          </w:r>
        </w:p>
      </w:sdtContent>
    </w:sdt>
    <w:p w14:paraId="2F2FCFCA">
      <w:pPr>
        <w:ind w:firstLine="482"/>
        <w:rPr>
          <w:rFonts w:cs="Times New Roman"/>
          <w:b/>
        </w:rPr>
      </w:pPr>
    </w:p>
    <w:p w14:paraId="40CF60A4">
      <w:pPr>
        <w:spacing w:before="91" w:line="219" w:lineRule="auto"/>
        <w:ind w:left="4331" w:firstLine="562"/>
        <w:rPr>
          <w:rFonts w:eastAsia="黑体" w:cs="Times New Roman"/>
          <w:b/>
          <w:bCs/>
          <w:sz w:val="28"/>
          <w:szCs w:val="28"/>
        </w:rPr>
        <w:sectPr>
          <w:footerReference r:id="rId12" w:type="default"/>
          <w:pgSz w:w="11905" w:h="16843"/>
          <w:pgMar w:top="1440" w:right="1406" w:bottom="1440" w:left="1803" w:header="873" w:footer="1276" w:gutter="0"/>
          <w:pgNumType w:fmt="upperRoman" w:start="1"/>
          <w:cols w:space="0" w:num="1"/>
          <w:rtlGutter w:val="0"/>
          <w:docGrid w:linePitch="326" w:charSpace="0"/>
        </w:sectPr>
      </w:pPr>
    </w:p>
    <w:p w14:paraId="2A799D96">
      <w:pPr>
        <w:pStyle w:val="2"/>
        <w:spacing w:before="120" w:after="120"/>
        <w:rPr>
          <w:lang w:eastAsia="zh-CN"/>
        </w:rPr>
      </w:pPr>
      <w:bookmarkStart w:id="4" w:name="bookmark1"/>
      <w:bookmarkEnd w:id="4"/>
      <w:bookmarkStart w:id="5" w:name="bookmark4"/>
      <w:bookmarkEnd w:id="5"/>
      <w:bookmarkStart w:id="6" w:name="bookmark2"/>
      <w:bookmarkEnd w:id="6"/>
      <w:bookmarkStart w:id="7" w:name="_Toc4338"/>
      <w:r>
        <w:rPr>
          <w:lang w:eastAsia="zh-CN"/>
        </w:rPr>
        <w:t>第一章</w:t>
      </w:r>
      <w:r>
        <w:rPr>
          <w:rFonts w:hint="eastAsia"/>
          <w:lang w:eastAsia="zh-CN"/>
        </w:rPr>
        <w:t xml:space="preserve"> </w:t>
      </w:r>
      <w:r>
        <w:rPr>
          <w:lang w:eastAsia="zh-CN"/>
        </w:rPr>
        <w:t>基本概况</w:t>
      </w:r>
      <w:bookmarkEnd w:id="7"/>
    </w:p>
    <w:p w14:paraId="169F5132">
      <w:pPr>
        <w:pStyle w:val="3"/>
        <w:rPr>
          <w:lang w:eastAsia="zh-CN"/>
        </w:rPr>
      </w:pPr>
      <w:bookmarkStart w:id="8" w:name="_Toc15900"/>
      <w:r>
        <w:rPr>
          <w:lang w:eastAsia="zh-CN"/>
        </w:rPr>
        <w:t>1.1自然概况</w:t>
      </w:r>
      <w:bookmarkEnd w:id="8"/>
    </w:p>
    <w:p w14:paraId="78FAAC80">
      <w:pPr>
        <w:pStyle w:val="4"/>
      </w:pPr>
      <w:r>
        <w:t>1.1.1地理位置</w:t>
      </w:r>
    </w:p>
    <w:p w14:paraId="43B89353">
      <w:pPr>
        <w:ind w:firstLine="480"/>
        <w:rPr>
          <w:lang w:eastAsia="zh-CN"/>
        </w:rPr>
      </w:pPr>
      <w:r>
        <w:rPr>
          <w:lang w:eastAsia="zh-CN"/>
        </w:rPr>
        <w:t>阳明山国有林场位于湖南省双牌县东北部45km，地处南岭支脉群山区，境内最低海拔为610m，最高海拔1624.6m，地理坐标为东经111°51′34″—111°58′47″，北纬26°01′06″—26°09′31″，北界永州市零陵区和金洞国有林场，西和西南与双牌县茶林镇、麻江镇交界，东和东南与宁远县接壤。林场南北长15.5km</w:t>
      </w:r>
      <w:r>
        <w:rPr>
          <w:szCs w:val="24"/>
          <w:lang w:eastAsia="zh-CN"/>
        </w:rPr>
        <w:t>，东西宽</w:t>
      </w:r>
      <w:r>
        <w:rPr>
          <w:lang w:eastAsia="zh-CN"/>
        </w:rPr>
        <w:t>11.5km，总面积11458.53</w:t>
      </w:r>
      <w:r>
        <w:rPr>
          <w:rFonts w:hint="eastAsia" w:cs="Times New Roman"/>
          <w:szCs w:val="24"/>
          <w:lang w:val="zh-CN" w:eastAsia="zh-CN"/>
        </w:rPr>
        <w:t>hm</w:t>
      </w:r>
      <w:r>
        <w:rPr>
          <w:rFonts w:hint="eastAsia" w:cs="Times New Roman"/>
          <w:szCs w:val="24"/>
          <w:vertAlign w:val="superscript"/>
          <w:lang w:val="zh-CN" w:eastAsia="zh-CN"/>
        </w:rPr>
        <w:t>2</w:t>
      </w:r>
      <w:r>
        <w:rPr>
          <w:lang w:eastAsia="zh-CN"/>
        </w:rPr>
        <w:t>。</w:t>
      </w:r>
    </w:p>
    <w:p w14:paraId="1AF8B57D">
      <w:pPr>
        <w:pStyle w:val="4"/>
      </w:pPr>
      <w:r>
        <w:t>1.1.2地形地貌</w:t>
      </w:r>
    </w:p>
    <w:p w14:paraId="52574A2F">
      <w:pPr>
        <w:spacing w:before="51"/>
        <w:ind w:firstLine="480"/>
        <w:rPr>
          <w:rFonts w:cs="Times New Roman"/>
          <w:szCs w:val="24"/>
          <w:lang w:eastAsia="zh-CN"/>
        </w:rPr>
      </w:pPr>
      <w:r>
        <w:rPr>
          <w:rFonts w:cs="Times New Roman"/>
          <w:szCs w:val="24"/>
          <w:lang w:eastAsia="zh-CN"/>
        </w:rPr>
        <w:t>阳明山国有林场古为海域，沉积着巨重的浅海相碎屑岩。距今4.4亿年前海水退出，地壳上升为陆地，志留系地层缺失，4亿年前发生加里东运动，地层强烈挤压、褶皱，阳明山隆起为陆地。阳明山，主山脉由东向西转成南北向，构造行迹相当明显。阳明山属于双牌县的茶林——麻江北东向断裂带，此带形成了封闭式的茶林、麻江山间走廊。在褶皱构造上以潇水为中心，东西向为两翼的复式向斜构造，从中部向东西两边由砂页岩到变质岩，复现砂页岩、深度砂页岩、花岗岩，呈雁翅形扩展分布。</w:t>
      </w:r>
    </w:p>
    <w:p w14:paraId="79C5DBBD">
      <w:pPr>
        <w:pStyle w:val="4"/>
      </w:pPr>
      <w:r>
        <w:t>1.1.3气候</w:t>
      </w:r>
    </w:p>
    <w:p w14:paraId="368BECBA">
      <w:pPr>
        <w:ind w:firstLine="480"/>
        <w:rPr>
          <w:lang w:eastAsia="zh-CN"/>
        </w:rPr>
      </w:pPr>
      <w:r>
        <w:rPr>
          <w:lang w:eastAsia="zh-CN"/>
        </w:rPr>
        <w:t>阳明山国有林场属中亚热带季风湿润气候区，气候总特征是：日照少、气温低，湿度大，云雾降水多，瞬时风速大，垂直变化大，冬冷夏凉，气温年差小；地形地势为东高西低，对冷空气的侵入有屏障作用，升温快、积温多。年平均气温14.2℃，平均最高气温19.0℃，平均最低气温10.3℃；1月最冷平均气温为3.9℃，7、8月最热，月平均气温约为23.6℃，气温年较差约为19.7℃。</w:t>
      </w:r>
    </w:p>
    <w:p w14:paraId="31057A35">
      <w:pPr>
        <w:ind w:firstLine="480"/>
        <w:rPr>
          <w:lang w:eastAsia="zh-CN"/>
        </w:rPr>
      </w:pPr>
      <w:r>
        <w:rPr>
          <w:lang w:eastAsia="zh-CN"/>
        </w:rPr>
        <w:t>阳明山多年平均降水量1607.5mm，全年各月均有降水，根据十年统计资料平均：其中，四月降雨日14天</w:t>
      </w:r>
      <w:r>
        <w:rPr>
          <w:rFonts w:hint="eastAsia"/>
          <w:lang w:eastAsia="zh-CN"/>
        </w:rPr>
        <w:t>(</w:t>
      </w:r>
      <w:r>
        <w:rPr>
          <w:lang w:eastAsia="zh-CN"/>
        </w:rPr>
        <w:t>最多的年份为20天</w:t>
      </w:r>
      <w:r>
        <w:rPr>
          <w:rFonts w:hint="eastAsia"/>
          <w:lang w:eastAsia="zh-CN"/>
        </w:rPr>
        <w:t>)</w:t>
      </w:r>
      <w:r>
        <w:rPr>
          <w:lang w:eastAsia="zh-CN"/>
        </w:rPr>
        <w:t>，降雨量200mm；五月降雨日20天，降雨量260mm</w:t>
      </w:r>
      <w:r>
        <w:rPr>
          <w:rFonts w:hint="eastAsia"/>
          <w:lang w:eastAsia="zh-CN"/>
        </w:rPr>
        <w:t>(</w:t>
      </w:r>
      <w:r>
        <w:rPr>
          <w:lang w:eastAsia="zh-CN"/>
        </w:rPr>
        <w:t>为全年最多</w:t>
      </w:r>
      <w:r>
        <w:rPr>
          <w:rFonts w:hint="eastAsia"/>
          <w:lang w:eastAsia="zh-CN"/>
        </w:rPr>
        <w:t>)</w:t>
      </w:r>
      <w:r>
        <w:rPr>
          <w:lang w:eastAsia="zh-CN"/>
        </w:rPr>
        <w:t>；九月降雨日11.5天</w:t>
      </w:r>
      <w:r>
        <w:rPr>
          <w:rFonts w:hint="eastAsia"/>
          <w:lang w:eastAsia="zh-CN"/>
        </w:rPr>
        <w:t>(</w:t>
      </w:r>
      <w:r>
        <w:rPr>
          <w:lang w:eastAsia="zh-CN"/>
        </w:rPr>
        <w:t>最少的年份为9天</w:t>
      </w:r>
      <w:r>
        <w:rPr>
          <w:rFonts w:hint="eastAsia"/>
          <w:lang w:eastAsia="zh-CN"/>
        </w:rPr>
        <w:t>)</w:t>
      </w:r>
      <w:r>
        <w:rPr>
          <w:lang w:eastAsia="zh-CN"/>
        </w:rPr>
        <w:t>，降雨量75mm；十二月降雨日10.5天，降雨量50mm</w:t>
      </w:r>
      <w:r>
        <w:rPr>
          <w:rFonts w:hint="eastAsia"/>
          <w:lang w:eastAsia="zh-CN"/>
        </w:rPr>
        <w:t>(</w:t>
      </w:r>
      <w:r>
        <w:rPr>
          <w:lang w:eastAsia="zh-CN"/>
        </w:rPr>
        <w:t>全年最少</w:t>
      </w:r>
      <w:r>
        <w:rPr>
          <w:rFonts w:hint="eastAsia"/>
          <w:lang w:eastAsia="zh-CN"/>
        </w:rPr>
        <w:t>)</w:t>
      </w:r>
      <w:r>
        <w:rPr>
          <w:lang w:eastAsia="zh-CN"/>
        </w:rPr>
        <w:t>；年降水天数为159天。阳明山秋、冬、春三季降水虽少，但降水日数较多，4月份的降水日数居全年之冠，多达20天，一次连续降水可达8天。夏季降水量多，降水强度约为196.3</w:t>
      </w:r>
      <w:r>
        <w:rPr>
          <w:rFonts w:hint="eastAsia"/>
          <w:lang w:eastAsia="zh-CN"/>
        </w:rPr>
        <w:t>mm</w:t>
      </w:r>
      <w:r>
        <w:rPr>
          <w:lang w:eastAsia="zh-CN"/>
        </w:rPr>
        <w:t>/天。按照统计季节分配，夏季降水量占全年的38％，降水日数却只占25％。</w:t>
      </w:r>
    </w:p>
    <w:p w14:paraId="3A2E068A">
      <w:pPr>
        <w:pStyle w:val="4"/>
      </w:pPr>
      <w:r>
        <w:t>1.1.4水文</w:t>
      </w:r>
    </w:p>
    <w:p w14:paraId="12BDBA52">
      <w:pPr>
        <w:ind w:firstLine="480"/>
        <w:rPr>
          <w:lang w:eastAsia="zh-CN"/>
        </w:rPr>
      </w:pPr>
      <w:r>
        <w:rPr>
          <w:lang w:eastAsia="zh-CN"/>
        </w:rPr>
        <w:t>阳明山国有林场境内，山高林密，泉水叮咚，瀑布飞泻，水库点缀其中，水资源十分丰富，溪流百余，汇入黑冲河及黄江源两大水系。林场内共有溪河39条，溪河总长度161km，溪河密度1.4km/km</w:t>
      </w:r>
      <w:r>
        <w:rPr>
          <w:rFonts w:hint="eastAsia"/>
          <w:vertAlign w:val="superscript"/>
          <w:lang w:eastAsia="zh-CN"/>
        </w:rPr>
        <w:t>2</w:t>
      </w:r>
      <w:r>
        <w:rPr>
          <w:lang w:eastAsia="zh-CN"/>
        </w:rPr>
        <w:t>。浮江河境内流程15km，流域面积91km</w:t>
      </w:r>
      <w:r>
        <w:rPr>
          <w:rFonts w:hint="eastAsia"/>
          <w:vertAlign w:val="superscript"/>
          <w:lang w:eastAsia="zh-CN"/>
        </w:rPr>
        <w:t>2</w:t>
      </w:r>
      <w:r>
        <w:rPr>
          <w:lang w:eastAsia="zh-CN"/>
        </w:rPr>
        <w:t>；黄江源河境内流10km，流域面积</w:t>
      </w:r>
      <w:r>
        <w:rPr>
          <w:rFonts w:hint="eastAsia"/>
          <w:lang w:eastAsia="zh-CN"/>
        </w:rPr>
        <w:t>21</w:t>
      </w:r>
      <w:r>
        <w:rPr>
          <w:lang w:eastAsia="zh-CN"/>
        </w:rPr>
        <w:t>km</w:t>
      </w:r>
      <w:r>
        <w:rPr>
          <w:rFonts w:hint="eastAsia"/>
          <w:vertAlign w:val="superscript"/>
          <w:lang w:eastAsia="zh-CN"/>
        </w:rPr>
        <w:t>2</w:t>
      </w:r>
      <w:r>
        <w:rPr>
          <w:lang w:eastAsia="zh-CN"/>
        </w:rPr>
        <w:t>。境内年均产水1.75亿</w:t>
      </w:r>
      <w:r>
        <w:rPr>
          <w:rFonts w:hint="eastAsia"/>
          <w:lang w:eastAsia="zh-CN"/>
        </w:rPr>
        <w:t>m</w:t>
      </w:r>
      <w:r>
        <w:rPr>
          <w:rFonts w:hint="eastAsia"/>
          <w:vertAlign w:val="superscript"/>
          <w:lang w:eastAsia="zh-CN"/>
        </w:rPr>
        <w:t>3</w:t>
      </w:r>
      <w:r>
        <w:rPr>
          <w:lang w:eastAsia="zh-CN"/>
        </w:rPr>
        <w:t>，地表径流量0.91亿</w:t>
      </w:r>
      <w:r>
        <w:rPr>
          <w:rFonts w:hint="eastAsia"/>
          <w:lang w:eastAsia="zh-CN"/>
        </w:rPr>
        <w:t>m</w:t>
      </w:r>
      <w:r>
        <w:rPr>
          <w:rFonts w:hint="eastAsia"/>
          <w:vertAlign w:val="superscript"/>
          <w:lang w:eastAsia="zh-CN"/>
        </w:rPr>
        <w:t>3</w:t>
      </w:r>
      <w:r>
        <w:rPr>
          <w:lang w:eastAsia="zh-CN"/>
        </w:rPr>
        <w:t>，有水库3座，电站3座。</w:t>
      </w:r>
    </w:p>
    <w:p w14:paraId="13A19BA2">
      <w:pPr>
        <w:pStyle w:val="4"/>
      </w:pPr>
      <w:r>
        <w:t>1.1.5母岩、土壤</w:t>
      </w:r>
    </w:p>
    <w:p w14:paraId="39DC4009">
      <w:pPr>
        <w:ind w:firstLine="480"/>
        <w:rPr>
          <w:lang w:eastAsia="zh-CN"/>
        </w:rPr>
      </w:pPr>
      <w:r>
        <w:rPr>
          <w:lang w:val="zh-CN" w:eastAsia="zh-CN"/>
        </w:rPr>
        <w:t>阳明山</w:t>
      </w:r>
      <w:r>
        <w:rPr>
          <w:lang w:eastAsia="zh-CN"/>
        </w:rPr>
        <w:t>国有林场</w:t>
      </w:r>
      <w:r>
        <w:rPr>
          <w:lang w:val="zh-CN" w:eastAsia="zh-CN"/>
        </w:rPr>
        <w:t>内的土壤可划分为草甸土、草甸黄棕壤、黄棕壤及黄壤。草甸土主要分布在山顶望佛台一带，海拔1500m以上和北坡1300m左右的山坳背阴处，发育在花岗岩风化物母质上，土层薄，溶积层发育不明显，土壤呈酸性。草甸黄棕壤零星分布在海拔1200～1500m地带，母岩以花岗岩为主，伴有少量砂岩，它是黄棕壤向草甸土的过渡类型，成土特点介于黄棕壤与草甸土之间。黄棕壤主要分布在海拔1050～1500m地带，母质多变质砂岩，在湿凉的生物气候条件下成土，发生层次明显，质地适中，适于林木生长。黄壤分布于海拔800～1050m处，母岩以板页岩为主，在温湿的亚热带生物气候条件下发育的土壤，心土层呈黄色或灰色，土层比较深厚。土层厚度一般60～120cm，除山顶脊部外，土壤较肥沃，适宜林木生长。</w:t>
      </w:r>
    </w:p>
    <w:p w14:paraId="51917D39">
      <w:pPr>
        <w:pStyle w:val="4"/>
      </w:pPr>
      <w:r>
        <w:t>1.1.6自然资源</w:t>
      </w:r>
    </w:p>
    <w:p w14:paraId="557DD962">
      <w:pPr>
        <w:ind w:firstLine="480"/>
        <w:rPr>
          <w:lang w:val="zh-CN" w:eastAsia="zh-CN"/>
        </w:rPr>
      </w:pPr>
      <w:r>
        <w:rPr>
          <w:lang w:val="zh-CN" w:eastAsia="zh-CN"/>
        </w:rPr>
        <w:t>阳明山国有林场按吴征镒的中国种子植物分区方案，本区属于华中、华东、华南三大植物区系交汇的倒</w:t>
      </w:r>
      <w:r>
        <w:rPr>
          <w:rFonts w:hint="eastAsia"/>
          <w:lang w:val="zh-CN" w:eastAsia="zh-CN"/>
        </w:rPr>
        <w:t>“</w:t>
      </w:r>
      <w:r>
        <w:rPr>
          <w:lang w:val="zh-CN" w:eastAsia="zh-CN"/>
        </w:rPr>
        <w:t>T</w:t>
      </w:r>
      <w:r>
        <w:rPr>
          <w:rFonts w:hint="eastAsia"/>
          <w:lang w:eastAsia="zh-CN"/>
        </w:rPr>
        <w:t>”</w:t>
      </w:r>
      <w:r>
        <w:rPr>
          <w:lang w:val="zh-CN" w:eastAsia="zh-CN"/>
        </w:rPr>
        <w:t>字型区域的下方，属华南植物区系的北缘。据调查，阳明山国有林场共有维管植物219科、849属、1917种。其中蕨类植物44科，104属，361种，11变种，2变型，有43个湖南新记录种；种子植物共175科、745属、1543种</w:t>
      </w:r>
      <w:r>
        <w:rPr>
          <w:rFonts w:hint="eastAsia"/>
          <w:lang w:val="zh-CN" w:eastAsia="zh-CN"/>
        </w:rPr>
        <w:t>(</w:t>
      </w:r>
      <w:r>
        <w:rPr>
          <w:lang w:val="zh-CN" w:eastAsia="zh-CN"/>
        </w:rPr>
        <w:t>含种下等级</w:t>
      </w:r>
      <w:r>
        <w:rPr>
          <w:rFonts w:hint="eastAsia"/>
          <w:lang w:val="zh-CN" w:eastAsia="zh-CN"/>
        </w:rPr>
        <w:t>)</w:t>
      </w:r>
      <w:r>
        <w:rPr>
          <w:lang w:val="zh-CN" w:eastAsia="zh-CN"/>
        </w:rPr>
        <w:t>，其中土著植物166科、668属、1397种，裸子植物6科、16属、24种，被子植物169科、729属、1519种，再加上苔藓植物，则阳明山的高等植物在2100种以上。</w:t>
      </w:r>
    </w:p>
    <w:p w14:paraId="58097119">
      <w:pPr>
        <w:ind w:firstLine="480"/>
        <w:rPr>
          <w:lang w:eastAsia="zh-CN"/>
        </w:rPr>
      </w:pPr>
      <w:r>
        <w:rPr>
          <w:lang w:val="zh-CN" w:eastAsia="zh-CN"/>
        </w:rPr>
        <w:t>阳明山国有林场有国家重点保护野生植物60种，其中Ⅰ级保护植物3种：南方红豆杉、伯乐树、银杏；Ⅱ级保护植物57种，金钱松、黄杉、杜仲、樟树、闽楠、花榈木、任木</w:t>
      </w:r>
      <w:r>
        <w:rPr>
          <w:rFonts w:hint="eastAsia"/>
          <w:lang w:val="zh-CN" w:eastAsia="zh-CN"/>
        </w:rPr>
        <w:t>(</w:t>
      </w:r>
      <w:r>
        <w:rPr>
          <w:lang w:val="zh-CN" w:eastAsia="zh-CN"/>
        </w:rPr>
        <w:t>翅荚木</w:t>
      </w:r>
      <w:r>
        <w:rPr>
          <w:rFonts w:hint="eastAsia"/>
          <w:lang w:val="zh-CN" w:eastAsia="zh-CN"/>
        </w:rPr>
        <w:t>)</w:t>
      </w:r>
      <w:r>
        <w:rPr>
          <w:lang w:val="zh-CN" w:eastAsia="zh-CN"/>
        </w:rPr>
        <w:t>、鹅掌楸、厚朴、凹叶厚朴、红椿、喜树、金荞麦、黄连、香果树、黄檗</w:t>
      </w:r>
      <w:r>
        <w:rPr>
          <w:rFonts w:hint="eastAsia"/>
          <w:lang w:val="zh-CN" w:eastAsia="zh-CN"/>
        </w:rPr>
        <w:t>(</w:t>
      </w:r>
      <w:r>
        <w:rPr>
          <w:lang w:val="zh-CN" w:eastAsia="zh-CN"/>
        </w:rPr>
        <w:t>川黄檗</w:t>
      </w:r>
      <w:r>
        <w:rPr>
          <w:rFonts w:hint="eastAsia"/>
          <w:lang w:val="zh-CN" w:eastAsia="zh-CN"/>
        </w:rPr>
        <w:t>)</w:t>
      </w:r>
      <w:r>
        <w:rPr>
          <w:lang w:val="zh-CN" w:eastAsia="zh-CN"/>
        </w:rPr>
        <w:t>、伞花木、榉树及兰科植物</w:t>
      </w:r>
      <w:r>
        <w:rPr>
          <w:rFonts w:hint="eastAsia"/>
          <w:lang w:val="zh-CN" w:eastAsia="zh-CN"/>
        </w:rPr>
        <w:t>(</w:t>
      </w:r>
      <w:r>
        <w:rPr>
          <w:lang w:val="zh-CN" w:eastAsia="zh-CN"/>
        </w:rPr>
        <w:t>39种</w:t>
      </w:r>
      <w:r>
        <w:rPr>
          <w:rFonts w:hint="eastAsia"/>
          <w:lang w:val="zh-CN" w:eastAsia="zh-CN"/>
        </w:rPr>
        <w:t>)</w:t>
      </w:r>
      <w:r>
        <w:rPr>
          <w:lang w:val="zh-CN" w:eastAsia="zh-CN"/>
        </w:rPr>
        <w:t>；另外有穗花杉、青檀、白辛树、银鹊树等4种列入了中国植物红皮书。其中，黄杉是</w:t>
      </w:r>
      <w:r>
        <w:rPr>
          <w:lang w:eastAsia="zh-CN"/>
        </w:rPr>
        <w:t>林场</w:t>
      </w:r>
      <w:r>
        <w:rPr>
          <w:lang w:val="zh-CN" w:eastAsia="zh-CN"/>
        </w:rPr>
        <w:t>的特色之一，呈群落分布的面积达590</w:t>
      </w:r>
      <w:r>
        <w:rPr>
          <w:rFonts w:hint="eastAsia"/>
          <w:lang w:val="zh-CN" w:eastAsia="zh-CN"/>
        </w:rPr>
        <w:t>hm</w:t>
      </w:r>
      <w:r>
        <w:rPr>
          <w:rFonts w:hint="eastAsia"/>
          <w:vertAlign w:val="superscript"/>
          <w:lang w:val="zh-CN" w:eastAsia="zh-CN"/>
        </w:rPr>
        <w:t>2</w:t>
      </w:r>
      <w:r>
        <w:rPr>
          <w:lang w:val="zh-CN" w:eastAsia="zh-CN"/>
        </w:rPr>
        <w:t>，另有黄杉零星分布的面积1100</w:t>
      </w:r>
      <w:r>
        <w:rPr>
          <w:rFonts w:hint="eastAsia"/>
          <w:lang w:val="zh-CN" w:eastAsia="zh-CN"/>
        </w:rPr>
        <w:t>hm</w:t>
      </w:r>
      <w:r>
        <w:rPr>
          <w:rFonts w:hint="eastAsia"/>
          <w:vertAlign w:val="superscript"/>
          <w:lang w:val="zh-CN" w:eastAsia="zh-CN"/>
        </w:rPr>
        <w:t>2</w:t>
      </w:r>
      <w:r>
        <w:rPr>
          <w:lang w:val="zh-CN" w:eastAsia="zh-CN"/>
        </w:rPr>
        <w:t>。公园内的黄杉与天然阔叶林混生，群落保存完好，是湖南省黄杉天然林保存面积最大的地点，在全国范围内也是不多见的</w:t>
      </w:r>
      <w:r>
        <w:rPr>
          <w:lang w:eastAsia="zh-CN"/>
        </w:rPr>
        <w:t>。</w:t>
      </w:r>
    </w:p>
    <w:p w14:paraId="7D44A684">
      <w:pPr>
        <w:ind w:firstLine="480"/>
        <w:rPr>
          <w:lang w:eastAsia="zh-CN"/>
        </w:rPr>
      </w:pPr>
      <w:r>
        <w:rPr>
          <w:lang w:val="zh-CN" w:eastAsia="zh-CN"/>
        </w:rPr>
        <w:t>阳明山</w:t>
      </w:r>
      <w:r>
        <w:rPr>
          <w:lang w:eastAsia="zh-CN"/>
        </w:rPr>
        <w:t>国有林场</w:t>
      </w:r>
      <w:r>
        <w:rPr>
          <w:lang w:val="zh-CN" w:eastAsia="zh-CN"/>
        </w:rPr>
        <w:t>属南岭山脉支脉，在动物地理区划上属东洋界华中区东部丘陵平原亚区，整个动物区系组成表现出以东洋界种类，特别是以华中区种类及华中区与华南区共有种类为主、南北混杂、西南渗入的特点。阳明山</w:t>
      </w:r>
      <w:r>
        <w:rPr>
          <w:lang w:eastAsia="zh-CN"/>
        </w:rPr>
        <w:t>国有林场</w:t>
      </w:r>
      <w:r>
        <w:rPr>
          <w:lang w:val="zh-CN" w:eastAsia="zh-CN"/>
        </w:rPr>
        <w:t>有较为丰富的动物资源，已查明记录野生陆生脊椎动物220种，隶属4纲24目67科。其中两栖纲1目6科23种，爬行纲2目9科39种，鸟纲14目36科122种，哺乳纲7目16科36种。在220种野生动物中，东洋界种类135种，古北界种类16种，东洋界与古北界广布种69种，明显地以东洋界种类占优势。</w:t>
      </w:r>
      <w:r>
        <w:rPr>
          <w:lang w:eastAsia="zh-CN"/>
        </w:rPr>
        <w:t>林场</w:t>
      </w:r>
      <w:r>
        <w:rPr>
          <w:lang w:val="zh-CN" w:eastAsia="zh-CN"/>
        </w:rPr>
        <w:t>中国家重点保护动物28种，其中国家Ⅰ级保护动物3种，分别为白颈长尾雉、林麝和云豹；国家Ⅱ级保护动物25种，分别为虎纹蛙、鸢、赤腹鹰、松雀鹰、苍鹰、红隼、红腹锦鸡、勺鸡、草鸮、短耳鸮、穿山甲、水獭、大灵猫、小灵猫、水鹿和苏门羚等。可见当地野生珍稀濒危动物较多，具有较高的保护价值。</w:t>
      </w:r>
    </w:p>
    <w:p w14:paraId="4DB51F5F">
      <w:pPr>
        <w:pStyle w:val="3"/>
        <w:rPr>
          <w:lang w:eastAsia="zh-CN"/>
        </w:rPr>
      </w:pPr>
      <w:bookmarkStart w:id="9" w:name="bookmark6"/>
      <w:bookmarkEnd w:id="9"/>
      <w:bookmarkStart w:id="10" w:name="_Toc7546"/>
      <w:r>
        <w:rPr>
          <w:lang w:eastAsia="zh-CN"/>
        </w:rPr>
        <w:t>1.2社会经济概况</w:t>
      </w:r>
      <w:bookmarkEnd w:id="10"/>
    </w:p>
    <w:p w14:paraId="38815E72">
      <w:pPr>
        <w:pStyle w:val="4"/>
      </w:pPr>
      <w:r>
        <w:t>1.2.1交通</w:t>
      </w:r>
    </w:p>
    <w:p w14:paraId="56111A92">
      <w:pPr>
        <w:ind w:firstLine="480"/>
        <w:rPr>
          <w:lang w:eastAsia="zh-CN"/>
        </w:rPr>
      </w:pPr>
      <w:r>
        <w:rPr>
          <w:rFonts w:hint="eastAsia"/>
          <w:lang w:eastAsia="zh-CN"/>
        </w:rPr>
        <w:t>(</w:t>
      </w:r>
      <w:r>
        <w:rPr>
          <w:lang w:eastAsia="zh-CN"/>
        </w:rPr>
        <w:t>1</w:t>
      </w:r>
      <w:r>
        <w:rPr>
          <w:rFonts w:hint="eastAsia"/>
          <w:lang w:eastAsia="zh-CN"/>
        </w:rPr>
        <w:t>)</w:t>
      </w:r>
      <w:r>
        <w:rPr>
          <w:lang w:eastAsia="zh-CN"/>
        </w:rPr>
        <w:t>外部交通</w:t>
      </w:r>
    </w:p>
    <w:p w14:paraId="6935471A">
      <w:pPr>
        <w:ind w:firstLine="480"/>
        <w:rPr>
          <w:lang w:eastAsia="zh-CN"/>
        </w:rPr>
      </w:pPr>
      <w:r>
        <w:rPr>
          <w:lang w:eastAsia="zh-CN"/>
        </w:rPr>
        <w:t>目前进入阳明山的公路主要是红阳公路和茶阳公路。红阳公路</w:t>
      </w:r>
      <w:r>
        <w:rPr>
          <w:rFonts w:hint="eastAsia"/>
          <w:lang w:eastAsia="zh-CN"/>
        </w:rPr>
        <w:t>(</w:t>
      </w:r>
      <w:r>
        <w:rPr>
          <w:lang w:eastAsia="zh-CN"/>
        </w:rPr>
        <w:t>红水岭—阳明山</w:t>
      </w:r>
      <w:r>
        <w:rPr>
          <w:rFonts w:hint="eastAsia"/>
          <w:lang w:eastAsia="zh-CN"/>
        </w:rPr>
        <w:t>)</w:t>
      </w:r>
      <w:r>
        <w:rPr>
          <w:lang w:eastAsia="zh-CN"/>
        </w:rPr>
        <w:t>外接永连公路，是进出公园的主要通道，红水岭</w:t>
      </w:r>
      <w:r>
        <w:rPr>
          <w:rFonts w:hint="eastAsia"/>
          <w:lang w:eastAsia="zh-CN"/>
        </w:rPr>
        <w:t>(</w:t>
      </w:r>
      <w:r>
        <w:rPr>
          <w:lang w:eastAsia="zh-CN"/>
        </w:rPr>
        <w:t>公园南大门牌楼</w:t>
      </w:r>
      <w:r>
        <w:rPr>
          <w:rFonts w:hint="eastAsia"/>
          <w:lang w:eastAsia="zh-CN"/>
        </w:rPr>
        <w:t>)</w:t>
      </w:r>
      <w:r>
        <w:rPr>
          <w:lang w:eastAsia="zh-CN"/>
        </w:rPr>
        <w:t>至公园管理局全程18.0km，路宽5.0m，水泥路面。茶阳公路</w:t>
      </w:r>
      <w:r>
        <w:rPr>
          <w:rFonts w:hint="eastAsia"/>
          <w:lang w:eastAsia="zh-CN"/>
        </w:rPr>
        <w:t>(</w:t>
      </w:r>
      <w:r>
        <w:rPr>
          <w:lang w:eastAsia="zh-CN"/>
        </w:rPr>
        <w:t>茶林镇—阳明山</w:t>
      </w:r>
      <w:r>
        <w:rPr>
          <w:rFonts w:hint="eastAsia"/>
          <w:lang w:eastAsia="zh-CN"/>
        </w:rPr>
        <w:t>)</w:t>
      </w:r>
      <w:r>
        <w:rPr>
          <w:lang w:eastAsia="zh-CN"/>
        </w:rPr>
        <w:t>外连永连公路，茶林</w:t>
      </w:r>
      <w:r>
        <w:rPr>
          <w:rFonts w:hint="eastAsia"/>
          <w:lang w:eastAsia="zh-CN"/>
        </w:rPr>
        <w:t>(</w:t>
      </w:r>
      <w:r>
        <w:rPr>
          <w:lang w:eastAsia="zh-CN"/>
        </w:rPr>
        <w:t>公园西大门牌楼</w:t>
      </w:r>
      <w:r>
        <w:rPr>
          <w:rFonts w:hint="eastAsia"/>
          <w:lang w:eastAsia="zh-CN"/>
        </w:rPr>
        <w:t>)</w:t>
      </w:r>
      <w:r>
        <w:rPr>
          <w:lang w:eastAsia="zh-CN"/>
        </w:rPr>
        <w:t>至公园管理局全长29km，茶阳公路为盘山公路，崎岖难行，砂石路面，路面宽4.0m，为改善外围交通状况，双牌县交通局目前正在改扩建茶阳公路，使之成为进出林场的又一通道。</w:t>
      </w:r>
    </w:p>
    <w:p w14:paraId="3BF59826">
      <w:pPr>
        <w:ind w:firstLine="480"/>
        <w:rPr>
          <w:lang w:eastAsia="zh-CN"/>
        </w:rPr>
      </w:pPr>
      <w:r>
        <w:rPr>
          <w:rFonts w:hint="eastAsia"/>
          <w:lang w:eastAsia="zh-CN"/>
        </w:rPr>
        <w:t>(</w:t>
      </w:r>
      <w:r>
        <w:rPr>
          <w:lang w:eastAsia="zh-CN"/>
        </w:rPr>
        <w:t>2</w:t>
      </w:r>
      <w:r>
        <w:rPr>
          <w:rFonts w:hint="eastAsia"/>
          <w:lang w:eastAsia="zh-CN"/>
        </w:rPr>
        <w:t>)</w:t>
      </w:r>
      <w:r>
        <w:rPr>
          <w:lang w:eastAsia="zh-CN"/>
        </w:rPr>
        <w:t>内部交通</w:t>
      </w:r>
    </w:p>
    <w:p w14:paraId="57DAAC44">
      <w:pPr>
        <w:ind w:firstLine="480"/>
        <w:rPr>
          <w:lang w:eastAsia="zh-CN"/>
        </w:rPr>
      </w:pPr>
      <w:r>
        <w:rPr>
          <w:lang w:eastAsia="zh-CN"/>
        </w:rPr>
        <w:t>林场内部交通已形成以黄柏洞为交汇点的</w:t>
      </w:r>
      <w:r>
        <w:rPr>
          <w:rFonts w:hint="eastAsia"/>
          <w:lang w:eastAsia="zh-CN"/>
        </w:rPr>
        <w:t>“</w:t>
      </w:r>
      <w:r>
        <w:rPr>
          <w:lang w:eastAsia="zh-CN"/>
        </w:rPr>
        <w:t>Y</w:t>
      </w:r>
      <w:r>
        <w:rPr>
          <w:rFonts w:hint="eastAsia"/>
          <w:lang w:eastAsia="zh-CN"/>
        </w:rPr>
        <w:t>”</w:t>
      </w:r>
      <w:r>
        <w:rPr>
          <w:lang w:eastAsia="zh-CN"/>
        </w:rPr>
        <w:t>字形主干交通运输网络，公园内生产、生活和管理便利，有一般公路约50km，连通各个景区和村庄，建有停车场6处面积28000</w:t>
      </w:r>
      <w:r>
        <w:rPr>
          <w:rFonts w:hint="eastAsia"/>
          <w:lang w:eastAsia="zh-CN"/>
        </w:rPr>
        <w:t>m</w:t>
      </w:r>
      <w:r>
        <w:rPr>
          <w:rFonts w:hint="eastAsia"/>
          <w:vertAlign w:val="superscript"/>
          <w:lang w:eastAsia="zh-CN"/>
        </w:rPr>
        <w:t>2</w:t>
      </w:r>
      <w:r>
        <w:rPr>
          <w:lang w:eastAsia="zh-CN"/>
        </w:rPr>
        <w:t>。林场内主要公路和游道有：</w:t>
      </w:r>
    </w:p>
    <w:p w14:paraId="7B0F8AF6">
      <w:pPr>
        <w:ind w:firstLine="480"/>
        <w:rPr>
          <w:lang w:eastAsia="zh-CN"/>
        </w:rPr>
      </w:pPr>
      <w:r>
        <w:rPr>
          <w:rFonts w:hint="eastAsia" w:cs="宋体"/>
          <w:lang w:eastAsia="zh-CN"/>
        </w:rPr>
        <w:t>①</w:t>
      </w:r>
      <w:r>
        <w:rPr>
          <w:lang w:eastAsia="zh-CN"/>
        </w:rPr>
        <w:t>黄柏洞—万寿寺公路，长17.5km，宽</w:t>
      </w:r>
      <w:r>
        <w:rPr>
          <w:rFonts w:hint="eastAsia"/>
          <w:lang w:val="en-US" w:eastAsia="zh-CN"/>
        </w:rPr>
        <w:t>7</w:t>
      </w:r>
      <w:r>
        <w:rPr>
          <w:lang w:eastAsia="zh-CN"/>
        </w:rPr>
        <w:t>m，</w:t>
      </w:r>
      <w:r>
        <w:rPr>
          <w:rFonts w:hint="eastAsia"/>
          <w:lang w:val="en-US" w:eastAsia="zh-CN"/>
        </w:rPr>
        <w:t>沥青路面</w:t>
      </w:r>
      <w:r>
        <w:rPr>
          <w:lang w:eastAsia="zh-CN"/>
        </w:rPr>
        <w:t>路面；</w:t>
      </w:r>
    </w:p>
    <w:p w14:paraId="1E52EC8A">
      <w:pPr>
        <w:ind w:firstLine="480"/>
        <w:rPr>
          <w:lang w:eastAsia="zh-CN"/>
        </w:rPr>
      </w:pPr>
      <w:r>
        <w:rPr>
          <w:rFonts w:hint="eastAsia" w:cs="宋体"/>
          <w:lang w:eastAsia="zh-CN"/>
        </w:rPr>
        <w:t>②</w:t>
      </w:r>
      <w:r>
        <w:rPr>
          <w:lang w:eastAsia="zh-CN"/>
        </w:rPr>
        <w:t>歇马庵—杜鹃花海游步道，长3.0km，宽1.5m，石板路面；</w:t>
      </w:r>
    </w:p>
    <w:p w14:paraId="6E4936A2">
      <w:pPr>
        <w:ind w:firstLine="480"/>
        <w:rPr>
          <w:lang w:eastAsia="zh-CN"/>
        </w:rPr>
      </w:pPr>
      <w:r>
        <w:rPr>
          <w:rFonts w:hint="eastAsia" w:cs="宋体"/>
          <w:lang w:eastAsia="zh-CN"/>
        </w:rPr>
        <w:t>③</w:t>
      </w:r>
      <w:r>
        <w:rPr>
          <w:lang w:eastAsia="zh-CN"/>
        </w:rPr>
        <w:t>云天阁—壹天门游步道，长2.0km，宽1.5m，石板路面；</w:t>
      </w:r>
    </w:p>
    <w:p w14:paraId="09C1D027">
      <w:pPr>
        <w:ind w:firstLine="480"/>
        <w:rPr>
          <w:lang w:eastAsia="zh-CN"/>
        </w:rPr>
      </w:pPr>
      <w:r>
        <w:rPr>
          <w:rFonts w:hint="eastAsia" w:cs="宋体"/>
          <w:lang w:eastAsia="zh-CN"/>
        </w:rPr>
        <w:t>④</w:t>
      </w:r>
      <w:r>
        <w:rPr>
          <w:lang w:eastAsia="zh-CN"/>
        </w:rPr>
        <w:t>叶子漯广场—红军亭游步道，长4.5km，宽1.5m，石板路面；</w:t>
      </w:r>
    </w:p>
    <w:p w14:paraId="6B5B1FD6">
      <w:pPr>
        <w:ind w:firstLine="480"/>
        <w:rPr>
          <w:lang w:eastAsia="zh-CN"/>
        </w:rPr>
      </w:pPr>
      <w:r>
        <w:rPr>
          <w:rFonts w:hint="eastAsia" w:cs="宋体"/>
          <w:lang w:eastAsia="zh-CN"/>
        </w:rPr>
        <w:t>⑤</w:t>
      </w:r>
      <w:r>
        <w:rPr>
          <w:lang w:eastAsia="zh-CN"/>
        </w:rPr>
        <w:t>环万和湖游步道，长1.4km，宽1.5m，</w:t>
      </w:r>
      <w:r>
        <w:rPr>
          <w:rFonts w:hint="eastAsia"/>
          <w:lang w:val="en-US" w:eastAsia="zh-CN"/>
        </w:rPr>
        <w:t>水泥</w:t>
      </w:r>
      <w:r>
        <w:rPr>
          <w:lang w:eastAsia="zh-CN"/>
        </w:rPr>
        <w:t>路面。</w:t>
      </w:r>
    </w:p>
    <w:p w14:paraId="21E15360">
      <w:pPr>
        <w:pStyle w:val="4"/>
      </w:pPr>
      <w:r>
        <w:t>1.2.2供水供电</w:t>
      </w:r>
    </w:p>
    <w:p w14:paraId="5C483C73">
      <w:pPr>
        <w:ind w:firstLine="480"/>
        <w:rPr>
          <w:lang w:eastAsia="zh-CN"/>
        </w:rPr>
      </w:pPr>
      <w:r>
        <w:rPr>
          <w:lang w:eastAsia="zh-CN"/>
        </w:rPr>
        <w:t>阳明山国有林场内共有黑冲、双江口、老屋场3个电站，装机容量分别为300kw、l00kw、l5kw；输电线路9km，各电站均已并网，电源电压较为稳定，安装了100kv安箱式变压器20台，目前基本满足林场的用电需求。但由于使用时间已久，部分景区增加了基础设施，因此还需增加和维修变压器，以确保今后用电的需求。</w:t>
      </w:r>
    </w:p>
    <w:p w14:paraId="5A43F8EB">
      <w:pPr>
        <w:ind w:firstLine="480"/>
        <w:rPr>
          <w:lang w:eastAsia="zh-CN"/>
        </w:rPr>
      </w:pPr>
      <w:r>
        <w:rPr>
          <w:lang w:eastAsia="zh-CN"/>
        </w:rPr>
        <w:t>林场内水资源丰富，水质清纯可口，可作饮用水源。据环境监测部门对东江源河、万寿寺右侧溪水、双江口的地表水水质测定结果，各项指标均达到国家I级标准之内，最好的是东江源河的水质，现建有东江源水厂</w:t>
      </w:r>
      <w:r>
        <w:rPr>
          <w:rFonts w:hint="eastAsia"/>
          <w:lang w:eastAsia="zh-CN"/>
        </w:rPr>
        <w:t>1</w:t>
      </w:r>
      <w:r>
        <w:rPr>
          <w:lang w:eastAsia="zh-CN"/>
        </w:rPr>
        <w:t>座，能满足供水需求，</w:t>
      </w:r>
      <w:r>
        <w:rPr>
          <w:rFonts w:hint="eastAsia"/>
          <w:lang w:eastAsia="zh-CN"/>
        </w:rPr>
        <w:t>其他</w:t>
      </w:r>
      <w:r>
        <w:rPr>
          <w:lang w:eastAsia="zh-CN"/>
        </w:rPr>
        <w:t>分散供水点均有足够的高水位山溪水供应。黄柏洞管理服务区已有供水网络，并建有1个200</w:t>
      </w:r>
      <w:r>
        <w:rPr>
          <w:rFonts w:hint="eastAsia"/>
          <w:lang w:eastAsia="zh-CN"/>
        </w:rPr>
        <w:t>m</w:t>
      </w:r>
      <w:r>
        <w:rPr>
          <w:rFonts w:hint="eastAsia"/>
          <w:vertAlign w:val="superscript"/>
          <w:lang w:eastAsia="zh-CN"/>
        </w:rPr>
        <w:t>3</w:t>
      </w:r>
      <w:r>
        <w:rPr>
          <w:lang w:eastAsia="zh-CN"/>
        </w:rPr>
        <w:t>水塔。</w:t>
      </w:r>
    </w:p>
    <w:p w14:paraId="7CB133D9">
      <w:pPr>
        <w:pStyle w:val="4"/>
      </w:pPr>
      <w:r>
        <w:t>1.2.3通讯</w:t>
      </w:r>
    </w:p>
    <w:p w14:paraId="351EFBED">
      <w:pPr>
        <w:ind w:firstLine="480"/>
        <w:rPr>
          <w:lang w:eastAsia="zh-CN"/>
        </w:rPr>
      </w:pPr>
      <w:r>
        <w:rPr>
          <w:lang w:eastAsia="zh-CN"/>
        </w:rPr>
        <w:t>目前移动、电信通讯覆盖了整个林场，发射的信号能够服务于整个公园及附近乡镇，但公园内部分地段信号较弱。永州市广电局在公园境内海拔1530m处兴建了一座省内一流的广播、电视、传真和电话等多功能的微波站，极大地改善了公园境内通讯条件和质量；在开通程控电话后，中国移动和中国电信通讯公司在场内都建立了发射塔，使阳明山林场的通讯迈上了一个新台阶。</w:t>
      </w:r>
    </w:p>
    <w:p w14:paraId="00B382C0">
      <w:pPr>
        <w:pStyle w:val="4"/>
      </w:pPr>
      <w:r>
        <w:t>1.2.5防火</w:t>
      </w:r>
    </w:p>
    <w:p w14:paraId="01ABB674">
      <w:pPr>
        <w:ind w:firstLine="480"/>
        <w:rPr>
          <w:lang w:eastAsia="zh-CN"/>
        </w:rPr>
      </w:pPr>
      <w:bookmarkStart w:id="11" w:name="bookmark8"/>
      <w:bookmarkEnd w:id="11"/>
      <w:r>
        <w:rPr>
          <w:lang w:eastAsia="zh-CN"/>
        </w:rPr>
        <w:t>林场森林防火基础设施较为完善，购置了风力灭火机等专用扑火器材，森林防火</w:t>
      </w:r>
      <w:r>
        <w:rPr>
          <w:rFonts w:hint="eastAsia"/>
          <w:lang w:eastAsia="zh-CN"/>
        </w:rPr>
        <w:t>宣传车</w:t>
      </w:r>
      <w:r>
        <w:rPr>
          <w:lang w:eastAsia="zh-CN"/>
        </w:rPr>
        <w:t>1台，成立了半专业化森林消防队伍，近三年来，完成林道维护38</w:t>
      </w:r>
      <w:r>
        <w:rPr>
          <w:rFonts w:hint="eastAsia"/>
          <w:lang w:eastAsia="zh-CN"/>
        </w:rPr>
        <w:t>km</w:t>
      </w:r>
      <w:r>
        <w:rPr>
          <w:lang w:eastAsia="zh-CN"/>
        </w:rPr>
        <w:t>，新建生物防火林带22</w:t>
      </w:r>
      <w:r>
        <w:rPr>
          <w:rFonts w:hint="eastAsia"/>
          <w:lang w:eastAsia="zh-CN"/>
        </w:rPr>
        <w:t>km</w:t>
      </w:r>
      <w:r>
        <w:rPr>
          <w:lang w:eastAsia="zh-CN"/>
        </w:rPr>
        <w:t>，为森林防火工作稳步开展打下了良好基础。林场牢牢把握</w:t>
      </w:r>
      <w:r>
        <w:rPr>
          <w:rFonts w:hint="eastAsia"/>
          <w:lang w:eastAsia="zh-CN"/>
        </w:rPr>
        <w:t>“</w:t>
      </w:r>
      <w:r>
        <w:rPr>
          <w:lang w:eastAsia="zh-CN"/>
        </w:rPr>
        <w:t>预防为主、积极消灭</w:t>
      </w:r>
      <w:r>
        <w:rPr>
          <w:rFonts w:hint="eastAsia"/>
          <w:lang w:eastAsia="zh-CN"/>
        </w:rPr>
        <w:t>”</w:t>
      </w:r>
      <w:r>
        <w:rPr>
          <w:lang w:eastAsia="zh-CN"/>
        </w:rPr>
        <w:t>的森林防火工作方针，着力在责任制度落实、防火宣传教育、野外火源管控等方面下功夫，构筑起了严密的防控体系，实现了连续多年无山林火警火灾的好成绩。</w:t>
      </w:r>
    </w:p>
    <w:p w14:paraId="3383242F">
      <w:pPr>
        <w:pStyle w:val="3"/>
        <w:rPr>
          <w:lang w:eastAsia="zh-CN"/>
        </w:rPr>
      </w:pPr>
      <w:bookmarkStart w:id="12" w:name="_Toc1663"/>
      <w:r>
        <w:rPr>
          <w:lang w:eastAsia="zh-CN"/>
        </w:rPr>
        <w:t>1.3林场经营情况</w:t>
      </w:r>
      <w:bookmarkEnd w:id="12"/>
    </w:p>
    <w:p w14:paraId="490FEC36">
      <w:pPr>
        <w:pStyle w:val="4"/>
        <w:rPr>
          <w:rFonts w:hint="eastAsia" w:eastAsia="华文中宋"/>
          <w:lang w:eastAsia="zh-CN"/>
        </w:rPr>
      </w:pPr>
      <w:r>
        <w:t>1.3.1林场经营历史</w:t>
      </w:r>
      <w:r>
        <w:rPr>
          <w:rFonts w:hint="eastAsia"/>
          <w:lang w:eastAsia="zh-CN"/>
        </w:rPr>
        <w:t>(</w:t>
      </w:r>
      <w:r>
        <w:t>沿革</w:t>
      </w:r>
      <w:r>
        <w:rPr>
          <w:rFonts w:hint="eastAsia"/>
          <w:lang w:eastAsia="zh-CN"/>
        </w:rPr>
        <w:t>)</w:t>
      </w:r>
    </w:p>
    <w:p w14:paraId="02E5A99A">
      <w:pPr>
        <w:ind w:firstLine="480"/>
        <w:rPr>
          <w:lang w:eastAsia="zh-CN"/>
        </w:rPr>
      </w:pPr>
      <w:r>
        <w:rPr>
          <w:lang w:eastAsia="zh-CN"/>
        </w:rPr>
        <w:t>林场始建于1958年，始建址在宁远县上龙盘乡土谷坪村，当时属宁远县管辖。1959年场址由土谷坪迁往黄柏洞乡，称国营宁远阳明山林场，林场代管黄柏洞乡三个村。1965年林场划归潇水林区管理局，并接管零陵县茶林乡绞车庙村和国营五星岭林场的三岔水、阳明山、北江冲工区。1969年双牌建县后划归双牌县管辖。林场下设三岔水、北江冲、阳明山三个工区。同时代管4个行政村。土地总面积</w:t>
      </w:r>
      <w:r>
        <w:rPr>
          <w:rFonts w:hint="eastAsia"/>
          <w:lang w:eastAsia="zh-CN"/>
        </w:rPr>
        <w:t>11458.53</w:t>
      </w:r>
      <w:r>
        <w:rPr>
          <w:rFonts w:hint="eastAsia"/>
          <w:lang w:val="zh-CN" w:eastAsia="zh-CN"/>
        </w:rPr>
        <w:t>hm</w:t>
      </w:r>
      <w:r>
        <w:rPr>
          <w:rFonts w:hint="eastAsia"/>
          <w:vertAlign w:val="superscript"/>
          <w:lang w:val="zh-CN" w:eastAsia="zh-CN"/>
        </w:rPr>
        <w:t>2</w:t>
      </w:r>
      <w:r>
        <w:rPr>
          <w:lang w:eastAsia="zh-CN"/>
        </w:rPr>
        <w:t>。</w:t>
      </w:r>
    </w:p>
    <w:p w14:paraId="3FA829CD">
      <w:pPr>
        <w:ind w:firstLine="480"/>
        <w:rPr>
          <w:lang w:eastAsia="zh-CN"/>
        </w:rPr>
      </w:pPr>
      <w:r>
        <w:rPr>
          <w:lang w:eastAsia="zh-CN"/>
        </w:rPr>
        <w:t>1982年湖南省人民政府以湘政发</w:t>
      </w:r>
      <w:r>
        <w:rPr>
          <w:rFonts w:hint="eastAsia"/>
          <w:lang w:eastAsia="zh-CN"/>
        </w:rPr>
        <w:t>〔1982〕29号</w:t>
      </w:r>
      <w:r>
        <w:rPr>
          <w:lang w:eastAsia="zh-CN"/>
        </w:rPr>
        <w:t>文《关于保护稀有珍贵动植物资源的通知》批准设立湖南省阳明山自然保护区；1992年4月被原国家林业部批准设立湖南省阳明山国家森林公园；2009年9月被国家环保部批准设立湖南省阳明山国家级自然保护区。林场土地面积为11458.53</w:t>
      </w:r>
      <w:r>
        <w:rPr>
          <w:rFonts w:hint="eastAsia"/>
          <w:lang w:val="zh-CN" w:eastAsia="zh-CN"/>
        </w:rPr>
        <w:t>hm</w:t>
      </w:r>
      <w:r>
        <w:rPr>
          <w:rFonts w:hint="eastAsia"/>
          <w:vertAlign w:val="superscript"/>
          <w:lang w:val="zh-CN" w:eastAsia="zh-CN"/>
        </w:rPr>
        <w:t>2</w:t>
      </w:r>
      <w:r>
        <w:rPr>
          <w:lang w:eastAsia="zh-CN"/>
        </w:rPr>
        <w:t>。</w:t>
      </w:r>
    </w:p>
    <w:p w14:paraId="31586170">
      <w:pPr>
        <w:pStyle w:val="4"/>
      </w:pPr>
      <w:r>
        <w:t>1.3.2林场性质</w:t>
      </w:r>
    </w:p>
    <w:p w14:paraId="269EC681">
      <w:pPr>
        <w:ind w:firstLine="480"/>
        <w:rPr>
          <w:rFonts w:hint="default"/>
          <w:szCs w:val="24"/>
          <w:lang w:val="en-US" w:eastAsia="zh-CN"/>
        </w:rPr>
      </w:pPr>
      <w:r>
        <w:rPr>
          <w:lang w:eastAsia="zh-CN"/>
        </w:rPr>
        <w:t>林场改革后，阳明山国有林场定性为公益一类事业单位</w:t>
      </w:r>
      <w:r>
        <w:rPr>
          <w:rFonts w:hint="eastAsia"/>
          <w:lang w:eastAsia="zh-CN"/>
        </w:rPr>
        <w:t>。</w:t>
      </w:r>
    </w:p>
    <w:p w14:paraId="3431FAE9">
      <w:pPr>
        <w:kinsoku/>
        <w:autoSpaceDE/>
        <w:autoSpaceDN/>
        <w:adjustRightInd/>
        <w:snapToGrid/>
        <w:spacing w:line="240" w:lineRule="auto"/>
        <w:ind w:firstLine="0" w:firstLineChars="0"/>
        <w:jc w:val="left"/>
        <w:textAlignment w:val="auto"/>
        <w:rPr>
          <w:rFonts w:eastAsia="华文中宋" w:cs="Times New Roman"/>
          <w:b/>
          <w:bCs/>
          <w:snapToGrid/>
          <w:color w:val="000000" w:themeColor="text1"/>
          <w:kern w:val="2"/>
          <w:sz w:val="30"/>
          <w:szCs w:val="30"/>
          <w:lang w:eastAsia="zh-CN"/>
          <w14:textFill>
            <w14:solidFill>
              <w14:schemeClr w14:val="tx1"/>
            </w14:solidFill>
          </w14:textFill>
        </w:rPr>
      </w:pPr>
      <w:r>
        <w:rPr>
          <w:lang w:eastAsia="zh-CN"/>
        </w:rPr>
        <w:br w:type="page"/>
      </w:r>
    </w:p>
    <w:p w14:paraId="7C739163">
      <w:pPr>
        <w:pStyle w:val="4"/>
      </w:pPr>
      <w:r>
        <w:t>1.3.3组织机构及经营能力</w:t>
      </w:r>
    </w:p>
    <w:p w14:paraId="789D6D82">
      <w:pPr>
        <w:ind w:firstLine="480"/>
        <w:rPr>
          <w:lang w:eastAsia="zh-CN"/>
        </w:rPr>
      </w:pPr>
      <w:r>
        <w:rPr>
          <w:lang w:eastAsia="zh-CN"/>
        </w:rPr>
        <w:t>阳明山国有林场与自然保护区管理局、国家森林公园管理局，实行三块牌子、一套班子的管理体制，为副处级建制，属于公益林一类事业单位，行政属双牌县人民政府，代管1个行政村。场部设有办公室、林农管理科、经济贸易科、旅游基建科、财务室、防火指挥部、旅游公司等，核定全额拨款事业编制</w:t>
      </w:r>
      <w:r>
        <w:rPr>
          <w:highlight w:val="yellow"/>
          <w:lang w:eastAsia="zh-CN"/>
        </w:rPr>
        <w:t>95</w:t>
      </w:r>
      <w:r>
        <w:rPr>
          <w:lang w:eastAsia="zh-CN"/>
        </w:rPr>
        <w:t>名。</w:t>
      </w:r>
    </w:p>
    <w:p w14:paraId="4A7F1FD1">
      <w:pPr>
        <w:ind w:firstLine="480"/>
        <w:rPr>
          <w:lang w:eastAsia="zh-CN"/>
        </w:rPr>
      </w:pPr>
      <w:r>
        <w:rPr>
          <w:highlight w:val="yellow"/>
          <w:lang w:eastAsia="zh-CN"/>
        </w:rPr>
        <w:t>现有职工总数</w:t>
      </w:r>
      <w:r>
        <w:rPr>
          <w:rFonts w:hint="eastAsia"/>
          <w:highlight w:val="yellow"/>
          <w:lang w:val="en-US" w:eastAsia="zh-CN"/>
        </w:rPr>
        <w:t>66</w:t>
      </w:r>
      <w:r>
        <w:rPr>
          <w:highlight w:val="yellow"/>
          <w:lang w:eastAsia="zh-CN"/>
        </w:rPr>
        <w:t>人，其中：在职职工99人，退休职工36人。职工中管理人员15人，专业技术员17人，工人67人</w:t>
      </w:r>
      <w:r>
        <w:rPr>
          <w:rFonts w:hint="eastAsia"/>
          <w:highlight w:val="yellow"/>
          <w:lang w:eastAsia="zh-CN"/>
        </w:rPr>
        <w:t>。</w:t>
      </w:r>
    </w:p>
    <w:p w14:paraId="09F47E0E">
      <w:pPr>
        <w:pStyle w:val="4"/>
      </w:pPr>
      <w:r>
        <w:t>1.3.5上经理期经营分析与评价</w:t>
      </w:r>
    </w:p>
    <w:p w14:paraId="03948C7F">
      <w:pPr>
        <w:ind w:firstLine="480"/>
        <w:rPr>
          <w:lang w:eastAsia="zh-CN"/>
        </w:rPr>
      </w:pPr>
      <w:r>
        <w:rPr>
          <w:lang w:eastAsia="zh-CN"/>
        </w:rPr>
        <w:t>上经理期内，林场基本上形成了以生态旅游为主，林产品生产经营为辅的经营管理模式。林产品的生产经营走科学发展的道路，营林上按照</w:t>
      </w:r>
      <w:r>
        <w:rPr>
          <w:rFonts w:hint="eastAsia"/>
          <w:lang w:eastAsia="zh-CN"/>
        </w:rPr>
        <w:t>“</w:t>
      </w:r>
      <w:r>
        <w:rPr>
          <w:lang w:eastAsia="zh-CN"/>
        </w:rPr>
        <w:t>适地适树、适时抚育、优材更替</w:t>
      </w:r>
      <w:r>
        <w:rPr>
          <w:rFonts w:hint="eastAsia"/>
          <w:lang w:eastAsia="zh-CN"/>
        </w:rPr>
        <w:t>”</w:t>
      </w:r>
      <w:r>
        <w:rPr>
          <w:lang w:eastAsia="zh-CN"/>
        </w:rPr>
        <w:t>的经营方针培育后备资源；资源管理上按照</w:t>
      </w:r>
      <w:r>
        <w:rPr>
          <w:rFonts w:hint="eastAsia"/>
          <w:lang w:eastAsia="zh-CN"/>
        </w:rPr>
        <w:t>“</w:t>
      </w:r>
      <w:r>
        <w:rPr>
          <w:lang w:eastAsia="zh-CN"/>
        </w:rPr>
        <w:t>预防为主、防治结合</w:t>
      </w:r>
      <w:r>
        <w:rPr>
          <w:rFonts w:hint="eastAsia"/>
          <w:lang w:eastAsia="zh-CN"/>
        </w:rPr>
        <w:t>”</w:t>
      </w:r>
      <w:r>
        <w:rPr>
          <w:lang w:eastAsia="zh-CN"/>
        </w:rPr>
        <w:t>方针，有效地控制了林业有害生物的入侵和成灾；护林防火上，按照</w:t>
      </w:r>
      <w:r>
        <w:rPr>
          <w:rFonts w:hint="eastAsia"/>
          <w:lang w:eastAsia="zh-CN"/>
        </w:rPr>
        <w:t>“</w:t>
      </w:r>
      <w:r>
        <w:rPr>
          <w:lang w:eastAsia="zh-CN"/>
        </w:rPr>
        <w:t>依法治林、惩防并举</w:t>
      </w:r>
      <w:r>
        <w:rPr>
          <w:rFonts w:hint="eastAsia"/>
          <w:lang w:eastAsia="zh-CN"/>
        </w:rPr>
        <w:t>”</w:t>
      </w:r>
      <w:r>
        <w:rPr>
          <w:lang w:eastAsia="zh-CN"/>
        </w:rPr>
        <w:t>的原则，基本实现无森林火灾，实现森林蓄积量稳步增长的目标。</w:t>
      </w:r>
    </w:p>
    <w:p w14:paraId="74DE9A75">
      <w:pPr>
        <w:ind w:firstLine="480"/>
        <w:rPr>
          <w:lang w:eastAsia="zh-CN"/>
        </w:rPr>
      </w:pPr>
      <w:r>
        <w:rPr>
          <w:lang w:eastAsia="zh-CN"/>
        </w:rPr>
        <w:t>2015年林场实行体制改革，将代管的乡镇剥离，林场经营造成总面积、林地面积减少，由于公益林保护政策的持续实施，林场森林植被得到了有效保护，森林蓄积反而出现了较大增长。有林地质量得到有效改善，森林覆盖率增加，生态环境明显好转。乔木林群落结构逐步优化，森林群落结构趋于稳定。通过保护和培育，乔木林资源质量总体呈现上升趋势。</w:t>
      </w:r>
    </w:p>
    <w:p w14:paraId="7EF6D997">
      <w:pPr>
        <w:spacing w:before="51"/>
        <w:ind w:firstLine="480"/>
        <w:rPr>
          <w:rFonts w:cs="Times New Roman"/>
          <w:szCs w:val="24"/>
          <w:lang w:eastAsia="zh-CN"/>
        </w:rPr>
        <w:sectPr>
          <w:footerReference r:id="rId13" w:type="default"/>
          <w:footerReference r:id="rId14" w:type="even"/>
          <w:pgSz w:w="11905" w:h="16843"/>
          <w:pgMar w:top="1440" w:right="1406" w:bottom="1440" w:left="1803" w:header="873" w:footer="1276" w:gutter="0"/>
          <w:pgNumType w:start="1"/>
          <w:cols w:space="0" w:num="1"/>
          <w:rtlGutter w:val="0"/>
          <w:docGrid w:linePitch="0" w:charSpace="0"/>
        </w:sectPr>
      </w:pPr>
    </w:p>
    <w:p w14:paraId="7C1F37FC">
      <w:pPr>
        <w:pStyle w:val="2"/>
        <w:spacing w:before="120" w:after="120"/>
        <w:rPr>
          <w:lang w:eastAsia="zh-CN"/>
        </w:rPr>
      </w:pPr>
      <w:bookmarkStart w:id="13" w:name="bookmark10"/>
      <w:bookmarkEnd w:id="13"/>
      <w:bookmarkStart w:id="14" w:name="bookmark12"/>
      <w:bookmarkEnd w:id="14"/>
      <w:bookmarkStart w:id="15" w:name="_Toc17157"/>
      <w:r>
        <w:rPr>
          <w:lang w:eastAsia="zh-CN"/>
        </w:rPr>
        <w:t>第二章</w:t>
      </w:r>
      <w:r>
        <w:rPr>
          <w:rFonts w:hint="eastAsia"/>
          <w:lang w:eastAsia="zh-CN"/>
        </w:rPr>
        <w:t xml:space="preserve"> </w:t>
      </w:r>
      <w:r>
        <w:rPr>
          <w:lang w:eastAsia="zh-CN"/>
        </w:rPr>
        <w:t>森林资源、经营环境和需求分析</w:t>
      </w:r>
      <w:bookmarkEnd w:id="15"/>
    </w:p>
    <w:p w14:paraId="54B3C15F">
      <w:pPr>
        <w:pStyle w:val="3"/>
        <w:rPr>
          <w:lang w:eastAsia="zh-CN"/>
        </w:rPr>
      </w:pPr>
      <w:bookmarkStart w:id="16" w:name="_Toc16357"/>
      <w:r>
        <w:rPr>
          <w:lang w:eastAsia="zh-CN"/>
        </w:rPr>
        <w:t>2.1森林资源现状分析</w:t>
      </w:r>
      <w:bookmarkEnd w:id="16"/>
    </w:p>
    <w:p w14:paraId="0F0E390C">
      <w:pPr>
        <w:pStyle w:val="4"/>
      </w:pPr>
      <w:bookmarkStart w:id="17" w:name="_Toc32283"/>
      <w:r>
        <w:t>2.1.1土地资源现状分析</w:t>
      </w:r>
      <w:bookmarkEnd w:id="17"/>
    </w:p>
    <w:p w14:paraId="2FAF4B8A">
      <w:pPr>
        <w:ind w:firstLine="480"/>
        <w:rPr>
          <w:highlight w:val="magenta"/>
          <w:lang w:eastAsia="zh-CN"/>
        </w:rPr>
      </w:pPr>
      <w:r>
        <w:rPr>
          <w:highlight w:val="magenta"/>
          <w:lang w:eastAsia="zh-CN"/>
        </w:rPr>
        <w:t>全场国有土地经营总面积</w:t>
      </w:r>
      <w:r>
        <w:rPr>
          <w:rFonts w:hint="eastAsia"/>
          <w:highlight w:val="magenta"/>
          <w:lang w:val="en-US" w:eastAsia="zh-CN"/>
        </w:rPr>
        <w:t>8114.3</w:t>
      </w:r>
      <w:r>
        <w:rPr>
          <w:rFonts w:hint="eastAsia"/>
          <w:highlight w:val="magenta"/>
          <w:lang w:val="zh-CN" w:eastAsia="zh-CN"/>
        </w:rPr>
        <w:t>hm</w:t>
      </w:r>
      <w:r>
        <w:rPr>
          <w:rFonts w:hint="eastAsia"/>
          <w:highlight w:val="magenta"/>
          <w:vertAlign w:val="superscript"/>
          <w:lang w:val="zh-CN" w:eastAsia="zh-CN"/>
        </w:rPr>
        <w:t>2</w:t>
      </w:r>
      <w:r>
        <w:rPr>
          <w:highlight w:val="magenta"/>
          <w:lang w:eastAsia="zh-CN"/>
        </w:rPr>
        <w:t>，其中林地面积是</w:t>
      </w:r>
      <w:r>
        <w:rPr>
          <w:rFonts w:hint="eastAsia"/>
          <w:highlight w:val="magenta"/>
          <w:lang w:val="en-US" w:eastAsia="zh-CN"/>
        </w:rPr>
        <w:t>7699.17</w:t>
      </w:r>
      <w:r>
        <w:rPr>
          <w:rFonts w:hint="eastAsia"/>
          <w:highlight w:val="magenta"/>
          <w:lang w:val="zh-CN" w:eastAsia="zh-CN"/>
        </w:rPr>
        <w:t>hm</w:t>
      </w:r>
      <w:r>
        <w:rPr>
          <w:rFonts w:hint="eastAsia"/>
          <w:highlight w:val="magenta"/>
          <w:vertAlign w:val="superscript"/>
          <w:lang w:val="zh-CN" w:eastAsia="zh-CN"/>
        </w:rPr>
        <w:t>2</w:t>
      </w:r>
      <w:r>
        <w:rPr>
          <w:highlight w:val="magenta"/>
          <w:lang w:eastAsia="zh-CN"/>
        </w:rPr>
        <w:t>，占土地经营总面积的</w:t>
      </w:r>
      <w:r>
        <w:rPr>
          <w:rFonts w:hint="eastAsia"/>
          <w:highlight w:val="magenta"/>
          <w:lang w:eastAsia="zh-CN"/>
        </w:rPr>
        <w:t>9</w:t>
      </w:r>
      <w:r>
        <w:rPr>
          <w:rFonts w:hint="eastAsia"/>
          <w:highlight w:val="magenta"/>
          <w:lang w:val="en-US" w:eastAsia="zh-CN"/>
        </w:rPr>
        <w:t>5.</w:t>
      </w:r>
      <w:r>
        <w:rPr>
          <w:rFonts w:hint="eastAsia"/>
          <w:highlight w:val="magenta"/>
          <w:lang w:eastAsia="zh-CN"/>
        </w:rPr>
        <w:t>8</w:t>
      </w:r>
      <w:r>
        <w:rPr>
          <w:highlight w:val="magenta"/>
          <w:lang w:eastAsia="zh-CN"/>
        </w:rPr>
        <w:t>％；非林地面积</w:t>
      </w:r>
      <w:r>
        <w:rPr>
          <w:rFonts w:hint="eastAsia"/>
          <w:highlight w:val="magenta"/>
          <w:lang w:eastAsia="zh-CN"/>
        </w:rPr>
        <w:t>415.13</w:t>
      </w:r>
      <w:r>
        <w:rPr>
          <w:rFonts w:hint="eastAsia"/>
          <w:highlight w:val="magenta"/>
          <w:lang w:val="zh-CN" w:eastAsia="zh-CN"/>
        </w:rPr>
        <w:t>hm</w:t>
      </w:r>
      <w:r>
        <w:rPr>
          <w:rFonts w:hint="eastAsia"/>
          <w:highlight w:val="magenta"/>
          <w:vertAlign w:val="superscript"/>
          <w:lang w:val="zh-CN" w:eastAsia="zh-CN"/>
        </w:rPr>
        <w:t>2</w:t>
      </w:r>
      <w:r>
        <w:rPr>
          <w:highlight w:val="magenta"/>
          <w:lang w:eastAsia="zh-CN"/>
        </w:rPr>
        <w:t>，占土地经营总面积的</w:t>
      </w:r>
      <w:r>
        <w:rPr>
          <w:rFonts w:hint="eastAsia"/>
          <w:highlight w:val="magenta"/>
          <w:lang w:val="en-US" w:eastAsia="zh-CN"/>
        </w:rPr>
        <w:t>5.1</w:t>
      </w:r>
      <w:r>
        <w:rPr>
          <w:highlight w:val="magenta"/>
          <w:lang w:eastAsia="zh-CN"/>
        </w:rPr>
        <w:t>％。</w:t>
      </w:r>
    </w:p>
    <w:p w14:paraId="72F1C03A">
      <w:pPr>
        <w:spacing w:before="51"/>
        <w:ind w:firstLine="480"/>
        <w:rPr>
          <w:rFonts w:cs="Times New Roman"/>
          <w:szCs w:val="24"/>
          <w:highlight w:val="magenta"/>
          <w:lang w:eastAsia="zh-CN"/>
        </w:rPr>
      </w:pPr>
      <w:r>
        <w:rPr>
          <w:rFonts w:cs="Times New Roman"/>
          <w:szCs w:val="24"/>
          <w:highlight w:val="magenta"/>
          <w:lang w:eastAsia="zh-CN"/>
        </w:rPr>
        <w:t>林地面积</w:t>
      </w:r>
      <w:r>
        <w:rPr>
          <w:rFonts w:hint="eastAsia"/>
          <w:highlight w:val="magenta"/>
          <w:lang w:val="en-US" w:eastAsia="zh-CN"/>
        </w:rPr>
        <w:t>7699.17</w:t>
      </w:r>
      <w:r>
        <w:rPr>
          <w:rFonts w:hint="eastAsia"/>
          <w:highlight w:val="magenta"/>
          <w:lang w:val="zh-CN" w:eastAsia="zh-CN"/>
        </w:rPr>
        <w:t>hm</w:t>
      </w:r>
      <w:r>
        <w:rPr>
          <w:rFonts w:hint="eastAsia"/>
          <w:highlight w:val="magenta"/>
          <w:vertAlign w:val="superscript"/>
          <w:lang w:val="zh-CN" w:eastAsia="zh-CN"/>
        </w:rPr>
        <w:t>2</w:t>
      </w:r>
      <w:r>
        <w:rPr>
          <w:rFonts w:cs="Times New Roman"/>
          <w:szCs w:val="24"/>
          <w:highlight w:val="magenta"/>
          <w:lang w:eastAsia="zh-CN"/>
        </w:rPr>
        <w:t>，其中：</w:t>
      </w:r>
      <w:r>
        <w:rPr>
          <w:rFonts w:hint="eastAsia" w:cs="Times New Roman"/>
          <w:szCs w:val="24"/>
          <w:highlight w:val="magenta"/>
          <w:lang w:eastAsia="zh-CN"/>
        </w:rPr>
        <w:t>乔木林地</w:t>
      </w:r>
      <w:r>
        <w:rPr>
          <w:rFonts w:cs="Times New Roman"/>
          <w:szCs w:val="24"/>
          <w:highlight w:val="magenta"/>
          <w:lang w:eastAsia="zh-CN"/>
        </w:rPr>
        <w:t>面积</w:t>
      </w:r>
      <w:r>
        <w:rPr>
          <w:rFonts w:hint="eastAsia" w:cs="Times New Roman"/>
          <w:szCs w:val="24"/>
          <w:highlight w:val="magenta"/>
          <w:lang w:val="en-US" w:eastAsia="zh-CN"/>
        </w:rPr>
        <w:t>45</w:t>
      </w:r>
      <w:r>
        <w:rPr>
          <w:rFonts w:hint="eastAsia" w:cs="Times New Roman"/>
          <w:szCs w:val="24"/>
          <w:highlight w:val="magenta"/>
          <w:lang w:eastAsia="zh-CN"/>
        </w:rPr>
        <w:t>76.37</w:t>
      </w:r>
      <w:r>
        <w:rPr>
          <w:rFonts w:hint="eastAsia" w:cs="Times New Roman"/>
          <w:szCs w:val="24"/>
          <w:highlight w:val="magenta"/>
          <w:lang w:val="zh-CN" w:eastAsia="zh-CN"/>
        </w:rPr>
        <w:t>hm</w:t>
      </w:r>
      <w:r>
        <w:rPr>
          <w:rFonts w:hint="eastAsia" w:cs="Times New Roman"/>
          <w:szCs w:val="24"/>
          <w:highlight w:val="magenta"/>
          <w:vertAlign w:val="superscript"/>
          <w:lang w:val="zh-CN" w:eastAsia="zh-CN"/>
        </w:rPr>
        <w:t>2</w:t>
      </w:r>
      <w:r>
        <w:rPr>
          <w:rFonts w:cs="Times New Roman"/>
          <w:szCs w:val="24"/>
          <w:highlight w:val="magenta"/>
          <w:lang w:eastAsia="zh-CN"/>
        </w:rPr>
        <w:t>，</w:t>
      </w:r>
      <w:r>
        <w:rPr>
          <w:rFonts w:hint="eastAsia" w:cs="Times New Roman"/>
          <w:szCs w:val="24"/>
          <w:highlight w:val="magenta"/>
          <w:lang w:eastAsia="zh-CN"/>
        </w:rPr>
        <w:t>竹林地面积3</w:t>
      </w:r>
      <w:r>
        <w:rPr>
          <w:rFonts w:hint="eastAsia" w:cs="Times New Roman"/>
          <w:szCs w:val="24"/>
          <w:highlight w:val="magenta"/>
          <w:lang w:val="en-US" w:eastAsia="zh-CN"/>
        </w:rPr>
        <w:t>0</w:t>
      </w:r>
      <w:r>
        <w:rPr>
          <w:rFonts w:hint="eastAsia" w:cs="Times New Roman"/>
          <w:szCs w:val="24"/>
          <w:highlight w:val="magenta"/>
          <w:lang w:eastAsia="zh-CN"/>
        </w:rPr>
        <w:t>28.99</w:t>
      </w:r>
      <w:r>
        <w:rPr>
          <w:rFonts w:hint="eastAsia" w:cs="Times New Roman"/>
          <w:szCs w:val="24"/>
          <w:highlight w:val="magenta"/>
          <w:lang w:val="zh-CN" w:eastAsia="zh-CN"/>
        </w:rPr>
        <w:t>hm</w:t>
      </w:r>
      <w:r>
        <w:rPr>
          <w:rFonts w:hint="eastAsia" w:cs="Times New Roman"/>
          <w:szCs w:val="24"/>
          <w:highlight w:val="magenta"/>
          <w:vertAlign w:val="superscript"/>
          <w:lang w:val="zh-CN" w:eastAsia="zh-CN"/>
        </w:rPr>
        <w:t>2</w:t>
      </w:r>
      <w:r>
        <w:rPr>
          <w:rFonts w:hint="eastAsia" w:cs="Times New Roman"/>
          <w:szCs w:val="24"/>
          <w:highlight w:val="magenta"/>
          <w:lang w:eastAsia="zh-CN"/>
        </w:rPr>
        <w:t>，</w:t>
      </w:r>
      <w:r>
        <w:rPr>
          <w:rFonts w:cs="Times New Roman"/>
          <w:szCs w:val="24"/>
          <w:highlight w:val="magenta"/>
          <w:lang w:eastAsia="zh-CN"/>
        </w:rPr>
        <w:t>灌木林地面积</w:t>
      </w:r>
      <w:r>
        <w:rPr>
          <w:rFonts w:hint="eastAsia" w:cs="Times New Roman"/>
          <w:szCs w:val="24"/>
          <w:highlight w:val="magenta"/>
          <w:lang w:val="en-US" w:eastAsia="zh-CN"/>
        </w:rPr>
        <w:t>87.42</w:t>
      </w:r>
      <w:r>
        <w:rPr>
          <w:rFonts w:hint="eastAsia" w:cs="Times New Roman"/>
          <w:szCs w:val="24"/>
          <w:highlight w:val="magenta"/>
          <w:lang w:val="zh-CN" w:eastAsia="zh-CN"/>
        </w:rPr>
        <w:t>hm</w:t>
      </w:r>
      <w:r>
        <w:rPr>
          <w:rFonts w:hint="eastAsia" w:cs="Times New Roman"/>
          <w:szCs w:val="24"/>
          <w:highlight w:val="magenta"/>
          <w:vertAlign w:val="superscript"/>
          <w:lang w:val="zh-CN" w:eastAsia="zh-CN"/>
        </w:rPr>
        <w:t>2</w:t>
      </w:r>
      <w:r>
        <w:rPr>
          <w:rFonts w:cs="Times New Roman"/>
          <w:szCs w:val="24"/>
          <w:highlight w:val="magenta"/>
          <w:lang w:eastAsia="zh-CN"/>
        </w:rPr>
        <w:t>，</w:t>
      </w:r>
      <w:r>
        <w:rPr>
          <w:rFonts w:hint="eastAsia" w:cs="Times New Roman"/>
          <w:szCs w:val="24"/>
          <w:highlight w:val="magenta"/>
          <w:lang w:eastAsia="zh-CN"/>
        </w:rPr>
        <w:t>其他林地面积6.39</w:t>
      </w:r>
      <w:r>
        <w:rPr>
          <w:rFonts w:hint="eastAsia" w:cs="Times New Roman"/>
          <w:szCs w:val="24"/>
          <w:highlight w:val="magenta"/>
          <w:lang w:val="zh-CN" w:eastAsia="zh-CN"/>
        </w:rPr>
        <w:t>hm</w:t>
      </w:r>
      <w:r>
        <w:rPr>
          <w:rFonts w:hint="eastAsia" w:cs="Times New Roman"/>
          <w:szCs w:val="24"/>
          <w:highlight w:val="magenta"/>
          <w:vertAlign w:val="superscript"/>
          <w:lang w:val="zh-CN" w:eastAsia="zh-CN"/>
        </w:rPr>
        <w:t>2</w:t>
      </w:r>
      <w:r>
        <w:rPr>
          <w:rFonts w:hint="eastAsia" w:cs="Times New Roman"/>
          <w:szCs w:val="24"/>
          <w:highlight w:val="magenta"/>
          <w:lang w:eastAsia="zh-CN"/>
        </w:rPr>
        <w:t>。</w:t>
      </w:r>
    </w:p>
    <w:p w14:paraId="3F685BC5">
      <w:pPr>
        <w:ind w:firstLine="480"/>
        <w:rPr>
          <w:highlight w:val="magenta"/>
          <w:lang w:eastAsia="zh-CN"/>
        </w:rPr>
      </w:pPr>
      <w:r>
        <w:rPr>
          <w:highlight w:val="magenta"/>
          <w:lang w:eastAsia="zh-CN"/>
        </w:rPr>
        <w:t>全场森林覆盖率</w:t>
      </w:r>
      <w:r>
        <w:rPr>
          <w:rFonts w:hint="eastAsia"/>
          <w:highlight w:val="magenta"/>
          <w:lang w:eastAsia="zh-CN"/>
        </w:rPr>
        <w:t>9</w:t>
      </w:r>
      <w:r>
        <w:rPr>
          <w:rFonts w:hint="eastAsia"/>
          <w:highlight w:val="magenta"/>
          <w:lang w:val="en-US" w:eastAsia="zh-CN"/>
        </w:rPr>
        <w:t>4.8</w:t>
      </w:r>
      <w:r>
        <w:rPr>
          <w:rFonts w:hint="eastAsia"/>
          <w:highlight w:val="magenta"/>
          <w:lang w:eastAsia="zh-CN"/>
        </w:rPr>
        <w:t>%</w:t>
      </w:r>
      <w:r>
        <w:rPr>
          <w:highlight w:val="magenta"/>
          <w:lang w:eastAsia="zh-CN"/>
        </w:rPr>
        <w:t>，林木绿化率98.3%。</w:t>
      </w:r>
    </w:p>
    <w:p w14:paraId="21956138">
      <w:pPr>
        <w:ind w:firstLine="480"/>
        <w:rPr>
          <w:sz w:val="28"/>
          <w:szCs w:val="28"/>
          <w:highlight w:val="magenta"/>
          <w:lang w:eastAsia="zh-CN"/>
        </w:rPr>
      </w:pPr>
      <w:r>
        <w:rPr>
          <w:highlight w:val="magenta"/>
          <w:lang w:eastAsia="zh-CN"/>
        </w:rPr>
        <w:t>林场及各工区各类土地面积情况，详见表2-1</w:t>
      </w:r>
      <w:r>
        <w:rPr>
          <w:rFonts w:hint="eastAsia"/>
          <w:highlight w:val="magenta"/>
          <w:lang w:eastAsia="zh-CN"/>
        </w:rPr>
        <w:t>。</w:t>
      </w:r>
    </w:p>
    <w:p w14:paraId="6E656C34">
      <w:pPr>
        <w:spacing w:line="362" w:lineRule="auto"/>
        <w:ind w:firstLine="560"/>
        <w:rPr>
          <w:rFonts w:eastAsia="仿宋" w:cs="Times New Roman"/>
          <w:sz w:val="28"/>
          <w:szCs w:val="28"/>
          <w:highlight w:val="magenta"/>
          <w:lang w:eastAsia="zh-CN"/>
        </w:rPr>
        <w:sectPr>
          <w:footerReference r:id="rId15" w:type="default"/>
          <w:pgSz w:w="11905" w:h="16843"/>
          <w:pgMar w:top="1440" w:right="1406" w:bottom="1440" w:left="1803" w:header="873" w:footer="1276" w:gutter="0"/>
          <w:cols w:space="0" w:num="1"/>
          <w:rtlGutter w:val="0"/>
          <w:docGrid w:linePitch="0" w:charSpace="0"/>
        </w:sectPr>
      </w:pPr>
    </w:p>
    <w:p w14:paraId="1DDA37C7">
      <w:pPr>
        <w:spacing w:line="240" w:lineRule="auto"/>
        <w:ind w:firstLine="0" w:firstLineChars="0"/>
        <w:jc w:val="center"/>
        <w:rPr>
          <w:rFonts w:eastAsia="黑体" w:cs="Times New Roman"/>
          <w:b/>
          <w:bCs/>
          <w:szCs w:val="24"/>
          <w:lang w:eastAsia="zh-CN"/>
        </w:rPr>
      </w:pPr>
      <w:r>
        <w:rPr>
          <w:rFonts w:eastAsia="黑体" w:cs="Times New Roman"/>
          <w:b/>
          <w:bCs/>
          <w:szCs w:val="24"/>
          <w:lang w:eastAsia="zh-CN"/>
        </w:rPr>
        <w:t>表2-1双牌县阳明山国有林场各类土地按地类统计表</w:t>
      </w:r>
    </w:p>
    <w:p w14:paraId="046E63FB">
      <w:pPr>
        <w:spacing w:line="240" w:lineRule="auto"/>
        <w:ind w:firstLine="0" w:firstLineChars="0"/>
        <w:jc w:val="right"/>
        <w:rPr>
          <w:rFonts w:eastAsia="黑体" w:cs="Times New Roman"/>
          <w:b/>
          <w:bCs/>
          <w:szCs w:val="24"/>
          <w:lang w:eastAsia="zh-CN"/>
        </w:rPr>
      </w:pPr>
      <w:r>
        <w:rPr>
          <w:rFonts w:cs="Times New Roman"/>
          <w:sz w:val="21"/>
        </w:rPr>
        <w:t>单位：</w:t>
      </w:r>
      <w:r>
        <w:rPr>
          <w:rFonts w:cs="Times New Roman"/>
          <w:sz w:val="21"/>
          <w:lang w:eastAsia="zh-CN"/>
        </w:rPr>
        <w:t>hm</w:t>
      </w:r>
      <w:r>
        <w:rPr>
          <w:rFonts w:cs="Times New Roman"/>
          <w:sz w:val="21"/>
          <w:vertAlign w:val="superscript"/>
          <w:lang w:eastAsia="zh-CN"/>
        </w:rPr>
        <w:t>2</w:t>
      </w:r>
      <w:r>
        <w:rPr>
          <w:rFonts w:cs="Times New Roman"/>
          <w:sz w:val="21"/>
        </w:rPr>
        <w:t>、%</w:t>
      </w:r>
    </w:p>
    <w:tbl>
      <w:tblPr>
        <w:tblStyle w:val="17"/>
        <w:tblW w:w="4995"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11"/>
        <w:gridCol w:w="1011"/>
        <w:gridCol w:w="1011"/>
        <w:gridCol w:w="1012"/>
        <w:gridCol w:w="1012"/>
        <w:gridCol w:w="1012"/>
        <w:gridCol w:w="1012"/>
        <w:gridCol w:w="1012"/>
        <w:gridCol w:w="1012"/>
        <w:gridCol w:w="1012"/>
        <w:gridCol w:w="1012"/>
        <w:gridCol w:w="1012"/>
        <w:gridCol w:w="1012"/>
        <w:gridCol w:w="1012"/>
      </w:tblGrid>
      <w:tr w14:paraId="25722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35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DAC395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林场</w:t>
            </w:r>
          </w:p>
        </w:tc>
        <w:tc>
          <w:tcPr>
            <w:tcW w:w="357" w:type="pct"/>
            <w:tcBorders>
              <w:top w:val="single" w:color="000000" w:sz="8" w:space="0"/>
              <w:left w:val="nil"/>
              <w:bottom w:val="single" w:color="000000" w:sz="8" w:space="0"/>
              <w:right w:val="single" w:color="000000" w:sz="8" w:space="0"/>
            </w:tcBorders>
            <w:shd w:val="clear" w:color="auto" w:fill="auto"/>
            <w:vAlign w:val="center"/>
          </w:tcPr>
          <w:p w14:paraId="4DFCF96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总面积</w:t>
            </w:r>
          </w:p>
        </w:tc>
        <w:tc>
          <w:tcPr>
            <w:tcW w:w="357" w:type="pct"/>
            <w:tcBorders>
              <w:top w:val="single" w:color="000000" w:sz="8" w:space="0"/>
              <w:left w:val="nil"/>
              <w:bottom w:val="single" w:color="000000" w:sz="8" w:space="0"/>
              <w:right w:val="single" w:color="000000" w:sz="8" w:space="0"/>
            </w:tcBorders>
            <w:shd w:val="clear" w:color="auto" w:fill="auto"/>
            <w:vAlign w:val="center"/>
          </w:tcPr>
          <w:p w14:paraId="4634ADA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林地使用权</w:t>
            </w:r>
          </w:p>
        </w:tc>
        <w:tc>
          <w:tcPr>
            <w:tcW w:w="357" w:type="pct"/>
            <w:tcBorders>
              <w:top w:val="single" w:color="000000" w:sz="8" w:space="0"/>
              <w:left w:val="nil"/>
              <w:bottom w:val="single" w:color="000000" w:sz="8" w:space="0"/>
              <w:right w:val="single" w:color="000000" w:sz="8" w:space="0"/>
            </w:tcBorders>
            <w:shd w:val="clear" w:color="auto" w:fill="auto"/>
            <w:vAlign w:val="center"/>
          </w:tcPr>
          <w:p w14:paraId="2EBD0AE2">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single" w:color="000000" w:sz="8" w:space="0"/>
              <w:left w:val="nil"/>
              <w:bottom w:val="single" w:color="000000" w:sz="8" w:space="0"/>
              <w:right w:val="single" w:color="000000" w:sz="8" w:space="0"/>
            </w:tcBorders>
            <w:shd w:val="clear" w:color="auto" w:fill="auto"/>
            <w:vAlign w:val="center"/>
          </w:tcPr>
          <w:p w14:paraId="6603D76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合计</w:t>
            </w:r>
          </w:p>
        </w:tc>
        <w:tc>
          <w:tcPr>
            <w:tcW w:w="357" w:type="pct"/>
            <w:tcBorders>
              <w:top w:val="single" w:color="000000" w:sz="8" w:space="0"/>
              <w:left w:val="nil"/>
              <w:bottom w:val="single" w:color="000000" w:sz="8" w:space="0"/>
              <w:right w:val="single" w:color="000000" w:sz="8" w:space="0"/>
            </w:tcBorders>
            <w:shd w:val="clear" w:color="auto" w:fill="auto"/>
            <w:vAlign w:val="center"/>
          </w:tcPr>
          <w:p w14:paraId="3C56E82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乔木林地</w:t>
            </w:r>
          </w:p>
        </w:tc>
        <w:tc>
          <w:tcPr>
            <w:tcW w:w="357" w:type="pct"/>
            <w:tcBorders>
              <w:top w:val="single" w:color="000000" w:sz="8" w:space="0"/>
              <w:left w:val="nil"/>
              <w:bottom w:val="single" w:color="000000" w:sz="8" w:space="0"/>
              <w:right w:val="single" w:color="000000" w:sz="8" w:space="0"/>
            </w:tcBorders>
            <w:shd w:val="clear" w:color="auto" w:fill="auto"/>
            <w:vAlign w:val="center"/>
          </w:tcPr>
          <w:p w14:paraId="14B32B7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竹林地</w:t>
            </w:r>
          </w:p>
        </w:tc>
        <w:tc>
          <w:tcPr>
            <w:tcW w:w="357" w:type="pct"/>
            <w:tcBorders>
              <w:top w:val="single" w:color="000000" w:sz="8" w:space="0"/>
              <w:left w:val="nil"/>
              <w:bottom w:val="single" w:color="000000" w:sz="8" w:space="0"/>
              <w:right w:val="single" w:color="000000" w:sz="8" w:space="0"/>
            </w:tcBorders>
            <w:shd w:val="clear" w:color="auto" w:fill="auto"/>
            <w:vAlign w:val="center"/>
          </w:tcPr>
          <w:p w14:paraId="7BA4C1E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灌木林地</w:t>
            </w:r>
          </w:p>
        </w:tc>
        <w:tc>
          <w:tcPr>
            <w:tcW w:w="357" w:type="pct"/>
            <w:tcBorders>
              <w:top w:val="single" w:color="000000" w:sz="8" w:space="0"/>
              <w:left w:val="nil"/>
              <w:bottom w:val="single" w:color="000000" w:sz="8" w:space="0"/>
              <w:right w:val="single" w:color="000000" w:sz="8" w:space="0"/>
            </w:tcBorders>
            <w:shd w:val="clear" w:color="auto" w:fill="auto"/>
            <w:vAlign w:val="center"/>
          </w:tcPr>
          <w:p w14:paraId="2D29888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未成林造林地</w:t>
            </w:r>
          </w:p>
        </w:tc>
        <w:tc>
          <w:tcPr>
            <w:tcW w:w="357" w:type="pct"/>
            <w:tcBorders>
              <w:top w:val="single" w:color="000000" w:sz="8" w:space="0"/>
              <w:left w:val="nil"/>
              <w:bottom w:val="single" w:color="000000" w:sz="8" w:space="0"/>
              <w:right w:val="single" w:color="000000" w:sz="8" w:space="0"/>
            </w:tcBorders>
            <w:shd w:val="clear" w:color="auto" w:fill="auto"/>
            <w:vAlign w:val="center"/>
          </w:tcPr>
          <w:p w14:paraId="4F3FB9E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无立木林地</w:t>
            </w:r>
          </w:p>
        </w:tc>
        <w:tc>
          <w:tcPr>
            <w:tcW w:w="357" w:type="pct"/>
            <w:tcBorders>
              <w:top w:val="single" w:color="000000" w:sz="8" w:space="0"/>
              <w:left w:val="nil"/>
              <w:bottom w:val="single" w:color="000000" w:sz="8" w:space="0"/>
              <w:right w:val="single" w:color="000000" w:sz="8" w:space="0"/>
            </w:tcBorders>
            <w:shd w:val="clear" w:color="auto" w:fill="auto"/>
            <w:vAlign w:val="center"/>
          </w:tcPr>
          <w:p w14:paraId="4B62931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疏林地</w:t>
            </w:r>
          </w:p>
        </w:tc>
        <w:tc>
          <w:tcPr>
            <w:tcW w:w="357" w:type="pct"/>
            <w:tcBorders>
              <w:top w:val="single" w:color="000000" w:sz="8" w:space="0"/>
              <w:left w:val="nil"/>
              <w:bottom w:val="single" w:color="000000" w:sz="8" w:space="0"/>
              <w:right w:val="single" w:color="000000" w:sz="8" w:space="0"/>
            </w:tcBorders>
            <w:shd w:val="clear" w:color="auto" w:fill="auto"/>
            <w:vAlign w:val="center"/>
          </w:tcPr>
          <w:p w14:paraId="70112CA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非林地</w:t>
            </w:r>
          </w:p>
        </w:tc>
        <w:tc>
          <w:tcPr>
            <w:tcW w:w="357" w:type="pct"/>
            <w:tcBorders>
              <w:top w:val="single" w:color="000000" w:sz="8" w:space="0"/>
              <w:left w:val="nil"/>
              <w:bottom w:val="single" w:color="000000" w:sz="8" w:space="0"/>
              <w:right w:val="single" w:color="000000" w:sz="8" w:space="0"/>
            </w:tcBorders>
            <w:shd w:val="clear" w:color="auto" w:fill="auto"/>
            <w:vAlign w:val="center"/>
          </w:tcPr>
          <w:p w14:paraId="7408992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森林覆盖率</w:t>
            </w:r>
          </w:p>
        </w:tc>
        <w:tc>
          <w:tcPr>
            <w:tcW w:w="357" w:type="pct"/>
            <w:tcBorders>
              <w:top w:val="single" w:color="000000" w:sz="8" w:space="0"/>
              <w:left w:val="nil"/>
              <w:bottom w:val="single" w:color="000000" w:sz="8" w:space="0"/>
              <w:right w:val="single" w:color="000000" w:sz="8" w:space="0"/>
            </w:tcBorders>
            <w:shd w:val="clear" w:color="auto" w:fill="auto"/>
            <w:vAlign w:val="center"/>
          </w:tcPr>
          <w:p w14:paraId="5A6E30B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林木绿化率</w:t>
            </w:r>
          </w:p>
        </w:tc>
      </w:tr>
      <w:tr w14:paraId="6AED3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57" w:type="pct"/>
            <w:vMerge w:val="restart"/>
            <w:tcBorders>
              <w:top w:val="nil"/>
              <w:left w:val="single" w:color="000000" w:sz="8" w:space="0"/>
              <w:bottom w:val="single" w:color="000000" w:sz="8" w:space="0"/>
              <w:right w:val="single" w:color="000000" w:sz="8" w:space="0"/>
            </w:tcBorders>
            <w:shd w:val="clear" w:color="auto" w:fill="auto"/>
            <w:vAlign w:val="center"/>
          </w:tcPr>
          <w:p w14:paraId="7598D23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阳明山国有林场</w:t>
            </w:r>
          </w:p>
        </w:tc>
        <w:tc>
          <w:tcPr>
            <w:tcW w:w="357" w:type="pct"/>
            <w:vMerge w:val="restart"/>
            <w:tcBorders>
              <w:top w:val="nil"/>
              <w:left w:val="nil"/>
              <w:bottom w:val="single" w:color="000000" w:sz="8" w:space="0"/>
              <w:right w:val="single" w:color="000000" w:sz="8" w:space="0"/>
            </w:tcBorders>
            <w:shd w:val="clear" w:color="auto" w:fill="auto"/>
            <w:vAlign w:val="center"/>
          </w:tcPr>
          <w:p w14:paraId="3E28ED4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11458.53</w:t>
            </w:r>
          </w:p>
        </w:tc>
        <w:tc>
          <w:tcPr>
            <w:tcW w:w="357" w:type="pct"/>
            <w:tcBorders>
              <w:top w:val="nil"/>
              <w:left w:val="nil"/>
              <w:bottom w:val="single" w:color="000000" w:sz="8" w:space="0"/>
              <w:right w:val="single" w:color="000000" w:sz="8" w:space="0"/>
            </w:tcBorders>
            <w:shd w:val="clear" w:color="auto" w:fill="auto"/>
            <w:vAlign w:val="center"/>
          </w:tcPr>
          <w:p w14:paraId="42ED2A3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合计</w:t>
            </w:r>
          </w:p>
        </w:tc>
        <w:tc>
          <w:tcPr>
            <w:tcW w:w="357" w:type="pct"/>
            <w:tcBorders>
              <w:top w:val="nil"/>
              <w:left w:val="nil"/>
              <w:bottom w:val="single" w:color="000000" w:sz="8" w:space="0"/>
              <w:right w:val="single" w:color="000000" w:sz="8" w:space="0"/>
            </w:tcBorders>
            <w:shd w:val="clear" w:color="auto" w:fill="auto"/>
            <w:vAlign w:val="center"/>
          </w:tcPr>
          <w:p w14:paraId="587BFCF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合计</w:t>
            </w:r>
          </w:p>
        </w:tc>
        <w:tc>
          <w:tcPr>
            <w:tcW w:w="357" w:type="pct"/>
            <w:tcBorders>
              <w:top w:val="nil"/>
              <w:left w:val="nil"/>
              <w:bottom w:val="single" w:color="000000" w:sz="8" w:space="0"/>
              <w:right w:val="single" w:color="000000" w:sz="8" w:space="0"/>
            </w:tcBorders>
            <w:shd w:val="clear" w:color="auto" w:fill="auto"/>
            <w:vAlign w:val="center"/>
          </w:tcPr>
          <w:p w14:paraId="19E936E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snapToGrid w:val="0"/>
                <w:color w:val="000000"/>
                <w:kern w:val="0"/>
                <w:sz w:val="21"/>
                <w:szCs w:val="21"/>
                <w:u w:val="none"/>
                <w:lang w:val="en-US" w:eastAsia="zh-CN" w:bidi="ar"/>
              </w:rPr>
              <w:t>11458.53</w:t>
            </w:r>
          </w:p>
        </w:tc>
        <w:tc>
          <w:tcPr>
            <w:tcW w:w="357" w:type="pct"/>
            <w:tcBorders>
              <w:top w:val="nil"/>
              <w:left w:val="nil"/>
              <w:bottom w:val="single" w:color="000000" w:sz="8" w:space="0"/>
              <w:right w:val="single" w:color="000000" w:sz="8" w:space="0"/>
            </w:tcBorders>
            <w:shd w:val="clear" w:color="auto" w:fill="auto"/>
            <w:vAlign w:val="center"/>
          </w:tcPr>
          <w:p w14:paraId="4BE8530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6976.37</w:t>
            </w:r>
          </w:p>
        </w:tc>
        <w:tc>
          <w:tcPr>
            <w:tcW w:w="357" w:type="pct"/>
            <w:tcBorders>
              <w:top w:val="nil"/>
              <w:left w:val="nil"/>
              <w:bottom w:val="single" w:color="000000" w:sz="8" w:space="0"/>
              <w:right w:val="single" w:color="000000" w:sz="8" w:space="0"/>
            </w:tcBorders>
            <w:shd w:val="clear" w:color="auto" w:fill="auto"/>
            <w:vAlign w:val="center"/>
          </w:tcPr>
          <w:p w14:paraId="53B2670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3928.99</w:t>
            </w:r>
          </w:p>
        </w:tc>
        <w:tc>
          <w:tcPr>
            <w:tcW w:w="357" w:type="pct"/>
            <w:tcBorders>
              <w:top w:val="nil"/>
              <w:left w:val="nil"/>
              <w:bottom w:val="single" w:color="000000" w:sz="8" w:space="0"/>
              <w:right w:val="single" w:color="000000" w:sz="8" w:space="0"/>
            </w:tcBorders>
            <w:shd w:val="clear" w:color="auto" w:fill="auto"/>
            <w:vAlign w:val="center"/>
          </w:tcPr>
          <w:p w14:paraId="176FD8C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131.66</w:t>
            </w:r>
          </w:p>
        </w:tc>
        <w:tc>
          <w:tcPr>
            <w:tcW w:w="357" w:type="pct"/>
            <w:tcBorders>
              <w:top w:val="nil"/>
              <w:left w:val="nil"/>
              <w:bottom w:val="single" w:color="000000" w:sz="8" w:space="0"/>
              <w:right w:val="single" w:color="000000" w:sz="8" w:space="0"/>
            </w:tcBorders>
            <w:shd w:val="clear" w:color="auto" w:fill="auto"/>
            <w:vAlign w:val="center"/>
          </w:tcPr>
          <w:p w14:paraId="3227EE4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6.39</w:t>
            </w:r>
          </w:p>
        </w:tc>
        <w:tc>
          <w:tcPr>
            <w:tcW w:w="357" w:type="pct"/>
            <w:tcBorders>
              <w:top w:val="nil"/>
              <w:left w:val="nil"/>
              <w:bottom w:val="single" w:color="000000" w:sz="8" w:space="0"/>
              <w:right w:val="single" w:color="000000" w:sz="8" w:space="0"/>
            </w:tcBorders>
            <w:shd w:val="clear" w:color="auto" w:fill="auto"/>
            <w:vAlign w:val="center"/>
          </w:tcPr>
          <w:p w14:paraId="1499CF5B">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4211233F">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2F042D2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414.37</w:t>
            </w:r>
          </w:p>
        </w:tc>
        <w:tc>
          <w:tcPr>
            <w:tcW w:w="357" w:type="pct"/>
            <w:tcBorders>
              <w:top w:val="nil"/>
              <w:left w:val="nil"/>
              <w:bottom w:val="single" w:color="000000" w:sz="8" w:space="0"/>
              <w:right w:val="single" w:color="000000" w:sz="8" w:space="0"/>
            </w:tcBorders>
            <w:shd w:val="clear" w:color="auto" w:fill="auto"/>
            <w:vAlign w:val="center"/>
          </w:tcPr>
          <w:p w14:paraId="532FFA7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98.16</w:t>
            </w:r>
          </w:p>
        </w:tc>
        <w:tc>
          <w:tcPr>
            <w:tcW w:w="357" w:type="pct"/>
            <w:tcBorders>
              <w:top w:val="nil"/>
              <w:left w:val="nil"/>
              <w:bottom w:val="single" w:color="000000" w:sz="8" w:space="0"/>
              <w:right w:val="single" w:color="000000" w:sz="8" w:space="0"/>
            </w:tcBorders>
            <w:shd w:val="clear" w:color="auto" w:fill="auto"/>
            <w:vAlign w:val="center"/>
          </w:tcPr>
          <w:p w14:paraId="464F76F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98.16</w:t>
            </w:r>
          </w:p>
        </w:tc>
      </w:tr>
      <w:tr w14:paraId="2ED4F8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357" w:type="pct"/>
            <w:vMerge w:val="continue"/>
            <w:tcBorders>
              <w:top w:val="nil"/>
              <w:left w:val="single" w:color="000000" w:sz="8" w:space="0"/>
              <w:bottom w:val="single" w:color="000000" w:sz="8" w:space="0"/>
              <w:right w:val="single" w:color="000000" w:sz="8" w:space="0"/>
            </w:tcBorders>
            <w:shd w:val="clear" w:color="auto" w:fill="auto"/>
            <w:vAlign w:val="center"/>
          </w:tcPr>
          <w:p w14:paraId="2444347A">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i w:val="0"/>
                <w:iCs w:val="0"/>
                <w:color w:val="000000"/>
                <w:sz w:val="21"/>
                <w:szCs w:val="21"/>
                <w:u w:val="none"/>
              </w:rPr>
            </w:pPr>
          </w:p>
        </w:tc>
        <w:tc>
          <w:tcPr>
            <w:tcW w:w="357" w:type="pct"/>
            <w:vMerge w:val="continue"/>
            <w:tcBorders>
              <w:top w:val="nil"/>
              <w:left w:val="nil"/>
              <w:bottom w:val="single" w:color="000000" w:sz="8" w:space="0"/>
              <w:right w:val="single" w:color="000000" w:sz="8" w:space="0"/>
            </w:tcBorders>
            <w:shd w:val="clear" w:color="auto" w:fill="auto"/>
            <w:vAlign w:val="center"/>
          </w:tcPr>
          <w:p w14:paraId="633FDF15">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vMerge w:val="restart"/>
            <w:tcBorders>
              <w:top w:val="nil"/>
              <w:left w:val="nil"/>
              <w:bottom w:val="nil"/>
              <w:right w:val="single" w:color="000000" w:sz="8" w:space="0"/>
            </w:tcBorders>
            <w:shd w:val="clear" w:color="auto" w:fill="auto"/>
            <w:vAlign w:val="center"/>
          </w:tcPr>
          <w:p w14:paraId="0DDA0E0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合计</w:t>
            </w:r>
          </w:p>
        </w:tc>
        <w:tc>
          <w:tcPr>
            <w:tcW w:w="357" w:type="pct"/>
            <w:tcBorders>
              <w:top w:val="nil"/>
              <w:left w:val="nil"/>
              <w:bottom w:val="single" w:color="000000" w:sz="8" w:space="0"/>
              <w:right w:val="single" w:color="000000" w:sz="8" w:space="0"/>
            </w:tcBorders>
            <w:shd w:val="clear" w:color="auto" w:fill="auto"/>
            <w:vAlign w:val="center"/>
          </w:tcPr>
          <w:p w14:paraId="1DB930A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小计</w:t>
            </w:r>
          </w:p>
        </w:tc>
        <w:tc>
          <w:tcPr>
            <w:tcW w:w="357" w:type="pct"/>
            <w:tcBorders>
              <w:top w:val="nil"/>
              <w:left w:val="nil"/>
              <w:bottom w:val="single" w:color="000000" w:sz="8" w:space="0"/>
              <w:right w:val="single" w:color="000000" w:sz="8" w:space="0"/>
            </w:tcBorders>
            <w:shd w:val="clear" w:color="auto" w:fill="auto"/>
            <w:vAlign w:val="center"/>
          </w:tcPr>
          <w:p w14:paraId="400D7AA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11043.4</w:t>
            </w:r>
          </w:p>
        </w:tc>
        <w:tc>
          <w:tcPr>
            <w:tcW w:w="357" w:type="pct"/>
            <w:tcBorders>
              <w:top w:val="nil"/>
              <w:left w:val="nil"/>
              <w:bottom w:val="single" w:color="000000" w:sz="8" w:space="0"/>
              <w:right w:val="single" w:color="000000" w:sz="8" w:space="0"/>
            </w:tcBorders>
            <w:shd w:val="clear" w:color="auto" w:fill="auto"/>
            <w:vAlign w:val="center"/>
          </w:tcPr>
          <w:p w14:paraId="20D0B8A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6976.37</w:t>
            </w:r>
          </w:p>
        </w:tc>
        <w:tc>
          <w:tcPr>
            <w:tcW w:w="357" w:type="pct"/>
            <w:tcBorders>
              <w:top w:val="nil"/>
              <w:left w:val="nil"/>
              <w:bottom w:val="single" w:color="000000" w:sz="8" w:space="0"/>
              <w:right w:val="single" w:color="000000" w:sz="8" w:space="0"/>
            </w:tcBorders>
            <w:shd w:val="clear" w:color="auto" w:fill="auto"/>
            <w:vAlign w:val="center"/>
          </w:tcPr>
          <w:p w14:paraId="4199825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3928.99</w:t>
            </w:r>
          </w:p>
        </w:tc>
        <w:tc>
          <w:tcPr>
            <w:tcW w:w="357" w:type="pct"/>
            <w:tcBorders>
              <w:top w:val="nil"/>
              <w:left w:val="nil"/>
              <w:bottom w:val="single" w:color="000000" w:sz="8" w:space="0"/>
              <w:right w:val="single" w:color="000000" w:sz="8" w:space="0"/>
            </w:tcBorders>
            <w:shd w:val="clear" w:color="auto" w:fill="auto"/>
            <w:vAlign w:val="center"/>
          </w:tcPr>
          <w:p w14:paraId="618623E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131.66</w:t>
            </w:r>
          </w:p>
        </w:tc>
        <w:tc>
          <w:tcPr>
            <w:tcW w:w="357" w:type="pct"/>
            <w:tcBorders>
              <w:top w:val="nil"/>
              <w:left w:val="nil"/>
              <w:bottom w:val="single" w:color="000000" w:sz="8" w:space="0"/>
              <w:right w:val="single" w:color="000000" w:sz="8" w:space="0"/>
            </w:tcBorders>
            <w:shd w:val="clear" w:color="auto" w:fill="auto"/>
            <w:vAlign w:val="center"/>
          </w:tcPr>
          <w:p w14:paraId="55F350C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6.39</w:t>
            </w:r>
          </w:p>
        </w:tc>
        <w:tc>
          <w:tcPr>
            <w:tcW w:w="357" w:type="pct"/>
            <w:tcBorders>
              <w:top w:val="nil"/>
              <w:left w:val="nil"/>
              <w:bottom w:val="single" w:color="000000" w:sz="8" w:space="0"/>
              <w:right w:val="single" w:color="000000" w:sz="8" w:space="0"/>
            </w:tcBorders>
            <w:shd w:val="clear" w:color="auto" w:fill="auto"/>
            <w:vAlign w:val="center"/>
          </w:tcPr>
          <w:p w14:paraId="6C4EF42A">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5CA40019">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6CA4EF0A">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0718BAF2">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1EB96AE7">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r>
      <w:tr w14:paraId="2292A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357" w:type="pct"/>
            <w:vMerge w:val="continue"/>
            <w:tcBorders>
              <w:top w:val="nil"/>
              <w:left w:val="single" w:color="000000" w:sz="8" w:space="0"/>
              <w:bottom w:val="single" w:color="000000" w:sz="8" w:space="0"/>
              <w:right w:val="single" w:color="000000" w:sz="8" w:space="0"/>
            </w:tcBorders>
            <w:shd w:val="clear" w:color="auto" w:fill="auto"/>
            <w:vAlign w:val="center"/>
          </w:tcPr>
          <w:p w14:paraId="388F00B2">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i w:val="0"/>
                <w:iCs w:val="0"/>
                <w:color w:val="000000"/>
                <w:sz w:val="21"/>
                <w:szCs w:val="21"/>
                <w:u w:val="none"/>
              </w:rPr>
            </w:pPr>
          </w:p>
        </w:tc>
        <w:tc>
          <w:tcPr>
            <w:tcW w:w="357" w:type="pct"/>
            <w:vMerge w:val="continue"/>
            <w:tcBorders>
              <w:top w:val="nil"/>
              <w:left w:val="nil"/>
              <w:bottom w:val="single" w:color="000000" w:sz="8" w:space="0"/>
              <w:right w:val="single" w:color="000000" w:sz="8" w:space="0"/>
            </w:tcBorders>
            <w:shd w:val="clear" w:color="auto" w:fill="auto"/>
            <w:vAlign w:val="center"/>
          </w:tcPr>
          <w:p w14:paraId="1D6E4A85">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vMerge w:val="continue"/>
            <w:tcBorders>
              <w:top w:val="nil"/>
              <w:left w:val="nil"/>
              <w:bottom w:val="nil"/>
              <w:right w:val="single" w:color="000000" w:sz="8" w:space="0"/>
            </w:tcBorders>
            <w:shd w:val="clear" w:color="auto" w:fill="auto"/>
            <w:vAlign w:val="center"/>
          </w:tcPr>
          <w:p w14:paraId="7D94E26E">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61D9761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公益林</w:t>
            </w:r>
          </w:p>
        </w:tc>
        <w:tc>
          <w:tcPr>
            <w:tcW w:w="357" w:type="pct"/>
            <w:tcBorders>
              <w:top w:val="nil"/>
              <w:left w:val="nil"/>
              <w:bottom w:val="single" w:color="000000" w:sz="8" w:space="0"/>
              <w:right w:val="single" w:color="000000" w:sz="8" w:space="0"/>
            </w:tcBorders>
            <w:shd w:val="clear" w:color="auto" w:fill="auto"/>
            <w:vAlign w:val="center"/>
          </w:tcPr>
          <w:p w14:paraId="3BDF325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snapToGrid w:val="0"/>
                <w:color w:val="000000"/>
                <w:kern w:val="0"/>
                <w:sz w:val="21"/>
                <w:szCs w:val="21"/>
                <w:u w:val="none"/>
                <w:lang w:val="en-US" w:eastAsia="zh-CN" w:bidi="ar"/>
              </w:rPr>
              <w:t>11043.4</w:t>
            </w:r>
          </w:p>
        </w:tc>
        <w:tc>
          <w:tcPr>
            <w:tcW w:w="357" w:type="pct"/>
            <w:tcBorders>
              <w:top w:val="nil"/>
              <w:left w:val="nil"/>
              <w:bottom w:val="single" w:color="000000" w:sz="8" w:space="0"/>
              <w:right w:val="single" w:color="000000" w:sz="8" w:space="0"/>
            </w:tcBorders>
            <w:shd w:val="clear" w:color="auto" w:fill="auto"/>
            <w:vAlign w:val="center"/>
          </w:tcPr>
          <w:p w14:paraId="4828764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6976.37</w:t>
            </w:r>
          </w:p>
        </w:tc>
        <w:tc>
          <w:tcPr>
            <w:tcW w:w="357" w:type="pct"/>
            <w:tcBorders>
              <w:top w:val="nil"/>
              <w:left w:val="nil"/>
              <w:bottom w:val="single" w:color="000000" w:sz="8" w:space="0"/>
              <w:right w:val="single" w:color="000000" w:sz="8" w:space="0"/>
            </w:tcBorders>
            <w:shd w:val="clear" w:color="auto" w:fill="auto"/>
            <w:vAlign w:val="center"/>
          </w:tcPr>
          <w:p w14:paraId="4F57A15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3928.99</w:t>
            </w:r>
          </w:p>
        </w:tc>
        <w:tc>
          <w:tcPr>
            <w:tcW w:w="357" w:type="pct"/>
            <w:tcBorders>
              <w:top w:val="nil"/>
              <w:left w:val="nil"/>
              <w:bottom w:val="single" w:color="000000" w:sz="8" w:space="0"/>
              <w:right w:val="single" w:color="000000" w:sz="8" w:space="0"/>
            </w:tcBorders>
            <w:shd w:val="clear" w:color="auto" w:fill="auto"/>
            <w:vAlign w:val="center"/>
          </w:tcPr>
          <w:p w14:paraId="7288A95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131.66</w:t>
            </w:r>
          </w:p>
        </w:tc>
        <w:tc>
          <w:tcPr>
            <w:tcW w:w="357" w:type="pct"/>
            <w:tcBorders>
              <w:top w:val="nil"/>
              <w:left w:val="nil"/>
              <w:bottom w:val="single" w:color="000000" w:sz="8" w:space="0"/>
              <w:right w:val="single" w:color="000000" w:sz="8" w:space="0"/>
            </w:tcBorders>
            <w:shd w:val="clear" w:color="auto" w:fill="auto"/>
            <w:vAlign w:val="center"/>
          </w:tcPr>
          <w:p w14:paraId="17F320A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6.39</w:t>
            </w:r>
          </w:p>
        </w:tc>
        <w:tc>
          <w:tcPr>
            <w:tcW w:w="357" w:type="pct"/>
            <w:tcBorders>
              <w:top w:val="nil"/>
              <w:left w:val="nil"/>
              <w:bottom w:val="single" w:color="000000" w:sz="8" w:space="0"/>
              <w:right w:val="single" w:color="000000" w:sz="8" w:space="0"/>
            </w:tcBorders>
            <w:shd w:val="clear" w:color="auto" w:fill="auto"/>
            <w:vAlign w:val="center"/>
          </w:tcPr>
          <w:p w14:paraId="659BD94B">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4CE743AF">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48DEC416">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7559073B">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43CA6197">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r>
      <w:tr w14:paraId="45CF2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357" w:type="pct"/>
            <w:vMerge w:val="continue"/>
            <w:tcBorders>
              <w:top w:val="nil"/>
              <w:left w:val="single" w:color="000000" w:sz="8" w:space="0"/>
              <w:bottom w:val="single" w:color="000000" w:sz="8" w:space="0"/>
              <w:right w:val="single" w:color="000000" w:sz="8" w:space="0"/>
            </w:tcBorders>
            <w:shd w:val="clear" w:color="auto" w:fill="auto"/>
            <w:vAlign w:val="center"/>
          </w:tcPr>
          <w:p w14:paraId="40E8776F">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i w:val="0"/>
                <w:iCs w:val="0"/>
                <w:color w:val="000000"/>
                <w:sz w:val="21"/>
                <w:szCs w:val="21"/>
                <w:u w:val="none"/>
              </w:rPr>
            </w:pPr>
          </w:p>
        </w:tc>
        <w:tc>
          <w:tcPr>
            <w:tcW w:w="357" w:type="pct"/>
            <w:vMerge w:val="continue"/>
            <w:tcBorders>
              <w:top w:val="nil"/>
              <w:left w:val="nil"/>
              <w:bottom w:val="single" w:color="000000" w:sz="8" w:space="0"/>
              <w:right w:val="single" w:color="000000" w:sz="8" w:space="0"/>
            </w:tcBorders>
            <w:shd w:val="clear" w:color="auto" w:fill="auto"/>
            <w:vAlign w:val="center"/>
          </w:tcPr>
          <w:p w14:paraId="48FF9584">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vMerge w:val="continue"/>
            <w:tcBorders>
              <w:top w:val="nil"/>
              <w:left w:val="nil"/>
              <w:bottom w:val="nil"/>
              <w:right w:val="single" w:color="000000" w:sz="8" w:space="0"/>
            </w:tcBorders>
            <w:shd w:val="clear" w:color="auto" w:fill="auto"/>
            <w:vAlign w:val="center"/>
          </w:tcPr>
          <w:p w14:paraId="7ED202FB">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56EDA30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商品林</w:t>
            </w:r>
          </w:p>
        </w:tc>
        <w:tc>
          <w:tcPr>
            <w:tcW w:w="357" w:type="pct"/>
            <w:tcBorders>
              <w:top w:val="nil"/>
              <w:left w:val="nil"/>
              <w:bottom w:val="single" w:color="000000" w:sz="8" w:space="0"/>
              <w:right w:val="single" w:color="000000" w:sz="8" w:space="0"/>
            </w:tcBorders>
            <w:shd w:val="clear" w:color="auto" w:fill="auto"/>
            <w:vAlign w:val="center"/>
          </w:tcPr>
          <w:p w14:paraId="271A1FC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79BAEA6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63AB174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6C29B93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3D87E04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0A639AA8">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517F8BC1">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000B5F26">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633B476C">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201E4097">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r>
      <w:tr w14:paraId="22849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357" w:type="pct"/>
            <w:vMerge w:val="continue"/>
            <w:tcBorders>
              <w:top w:val="nil"/>
              <w:left w:val="single" w:color="000000" w:sz="8" w:space="0"/>
              <w:bottom w:val="single" w:color="000000" w:sz="8" w:space="0"/>
              <w:right w:val="single" w:color="000000" w:sz="8" w:space="0"/>
            </w:tcBorders>
            <w:shd w:val="clear" w:color="auto" w:fill="auto"/>
            <w:vAlign w:val="center"/>
          </w:tcPr>
          <w:p w14:paraId="4250E3DD">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i w:val="0"/>
                <w:iCs w:val="0"/>
                <w:color w:val="000000"/>
                <w:sz w:val="21"/>
                <w:szCs w:val="21"/>
                <w:u w:val="none"/>
              </w:rPr>
            </w:pPr>
          </w:p>
        </w:tc>
        <w:tc>
          <w:tcPr>
            <w:tcW w:w="357" w:type="pct"/>
            <w:vMerge w:val="continue"/>
            <w:tcBorders>
              <w:top w:val="nil"/>
              <w:left w:val="nil"/>
              <w:bottom w:val="single" w:color="000000" w:sz="8" w:space="0"/>
              <w:right w:val="single" w:color="000000" w:sz="8" w:space="0"/>
            </w:tcBorders>
            <w:shd w:val="clear" w:color="auto" w:fill="auto"/>
            <w:vAlign w:val="center"/>
          </w:tcPr>
          <w:p w14:paraId="6D0F9AA6">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vMerge w:val="restart"/>
            <w:tcBorders>
              <w:top w:val="single" w:color="000000" w:sz="8" w:space="0"/>
              <w:left w:val="nil"/>
              <w:bottom w:val="single" w:color="000000" w:sz="8" w:space="0"/>
              <w:right w:val="single" w:color="000000" w:sz="8" w:space="0"/>
            </w:tcBorders>
            <w:shd w:val="clear" w:color="auto" w:fill="auto"/>
            <w:vAlign w:val="center"/>
          </w:tcPr>
          <w:p w14:paraId="50D37F3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国有</w:t>
            </w:r>
          </w:p>
        </w:tc>
        <w:tc>
          <w:tcPr>
            <w:tcW w:w="357" w:type="pct"/>
            <w:tcBorders>
              <w:top w:val="nil"/>
              <w:left w:val="nil"/>
              <w:bottom w:val="single" w:color="000000" w:sz="8" w:space="0"/>
              <w:right w:val="single" w:color="000000" w:sz="8" w:space="0"/>
            </w:tcBorders>
            <w:shd w:val="clear" w:color="auto" w:fill="auto"/>
            <w:vAlign w:val="center"/>
          </w:tcPr>
          <w:p w14:paraId="2CABB7C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小计</w:t>
            </w:r>
          </w:p>
        </w:tc>
        <w:tc>
          <w:tcPr>
            <w:tcW w:w="357" w:type="pct"/>
            <w:tcBorders>
              <w:top w:val="nil"/>
              <w:left w:val="nil"/>
              <w:bottom w:val="single" w:color="000000" w:sz="8" w:space="0"/>
              <w:right w:val="single" w:color="000000" w:sz="8" w:space="0"/>
            </w:tcBorders>
            <w:shd w:val="clear" w:color="auto" w:fill="auto"/>
            <w:vAlign w:val="center"/>
          </w:tcPr>
          <w:p w14:paraId="26FDE75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11043.41</w:t>
            </w:r>
          </w:p>
        </w:tc>
        <w:tc>
          <w:tcPr>
            <w:tcW w:w="357" w:type="pct"/>
            <w:tcBorders>
              <w:top w:val="nil"/>
              <w:left w:val="nil"/>
              <w:bottom w:val="single" w:color="000000" w:sz="8" w:space="0"/>
              <w:right w:val="single" w:color="000000" w:sz="8" w:space="0"/>
            </w:tcBorders>
            <w:shd w:val="clear" w:color="auto" w:fill="auto"/>
            <w:vAlign w:val="center"/>
          </w:tcPr>
          <w:p w14:paraId="1B31A44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6976.36</w:t>
            </w:r>
          </w:p>
        </w:tc>
        <w:tc>
          <w:tcPr>
            <w:tcW w:w="357" w:type="pct"/>
            <w:tcBorders>
              <w:top w:val="nil"/>
              <w:left w:val="nil"/>
              <w:bottom w:val="single" w:color="000000" w:sz="8" w:space="0"/>
              <w:right w:val="single" w:color="000000" w:sz="8" w:space="0"/>
            </w:tcBorders>
            <w:shd w:val="clear" w:color="auto" w:fill="auto"/>
            <w:vAlign w:val="center"/>
          </w:tcPr>
          <w:p w14:paraId="6A5435C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3929</w:t>
            </w:r>
          </w:p>
        </w:tc>
        <w:tc>
          <w:tcPr>
            <w:tcW w:w="357" w:type="pct"/>
            <w:tcBorders>
              <w:top w:val="nil"/>
              <w:left w:val="nil"/>
              <w:bottom w:val="single" w:color="000000" w:sz="8" w:space="0"/>
              <w:right w:val="single" w:color="000000" w:sz="8" w:space="0"/>
            </w:tcBorders>
            <w:shd w:val="clear" w:color="auto" w:fill="auto"/>
            <w:vAlign w:val="center"/>
          </w:tcPr>
          <w:p w14:paraId="576FA27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131.66</w:t>
            </w:r>
          </w:p>
        </w:tc>
        <w:tc>
          <w:tcPr>
            <w:tcW w:w="357" w:type="pct"/>
            <w:tcBorders>
              <w:top w:val="nil"/>
              <w:left w:val="nil"/>
              <w:bottom w:val="single" w:color="000000" w:sz="8" w:space="0"/>
              <w:right w:val="single" w:color="000000" w:sz="8" w:space="0"/>
            </w:tcBorders>
            <w:shd w:val="clear" w:color="auto" w:fill="auto"/>
            <w:vAlign w:val="center"/>
          </w:tcPr>
          <w:p w14:paraId="200B582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6.39</w:t>
            </w:r>
          </w:p>
        </w:tc>
        <w:tc>
          <w:tcPr>
            <w:tcW w:w="357" w:type="pct"/>
            <w:tcBorders>
              <w:top w:val="nil"/>
              <w:left w:val="nil"/>
              <w:bottom w:val="single" w:color="000000" w:sz="8" w:space="0"/>
              <w:right w:val="single" w:color="000000" w:sz="8" w:space="0"/>
            </w:tcBorders>
            <w:shd w:val="clear" w:color="auto" w:fill="auto"/>
            <w:vAlign w:val="center"/>
          </w:tcPr>
          <w:p w14:paraId="21961255">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7327A7FE">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3700CCD7">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661EA5A3">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381ECDA3">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r>
      <w:tr w14:paraId="54162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357" w:type="pct"/>
            <w:vMerge w:val="continue"/>
            <w:tcBorders>
              <w:top w:val="nil"/>
              <w:left w:val="single" w:color="000000" w:sz="8" w:space="0"/>
              <w:bottom w:val="single" w:color="000000" w:sz="8" w:space="0"/>
              <w:right w:val="single" w:color="000000" w:sz="8" w:space="0"/>
            </w:tcBorders>
            <w:shd w:val="clear" w:color="auto" w:fill="auto"/>
            <w:vAlign w:val="center"/>
          </w:tcPr>
          <w:p w14:paraId="1A0C0D01">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i w:val="0"/>
                <w:iCs w:val="0"/>
                <w:color w:val="000000"/>
                <w:sz w:val="21"/>
                <w:szCs w:val="21"/>
                <w:u w:val="none"/>
              </w:rPr>
            </w:pPr>
          </w:p>
        </w:tc>
        <w:tc>
          <w:tcPr>
            <w:tcW w:w="357" w:type="pct"/>
            <w:vMerge w:val="continue"/>
            <w:tcBorders>
              <w:top w:val="nil"/>
              <w:left w:val="nil"/>
              <w:bottom w:val="single" w:color="000000" w:sz="8" w:space="0"/>
              <w:right w:val="single" w:color="000000" w:sz="8" w:space="0"/>
            </w:tcBorders>
            <w:shd w:val="clear" w:color="auto" w:fill="auto"/>
            <w:vAlign w:val="center"/>
          </w:tcPr>
          <w:p w14:paraId="3F38A82C">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vMerge w:val="continue"/>
            <w:tcBorders>
              <w:top w:val="single" w:color="000000" w:sz="8" w:space="0"/>
              <w:left w:val="nil"/>
              <w:bottom w:val="single" w:color="000000" w:sz="8" w:space="0"/>
              <w:right w:val="single" w:color="000000" w:sz="8" w:space="0"/>
            </w:tcBorders>
            <w:shd w:val="clear" w:color="auto" w:fill="auto"/>
            <w:vAlign w:val="center"/>
          </w:tcPr>
          <w:p w14:paraId="37CEF958">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6FE3E2E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公益林</w:t>
            </w:r>
          </w:p>
        </w:tc>
        <w:tc>
          <w:tcPr>
            <w:tcW w:w="357" w:type="pct"/>
            <w:tcBorders>
              <w:top w:val="nil"/>
              <w:left w:val="nil"/>
              <w:bottom w:val="single" w:color="000000" w:sz="8" w:space="0"/>
              <w:right w:val="single" w:color="000000" w:sz="8" w:space="0"/>
            </w:tcBorders>
            <w:shd w:val="clear" w:color="auto" w:fill="auto"/>
            <w:vAlign w:val="center"/>
          </w:tcPr>
          <w:p w14:paraId="5523244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11043.41</w:t>
            </w:r>
          </w:p>
        </w:tc>
        <w:tc>
          <w:tcPr>
            <w:tcW w:w="357" w:type="pct"/>
            <w:tcBorders>
              <w:top w:val="nil"/>
              <w:left w:val="nil"/>
              <w:bottom w:val="single" w:color="000000" w:sz="8" w:space="0"/>
              <w:right w:val="single" w:color="000000" w:sz="8" w:space="0"/>
            </w:tcBorders>
            <w:shd w:val="clear" w:color="auto" w:fill="auto"/>
            <w:vAlign w:val="center"/>
          </w:tcPr>
          <w:p w14:paraId="6A5BD03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6976.36</w:t>
            </w:r>
          </w:p>
        </w:tc>
        <w:tc>
          <w:tcPr>
            <w:tcW w:w="357" w:type="pct"/>
            <w:tcBorders>
              <w:top w:val="nil"/>
              <w:left w:val="nil"/>
              <w:bottom w:val="single" w:color="000000" w:sz="8" w:space="0"/>
              <w:right w:val="single" w:color="000000" w:sz="8" w:space="0"/>
            </w:tcBorders>
            <w:shd w:val="clear" w:color="auto" w:fill="auto"/>
            <w:vAlign w:val="center"/>
          </w:tcPr>
          <w:p w14:paraId="5DDAECE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3929</w:t>
            </w:r>
          </w:p>
        </w:tc>
        <w:tc>
          <w:tcPr>
            <w:tcW w:w="357" w:type="pct"/>
            <w:tcBorders>
              <w:top w:val="nil"/>
              <w:left w:val="nil"/>
              <w:bottom w:val="single" w:color="000000" w:sz="8" w:space="0"/>
              <w:right w:val="single" w:color="000000" w:sz="8" w:space="0"/>
            </w:tcBorders>
            <w:shd w:val="clear" w:color="auto" w:fill="auto"/>
            <w:vAlign w:val="center"/>
          </w:tcPr>
          <w:p w14:paraId="4A18A58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131.66</w:t>
            </w:r>
          </w:p>
        </w:tc>
        <w:tc>
          <w:tcPr>
            <w:tcW w:w="357" w:type="pct"/>
            <w:tcBorders>
              <w:top w:val="nil"/>
              <w:left w:val="nil"/>
              <w:bottom w:val="single" w:color="000000" w:sz="8" w:space="0"/>
              <w:right w:val="single" w:color="000000" w:sz="8" w:space="0"/>
            </w:tcBorders>
            <w:shd w:val="clear" w:color="auto" w:fill="auto"/>
            <w:vAlign w:val="center"/>
          </w:tcPr>
          <w:p w14:paraId="2AEEAD1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6.39</w:t>
            </w:r>
          </w:p>
        </w:tc>
        <w:tc>
          <w:tcPr>
            <w:tcW w:w="357" w:type="pct"/>
            <w:tcBorders>
              <w:top w:val="nil"/>
              <w:left w:val="nil"/>
              <w:bottom w:val="single" w:color="000000" w:sz="8" w:space="0"/>
              <w:right w:val="single" w:color="000000" w:sz="8" w:space="0"/>
            </w:tcBorders>
            <w:shd w:val="clear" w:color="auto" w:fill="auto"/>
            <w:vAlign w:val="center"/>
          </w:tcPr>
          <w:p w14:paraId="48393DC8">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11CA861A">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159AB10E">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6664B273">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78B42490">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r>
      <w:tr w14:paraId="616E15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357" w:type="pct"/>
            <w:vMerge w:val="continue"/>
            <w:tcBorders>
              <w:top w:val="nil"/>
              <w:left w:val="single" w:color="000000" w:sz="8" w:space="0"/>
              <w:bottom w:val="single" w:color="000000" w:sz="8" w:space="0"/>
              <w:right w:val="single" w:color="000000" w:sz="8" w:space="0"/>
            </w:tcBorders>
            <w:shd w:val="clear" w:color="auto" w:fill="auto"/>
            <w:vAlign w:val="center"/>
          </w:tcPr>
          <w:p w14:paraId="7EE32007">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i w:val="0"/>
                <w:iCs w:val="0"/>
                <w:color w:val="000000"/>
                <w:sz w:val="21"/>
                <w:szCs w:val="21"/>
                <w:u w:val="none"/>
              </w:rPr>
            </w:pPr>
          </w:p>
        </w:tc>
        <w:tc>
          <w:tcPr>
            <w:tcW w:w="357" w:type="pct"/>
            <w:vMerge w:val="continue"/>
            <w:tcBorders>
              <w:top w:val="nil"/>
              <w:left w:val="nil"/>
              <w:bottom w:val="single" w:color="000000" w:sz="8" w:space="0"/>
              <w:right w:val="single" w:color="000000" w:sz="8" w:space="0"/>
            </w:tcBorders>
            <w:shd w:val="clear" w:color="auto" w:fill="auto"/>
            <w:vAlign w:val="center"/>
          </w:tcPr>
          <w:p w14:paraId="75A95850">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vMerge w:val="continue"/>
            <w:tcBorders>
              <w:top w:val="single" w:color="000000" w:sz="8" w:space="0"/>
              <w:left w:val="nil"/>
              <w:bottom w:val="single" w:color="000000" w:sz="8" w:space="0"/>
              <w:right w:val="single" w:color="000000" w:sz="8" w:space="0"/>
            </w:tcBorders>
            <w:shd w:val="clear" w:color="auto" w:fill="auto"/>
            <w:vAlign w:val="center"/>
          </w:tcPr>
          <w:p w14:paraId="6279CE37">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4A19386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商品林</w:t>
            </w:r>
          </w:p>
        </w:tc>
        <w:tc>
          <w:tcPr>
            <w:tcW w:w="357" w:type="pct"/>
            <w:tcBorders>
              <w:top w:val="nil"/>
              <w:left w:val="nil"/>
              <w:bottom w:val="single" w:color="000000" w:sz="8" w:space="0"/>
              <w:right w:val="single" w:color="000000" w:sz="8" w:space="0"/>
            </w:tcBorders>
            <w:shd w:val="clear" w:color="auto" w:fill="auto"/>
            <w:vAlign w:val="center"/>
          </w:tcPr>
          <w:p w14:paraId="5B2BFFB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7DF3717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1D01D4F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1EA323B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4CA2DFD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5A816E50">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12085F7C">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39C08CAB">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4E64DCB0">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25C1A0B3">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r>
    </w:tbl>
    <w:p w14:paraId="579A8005">
      <w:pPr>
        <w:spacing w:line="240" w:lineRule="auto"/>
        <w:ind w:firstLine="0" w:firstLineChars="0"/>
        <w:jc w:val="right"/>
        <w:rPr>
          <w:rFonts w:cs="Times New Roman"/>
          <w:sz w:val="21"/>
        </w:rPr>
      </w:pPr>
    </w:p>
    <w:p w14:paraId="47C7906A">
      <w:pPr>
        <w:pStyle w:val="7"/>
        <w:ind w:firstLine="480"/>
        <w:rPr>
          <w:rFonts w:cs="Times New Roman"/>
        </w:rPr>
      </w:pPr>
    </w:p>
    <w:p w14:paraId="2422B977">
      <w:pPr>
        <w:ind w:firstLine="480"/>
        <w:rPr>
          <w:rFonts w:cs="Times New Roman"/>
        </w:rPr>
        <w:sectPr>
          <w:headerReference r:id="rId16" w:type="default"/>
          <w:footerReference r:id="rId17" w:type="default"/>
          <w:pgSz w:w="16843" w:h="11905" w:orient="landscape"/>
          <w:pgMar w:top="1803" w:right="1440" w:bottom="1406" w:left="1440" w:header="873" w:footer="1276" w:gutter="0"/>
          <w:cols w:space="0" w:num="1"/>
          <w:rtlGutter w:val="0"/>
          <w:docGrid w:linePitch="326" w:charSpace="0"/>
        </w:sectPr>
      </w:pPr>
    </w:p>
    <w:p w14:paraId="59A641AD">
      <w:pPr>
        <w:pStyle w:val="4"/>
      </w:pPr>
      <w:bookmarkStart w:id="18" w:name="_Toc26721"/>
      <w:r>
        <w:t>2.1.2各类森林、林木面积蓄积</w:t>
      </w:r>
      <w:bookmarkEnd w:id="18"/>
    </w:p>
    <w:p w14:paraId="5A3265C9">
      <w:pPr>
        <w:ind w:firstLine="480"/>
        <w:rPr>
          <w:lang w:eastAsia="zh-CN"/>
        </w:rPr>
      </w:pPr>
      <w:r>
        <w:rPr>
          <w:lang w:eastAsia="zh-CN"/>
        </w:rPr>
        <w:t>根据双牌县阳明山国有林场各类森林面积、蓄积的调查结果，林场森林面积合计</w:t>
      </w:r>
      <w:r>
        <w:rPr>
          <w:highlight w:val="magenta"/>
          <w:lang w:eastAsia="zh-CN"/>
        </w:rPr>
        <w:t>林地面积是</w:t>
      </w:r>
      <w:r>
        <w:rPr>
          <w:rFonts w:hint="eastAsia"/>
          <w:highlight w:val="magenta"/>
          <w:lang w:val="en-US" w:eastAsia="zh-CN"/>
        </w:rPr>
        <w:t>7699.17</w:t>
      </w:r>
      <w:r>
        <w:rPr>
          <w:rFonts w:hint="eastAsia"/>
          <w:highlight w:val="magenta"/>
          <w:lang w:val="zh-CN" w:eastAsia="zh-CN"/>
        </w:rPr>
        <w:t>hm</w:t>
      </w:r>
      <w:r>
        <w:rPr>
          <w:rFonts w:hint="eastAsia"/>
          <w:highlight w:val="magenta"/>
          <w:vertAlign w:val="superscript"/>
          <w:lang w:val="zh-CN" w:eastAsia="zh-CN"/>
        </w:rPr>
        <w:t>2</w:t>
      </w:r>
      <w:r>
        <w:rPr>
          <w:lang w:eastAsia="zh-CN"/>
        </w:rPr>
        <w:t>，</w:t>
      </w:r>
      <w:r>
        <w:rPr>
          <w:rFonts w:hint="eastAsia" w:cs="Times New Roman"/>
          <w:szCs w:val="24"/>
          <w:highlight w:val="magenta"/>
          <w:lang w:eastAsia="zh-CN"/>
        </w:rPr>
        <w:t>乔木林地</w:t>
      </w:r>
      <w:r>
        <w:rPr>
          <w:rFonts w:cs="Times New Roman"/>
          <w:szCs w:val="24"/>
          <w:highlight w:val="magenta"/>
          <w:lang w:eastAsia="zh-CN"/>
        </w:rPr>
        <w:t>面积</w:t>
      </w:r>
      <w:r>
        <w:rPr>
          <w:rFonts w:hint="eastAsia" w:cs="Times New Roman"/>
          <w:szCs w:val="24"/>
          <w:highlight w:val="magenta"/>
          <w:lang w:val="en-US" w:eastAsia="zh-CN"/>
        </w:rPr>
        <w:t>45</w:t>
      </w:r>
      <w:r>
        <w:rPr>
          <w:rFonts w:hint="eastAsia" w:cs="Times New Roman"/>
          <w:szCs w:val="24"/>
          <w:highlight w:val="magenta"/>
          <w:lang w:eastAsia="zh-CN"/>
        </w:rPr>
        <w:t>76.37</w:t>
      </w:r>
      <w:r>
        <w:rPr>
          <w:rFonts w:hint="eastAsia" w:cs="Times New Roman"/>
          <w:szCs w:val="24"/>
          <w:highlight w:val="magenta"/>
          <w:lang w:val="zh-CN" w:eastAsia="zh-CN"/>
        </w:rPr>
        <w:t>hm</w:t>
      </w:r>
      <w:r>
        <w:rPr>
          <w:rFonts w:hint="eastAsia" w:cs="Times New Roman"/>
          <w:szCs w:val="24"/>
          <w:highlight w:val="magenta"/>
          <w:vertAlign w:val="superscript"/>
          <w:lang w:val="zh-CN" w:eastAsia="zh-CN"/>
        </w:rPr>
        <w:t>2</w:t>
      </w:r>
      <w:r>
        <w:rPr>
          <w:rFonts w:cs="Times New Roman"/>
          <w:szCs w:val="24"/>
          <w:highlight w:val="magenta"/>
          <w:lang w:eastAsia="zh-CN"/>
        </w:rPr>
        <w:t>，</w:t>
      </w:r>
      <w:r>
        <w:rPr>
          <w:rFonts w:hint="eastAsia" w:cs="Times New Roman"/>
          <w:szCs w:val="24"/>
          <w:highlight w:val="magenta"/>
          <w:lang w:eastAsia="zh-CN"/>
        </w:rPr>
        <w:t>竹林地面积3</w:t>
      </w:r>
      <w:r>
        <w:rPr>
          <w:rFonts w:hint="eastAsia" w:cs="Times New Roman"/>
          <w:szCs w:val="24"/>
          <w:highlight w:val="magenta"/>
          <w:lang w:val="en-US" w:eastAsia="zh-CN"/>
        </w:rPr>
        <w:t>0</w:t>
      </w:r>
      <w:r>
        <w:rPr>
          <w:rFonts w:hint="eastAsia" w:cs="Times New Roman"/>
          <w:szCs w:val="24"/>
          <w:highlight w:val="magenta"/>
          <w:lang w:eastAsia="zh-CN"/>
        </w:rPr>
        <w:t>28.99</w:t>
      </w:r>
      <w:r>
        <w:rPr>
          <w:rFonts w:hint="eastAsia" w:cs="Times New Roman"/>
          <w:szCs w:val="24"/>
          <w:highlight w:val="magenta"/>
          <w:lang w:val="zh-CN" w:eastAsia="zh-CN"/>
        </w:rPr>
        <w:t>hm</w:t>
      </w:r>
      <w:r>
        <w:rPr>
          <w:rFonts w:hint="eastAsia" w:cs="Times New Roman"/>
          <w:szCs w:val="24"/>
          <w:highlight w:val="magenta"/>
          <w:vertAlign w:val="superscript"/>
          <w:lang w:val="zh-CN" w:eastAsia="zh-CN"/>
        </w:rPr>
        <w:t>2</w:t>
      </w:r>
      <w:r>
        <w:rPr>
          <w:rFonts w:hint="eastAsia" w:cs="Times New Roman"/>
          <w:szCs w:val="24"/>
          <w:highlight w:val="magenta"/>
          <w:lang w:eastAsia="zh-CN"/>
        </w:rPr>
        <w:t>，</w:t>
      </w:r>
      <w:r>
        <w:rPr>
          <w:lang w:eastAsia="zh-CN"/>
        </w:rPr>
        <w:t>该林场蓄积合</w:t>
      </w:r>
      <w:r>
        <w:rPr>
          <w:highlight w:val="magenta"/>
          <w:lang w:eastAsia="zh-CN"/>
        </w:rPr>
        <w:t>计</w:t>
      </w:r>
      <w:r>
        <w:rPr>
          <w:rFonts w:hint="eastAsia"/>
          <w:highlight w:val="magenta"/>
          <w:lang w:val="en-US" w:eastAsia="zh-CN"/>
        </w:rPr>
        <w:t>581964</w:t>
      </w:r>
      <w:r>
        <w:rPr>
          <w:highlight w:val="magenta"/>
          <w:lang w:eastAsia="zh-CN"/>
        </w:rPr>
        <w:t>m</w:t>
      </w:r>
      <w:r>
        <w:rPr>
          <w:highlight w:val="magenta"/>
          <w:vertAlign w:val="superscript"/>
          <w:lang w:eastAsia="zh-CN"/>
        </w:rPr>
        <w:t>3</w:t>
      </w:r>
      <w:r>
        <w:rPr>
          <w:lang w:eastAsia="zh-CN"/>
        </w:rPr>
        <w:t>，全部为乔木林蓄积。详见表2-2。</w:t>
      </w:r>
    </w:p>
    <w:p w14:paraId="5A77A4FD">
      <w:pPr>
        <w:spacing w:line="240" w:lineRule="auto"/>
        <w:ind w:firstLine="0" w:firstLineChars="0"/>
        <w:jc w:val="center"/>
        <w:rPr>
          <w:rFonts w:eastAsia="黑体" w:cs="Times New Roman"/>
          <w:b/>
          <w:bCs/>
          <w:szCs w:val="24"/>
          <w:lang w:eastAsia="zh-CN"/>
        </w:rPr>
      </w:pPr>
      <w:r>
        <w:rPr>
          <w:rFonts w:eastAsia="黑体" w:cs="Times New Roman"/>
          <w:b/>
          <w:bCs/>
          <w:szCs w:val="24"/>
          <w:lang w:eastAsia="zh-CN"/>
        </w:rPr>
        <w:t>表2-2双牌县阳明山国有林场各类森林面积、蓄积统计表</w:t>
      </w:r>
    </w:p>
    <w:p w14:paraId="3B015700">
      <w:pPr>
        <w:spacing w:line="240" w:lineRule="auto"/>
        <w:ind w:firstLine="0" w:firstLineChars="0"/>
        <w:jc w:val="right"/>
        <w:rPr>
          <w:rFonts w:eastAsia="仿宋" w:cs="Times New Roman"/>
          <w:sz w:val="21"/>
        </w:rPr>
      </w:pPr>
      <w:r>
        <w:rPr>
          <w:rFonts w:cs="Times New Roman"/>
          <w:sz w:val="21"/>
        </w:rPr>
        <w:t>单位：</w:t>
      </w:r>
      <w:r>
        <w:rPr>
          <w:rFonts w:cs="Times New Roman"/>
          <w:sz w:val="21"/>
          <w:lang w:eastAsia="zh-CN"/>
        </w:rPr>
        <w:t>hm</w:t>
      </w:r>
      <w:r>
        <w:rPr>
          <w:rFonts w:cs="Times New Roman"/>
          <w:sz w:val="21"/>
          <w:vertAlign w:val="superscript"/>
          <w:lang w:eastAsia="zh-CN"/>
        </w:rPr>
        <w:t>2</w:t>
      </w:r>
      <w:r>
        <w:rPr>
          <w:rFonts w:cs="Times New Roman"/>
          <w:sz w:val="21"/>
        </w:rPr>
        <w:t>、</w:t>
      </w:r>
      <w:r>
        <w:rPr>
          <w:rFonts w:cs="Times New Roman"/>
          <w:sz w:val="21"/>
          <w:lang w:eastAsia="zh-CN"/>
        </w:rPr>
        <w:t>m</w:t>
      </w:r>
      <w:r>
        <w:rPr>
          <w:rFonts w:cs="Times New Roman"/>
          <w:sz w:val="21"/>
          <w:vertAlign w:val="superscript"/>
          <w:lang w:eastAsia="zh-CN"/>
        </w:rPr>
        <w:t>3</w:t>
      </w:r>
      <w:r>
        <w:rPr>
          <w:rFonts w:cs="Times New Roman"/>
          <w:sz w:val="21"/>
        </w:rPr>
        <w:t>、万株</w:t>
      </w:r>
    </w:p>
    <w:tbl>
      <w:tblPr>
        <w:tblStyle w:val="21"/>
        <w:tblW w:w="50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40"/>
        <w:gridCol w:w="798"/>
        <w:gridCol w:w="291"/>
        <w:gridCol w:w="798"/>
        <w:gridCol w:w="796"/>
        <w:gridCol w:w="693"/>
        <w:gridCol w:w="797"/>
        <w:gridCol w:w="693"/>
        <w:gridCol w:w="599"/>
        <w:gridCol w:w="431"/>
        <w:gridCol w:w="438"/>
        <w:gridCol w:w="431"/>
        <w:gridCol w:w="438"/>
        <w:gridCol w:w="433"/>
        <w:gridCol w:w="435"/>
      </w:tblGrid>
      <w:tr w14:paraId="7A0BF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7" w:type="pct"/>
            <w:vMerge w:val="restart"/>
            <w:vAlign w:val="center"/>
          </w:tcPr>
          <w:p w14:paraId="3D7373B7">
            <w:pPr>
              <w:spacing w:line="240" w:lineRule="auto"/>
              <w:ind w:firstLine="0" w:firstLineChars="0"/>
              <w:jc w:val="center"/>
              <w:rPr>
                <w:rFonts w:cs="Times New Roman"/>
                <w:sz w:val="21"/>
              </w:rPr>
            </w:pPr>
            <w:r>
              <w:rPr>
                <w:rFonts w:cs="Times New Roman"/>
                <w:sz w:val="21"/>
              </w:rPr>
              <w:t>活立木总蓄积</w:t>
            </w:r>
          </w:p>
        </w:tc>
        <w:tc>
          <w:tcPr>
            <w:tcW w:w="457" w:type="pct"/>
            <w:vMerge w:val="restart"/>
            <w:vAlign w:val="center"/>
          </w:tcPr>
          <w:p w14:paraId="112B0FB8">
            <w:pPr>
              <w:spacing w:line="240" w:lineRule="auto"/>
              <w:ind w:firstLine="0" w:firstLineChars="0"/>
              <w:jc w:val="center"/>
              <w:rPr>
                <w:rFonts w:cs="Times New Roman"/>
                <w:sz w:val="21"/>
              </w:rPr>
            </w:pPr>
            <w:r>
              <w:rPr>
                <w:rFonts w:cs="Times New Roman"/>
                <w:sz w:val="21"/>
              </w:rPr>
              <w:t>面积合计</w:t>
            </w:r>
          </w:p>
        </w:tc>
        <w:tc>
          <w:tcPr>
            <w:tcW w:w="168" w:type="pct"/>
            <w:vMerge w:val="restart"/>
            <w:vAlign w:val="center"/>
          </w:tcPr>
          <w:p w14:paraId="3C06D053">
            <w:pPr>
              <w:spacing w:line="240" w:lineRule="auto"/>
              <w:ind w:firstLine="0" w:firstLineChars="0"/>
              <w:jc w:val="center"/>
              <w:rPr>
                <w:rFonts w:cs="Times New Roman"/>
                <w:sz w:val="21"/>
                <w:lang w:eastAsia="zh-CN"/>
              </w:rPr>
            </w:pPr>
            <w:r>
              <w:rPr>
                <w:rFonts w:cs="Times New Roman"/>
                <w:sz w:val="21"/>
              </w:rPr>
              <w:t>林地使用</w:t>
            </w:r>
            <w:r>
              <w:rPr>
                <w:rFonts w:hint="eastAsia" w:cs="Times New Roman"/>
                <w:sz w:val="21"/>
                <w:lang w:eastAsia="zh-CN"/>
              </w:rPr>
              <w:t>权</w:t>
            </w:r>
          </w:p>
        </w:tc>
        <w:tc>
          <w:tcPr>
            <w:tcW w:w="2506" w:type="pct"/>
            <w:gridSpan w:val="6"/>
            <w:vAlign w:val="center"/>
          </w:tcPr>
          <w:p w14:paraId="6C72C8C1">
            <w:pPr>
              <w:spacing w:line="240" w:lineRule="auto"/>
              <w:ind w:firstLine="0" w:firstLineChars="0"/>
              <w:jc w:val="center"/>
              <w:rPr>
                <w:rFonts w:cs="Times New Roman"/>
                <w:sz w:val="21"/>
              </w:rPr>
            </w:pPr>
            <w:r>
              <w:rPr>
                <w:rFonts w:cs="Times New Roman"/>
                <w:sz w:val="21"/>
              </w:rPr>
              <w:t>有林地</w:t>
            </w:r>
          </w:p>
        </w:tc>
        <w:tc>
          <w:tcPr>
            <w:tcW w:w="500" w:type="pct"/>
            <w:gridSpan w:val="2"/>
            <w:vAlign w:val="center"/>
          </w:tcPr>
          <w:p w14:paraId="0A8C94B2">
            <w:pPr>
              <w:spacing w:line="240" w:lineRule="auto"/>
              <w:ind w:firstLine="0" w:firstLineChars="0"/>
              <w:jc w:val="center"/>
              <w:rPr>
                <w:rFonts w:cs="Times New Roman"/>
                <w:sz w:val="21"/>
              </w:rPr>
            </w:pPr>
            <w:r>
              <w:rPr>
                <w:rFonts w:cs="Times New Roman"/>
                <w:sz w:val="21"/>
              </w:rPr>
              <w:t>疏林</w:t>
            </w:r>
          </w:p>
        </w:tc>
        <w:tc>
          <w:tcPr>
            <w:tcW w:w="500" w:type="pct"/>
            <w:gridSpan w:val="2"/>
            <w:vAlign w:val="center"/>
          </w:tcPr>
          <w:p w14:paraId="4E311873">
            <w:pPr>
              <w:spacing w:line="240" w:lineRule="auto"/>
              <w:ind w:firstLine="0" w:firstLineChars="0"/>
              <w:jc w:val="center"/>
              <w:rPr>
                <w:rFonts w:cs="Times New Roman"/>
                <w:sz w:val="21"/>
              </w:rPr>
            </w:pPr>
            <w:r>
              <w:rPr>
                <w:rFonts w:cs="Times New Roman"/>
                <w:sz w:val="21"/>
              </w:rPr>
              <w:t>四旁树</w:t>
            </w:r>
          </w:p>
        </w:tc>
        <w:tc>
          <w:tcPr>
            <w:tcW w:w="499" w:type="pct"/>
            <w:gridSpan w:val="2"/>
            <w:vAlign w:val="center"/>
          </w:tcPr>
          <w:p w14:paraId="4C83DEED">
            <w:pPr>
              <w:spacing w:line="240" w:lineRule="auto"/>
              <w:ind w:firstLine="0" w:firstLineChars="0"/>
              <w:jc w:val="center"/>
              <w:rPr>
                <w:rFonts w:cs="Times New Roman"/>
                <w:sz w:val="21"/>
              </w:rPr>
            </w:pPr>
            <w:r>
              <w:rPr>
                <w:rFonts w:cs="Times New Roman"/>
                <w:sz w:val="21"/>
              </w:rPr>
              <w:t>散生木</w:t>
            </w:r>
          </w:p>
        </w:tc>
      </w:tr>
      <w:tr w14:paraId="169D6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7" w:type="pct"/>
            <w:vMerge w:val="continue"/>
            <w:vAlign w:val="center"/>
          </w:tcPr>
          <w:p w14:paraId="388A30AC">
            <w:pPr>
              <w:spacing w:line="240" w:lineRule="auto"/>
              <w:ind w:firstLine="0" w:firstLineChars="0"/>
              <w:jc w:val="center"/>
              <w:rPr>
                <w:rFonts w:cs="Times New Roman"/>
                <w:sz w:val="21"/>
              </w:rPr>
            </w:pPr>
          </w:p>
        </w:tc>
        <w:tc>
          <w:tcPr>
            <w:tcW w:w="457" w:type="pct"/>
            <w:vMerge w:val="continue"/>
            <w:vAlign w:val="center"/>
          </w:tcPr>
          <w:p w14:paraId="287A0E87">
            <w:pPr>
              <w:spacing w:line="240" w:lineRule="auto"/>
              <w:ind w:firstLine="0" w:firstLineChars="0"/>
              <w:jc w:val="center"/>
              <w:rPr>
                <w:rFonts w:cs="Times New Roman"/>
                <w:sz w:val="21"/>
              </w:rPr>
            </w:pPr>
          </w:p>
        </w:tc>
        <w:tc>
          <w:tcPr>
            <w:tcW w:w="168" w:type="pct"/>
            <w:vMerge w:val="continue"/>
            <w:vAlign w:val="center"/>
          </w:tcPr>
          <w:p w14:paraId="6D8C14ED">
            <w:pPr>
              <w:spacing w:line="240" w:lineRule="auto"/>
              <w:ind w:firstLine="0" w:firstLineChars="0"/>
              <w:jc w:val="center"/>
              <w:rPr>
                <w:rFonts w:cs="Times New Roman"/>
                <w:sz w:val="21"/>
              </w:rPr>
            </w:pPr>
          </w:p>
        </w:tc>
        <w:tc>
          <w:tcPr>
            <w:tcW w:w="915" w:type="pct"/>
            <w:gridSpan w:val="2"/>
            <w:vAlign w:val="center"/>
          </w:tcPr>
          <w:p w14:paraId="320BB7AB">
            <w:pPr>
              <w:spacing w:line="240" w:lineRule="auto"/>
              <w:ind w:firstLine="0" w:firstLineChars="0"/>
              <w:jc w:val="center"/>
              <w:rPr>
                <w:rFonts w:cs="Times New Roman"/>
                <w:sz w:val="21"/>
              </w:rPr>
            </w:pPr>
            <w:r>
              <w:rPr>
                <w:rFonts w:cs="Times New Roman"/>
                <w:sz w:val="21"/>
              </w:rPr>
              <w:t>小计</w:t>
            </w:r>
          </w:p>
        </w:tc>
        <w:tc>
          <w:tcPr>
            <w:tcW w:w="853" w:type="pct"/>
            <w:gridSpan w:val="2"/>
            <w:vAlign w:val="center"/>
          </w:tcPr>
          <w:p w14:paraId="0691E06F">
            <w:pPr>
              <w:spacing w:line="240" w:lineRule="auto"/>
              <w:ind w:firstLine="0" w:firstLineChars="0"/>
              <w:jc w:val="center"/>
              <w:rPr>
                <w:rFonts w:cs="Times New Roman"/>
                <w:sz w:val="21"/>
              </w:rPr>
            </w:pPr>
            <w:r>
              <w:rPr>
                <w:rFonts w:cs="Times New Roman"/>
                <w:sz w:val="21"/>
              </w:rPr>
              <w:t>乔木林</w:t>
            </w:r>
          </w:p>
        </w:tc>
        <w:tc>
          <w:tcPr>
            <w:tcW w:w="737" w:type="pct"/>
            <w:gridSpan w:val="2"/>
            <w:vAlign w:val="center"/>
          </w:tcPr>
          <w:p w14:paraId="255BB67A">
            <w:pPr>
              <w:spacing w:line="240" w:lineRule="auto"/>
              <w:ind w:firstLine="0" w:firstLineChars="0"/>
              <w:jc w:val="center"/>
              <w:rPr>
                <w:rFonts w:cs="Times New Roman"/>
                <w:sz w:val="21"/>
              </w:rPr>
            </w:pPr>
            <w:r>
              <w:rPr>
                <w:rFonts w:cs="Times New Roman"/>
                <w:sz w:val="21"/>
              </w:rPr>
              <w:t>竹林</w:t>
            </w:r>
          </w:p>
        </w:tc>
        <w:tc>
          <w:tcPr>
            <w:tcW w:w="248" w:type="pct"/>
            <w:vMerge w:val="restart"/>
            <w:textDirection w:val="tbRlV"/>
            <w:vAlign w:val="center"/>
          </w:tcPr>
          <w:p w14:paraId="4A7429FB">
            <w:pPr>
              <w:spacing w:line="240" w:lineRule="auto"/>
              <w:ind w:firstLine="0" w:firstLineChars="0"/>
              <w:jc w:val="center"/>
              <w:rPr>
                <w:rFonts w:cs="Times New Roman"/>
                <w:sz w:val="21"/>
              </w:rPr>
            </w:pPr>
            <w:r>
              <w:rPr>
                <w:rFonts w:cs="Times New Roman"/>
                <w:sz w:val="21"/>
              </w:rPr>
              <w:t>面积</w:t>
            </w:r>
          </w:p>
        </w:tc>
        <w:tc>
          <w:tcPr>
            <w:tcW w:w="252" w:type="pct"/>
            <w:vMerge w:val="restart"/>
            <w:textDirection w:val="tbRlV"/>
            <w:vAlign w:val="center"/>
          </w:tcPr>
          <w:p w14:paraId="657B5CD8">
            <w:pPr>
              <w:spacing w:line="240" w:lineRule="auto"/>
              <w:ind w:firstLine="0" w:firstLineChars="0"/>
              <w:jc w:val="center"/>
              <w:rPr>
                <w:rFonts w:cs="Times New Roman"/>
                <w:sz w:val="21"/>
              </w:rPr>
            </w:pPr>
            <w:r>
              <w:rPr>
                <w:rFonts w:cs="Times New Roman"/>
                <w:sz w:val="21"/>
              </w:rPr>
              <w:t>蓄积</w:t>
            </w:r>
          </w:p>
        </w:tc>
        <w:tc>
          <w:tcPr>
            <w:tcW w:w="248" w:type="pct"/>
            <w:vMerge w:val="restart"/>
            <w:textDirection w:val="tbRlV"/>
            <w:vAlign w:val="center"/>
          </w:tcPr>
          <w:p w14:paraId="48A5C26E">
            <w:pPr>
              <w:spacing w:line="240" w:lineRule="auto"/>
              <w:ind w:firstLine="0" w:firstLineChars="0"/>
              <w:jc w:val="center"/>
              <w:rPr>
                <w:rFonts w:cs="Times New Roman"/>
                <w:sz w:val="21"/>
              </w:rPr>
            </w:pPr>
            <w:r>
              <w:rPr>
                <w:rFonts w:cs="Times New Roman"/>
                <w:sz w:val="21"/>
              </w:rPr>
              <w:t>面积</w:t>
            </w:r>
          </w:p>
        </w:tc>
        <w:tc>
          <w:tcPr>
            <w:tcW w:w="252" w:type="pct"/>
            <w:vMerge w:val="restart"/>
            <w:textDirection w:val="tbRlV"/>
            <w:vAlign w:val="center"/>
          </w:tcPr>
          <w:p w14:paraId="1A20C862">
            <w:pPr>
              <w:spacing w:line="240" w:lineRule="auto"/>
              <w:ind w:firstLine="0" w:firstLineChars="0"/>
              <w:jc w:val="center"/>
              <w:rPr>
                <w:rFonts w:cs="Times New Roman"/>
                <w:sz w:val="21"/>
              </w:rPr>
            </w:pPr>
            <w:r>
              <w:rPr>
                <w:rFonts w:cs="Times New Roman"/>
                <w:sz w:val="21"/>
              </w:rPr>
              <w:t>蓄积</w:t>
            </w:r>
          </w:p>
        </w:tc>
        <w:tc>
          <w:tcPr>
            <w:tcW w:w="249" w:type="pct"/>
            <w:vMerge w:val="restart"/>
            <w:textDirection w:val="tbRlV"/>
            <w:vAlign w:val="center"/>
          </w:tcPr>
          <w:p w14:paraId="76B429F2">
            <w:pPr>
              <w:spacing w:line="240" w:lineRule="auto"/>
              <w:ind w:firstLine="0" w:firstLineChars="0"/>
              <w:jc w:val="center"/>
              <w:rPr>
                <w:rFonts w:cs="Times New Roman"/>
                <w:sz w:val="21"/>
              </w:rPr>
            </w:pPr>
            <w:r>
              <w:rPr>
                <w:rFonts w:cs="Times New Roman"/>
                <w:sz w:val="21"/>
              </w:rPr>
              <w:t>面积</w:t>
            </w:r>
          </w:p>
        </w:tc>
        <w:tc>
          <w:tcPr>
            <w:tcW w:w="249" w:type="pct"/>
            <w:vMerge w:val="restart"/>
            <w:textDirection w:val="tbRlV"/>
            <w:vAlign w:val="center"/>
          </w:tcPr>
          <w:p w14:paraId="78BA1AA7">
            <w:pPr>
              <w:spacing w:line="240" w:lineRule="auto"/>
              <w:ind w:firstLine="0" w:firstLineChars="0"/>
              <w:jc w:val="center"/>
              <w:rPr>
                <w:rFonts w:cs="Times New Roman"/>
                <w:sz w:val="21"/>
              </w:rPr>
            </w:pPr>
            <w:r>
              <w:rPr>
                <w:rFonts w:cs="Times New Roman"/>
                <w:sz w:val="21"/>
              </w:rPr>
              <w:t>蓄积</w:t>
            </w:r>
          </w:p>
        </w:tc>
      </w:tr>
      <w:tr w14:paraId="11F17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7" w:type="pct"/>
            <w:vMerge w:val="continue"/>
            <w:vAlign w:val="center"/>
          </w:tcPr>
          <w:p w14:paraId="30ABE659">
            <w:pPr>
              <w:spacing w:line="240" w:lineRule="auto"/>
              <w:ind w:firstLine="0" w:firstLineChars="0"/>
              <w:jc w:val="center"/>
              <w:rPr>
                <w:rFonts w:cs="Times New Roman"/>
                <w:sz w:val="21"/>
              </w:rPr>
            </w:pPr>
          </w:p>
        </w:tc>
        <w:tc>
          <w:tcPr>
            <w:tcW w:w="457" w:type="pct"/>
            <w:vMerge w:val="continue"/>
            <w:vAlign w:val="center"/>
          </w:tcPr>
          <w:p w14:paraId="4DB0B5B4">
            <w:pPr>
              <w:spacing w:line="240" w:lineRule="auto"/>
              <w:ind w:firstLine="0" w:firstLineChars="0"/>
              <w:jc w:val="center"/>
              <w:rPr>
                <w:rFonts w:cs="Times New Roman"/>
                <w:sz w:val="21"/>
              </w:rPr>
            </w:pPr>
          </w:p>
        </w:tc>
        <w:tc>
          <w:tcPr>
            <w:tcW w:w="168" w:type="pct"/>
            <w:vMerge w:val="continue"/>
            <w:vAlign w:val="center"/>
          </w:tcPr>
          <w:p w14:paraId="0F379E46">
            <w:pPr>
              <w:spacing w:line="240" w:lineRule="auto"/>
              <w:ind w:firstLine="0" w:firstLineChars="0"/>
              <w:jc w:val="center"/>
              <w:rPr>
                <w:rFonts w:cs="Times New Roman"/>
                <w:sz w:val="21"/>
              </w:rPr>
            </w:pPr>
          </w:p>
        </w:tc>
        <w:tc>
          <w:tcPr>
            <w:tcW w:w="457" w:type="pct"/>
            <w:vAlign w:val="center"/>
          </w:tcPr>
          <w:p w14:paraId="63BF9BC6">
            <w:pPr>
              <w:spacing w:line="240" w:lineRule="auto"/>
              <w:ind w:firstLine="0" w:firstLineChars="0"/>
              <w:jc w:val="center"/>
              <w:rPr>
                <w:rFonts w:cs="Times New Roman"/>
                <w:sz w:val="21"/>
              </w:rPr>
            </w:pPr>
            <w:r>
              <w:rPr>
                <w:rFonts w:cs="Times New Roman"/>
                <w:sz w:val="21"/>
              </w:rPr>
              <w:t>面积</w:t>
            </w:r>
          </w:p>
        </w:tc>
        <w:tc>
          <w:tcPr>
            <w:tcW w:w="457" w:type="pct"/>
            <w:vAlign w:val="center"/>
          </w:tcPr>
          <w:p w14:paraId="48C7EB8C">
            <w:pPr>
              <w:spacing w:line="240" w:lineRule="auto"/>
              <w:ind w:firstLine="0" w:firstLineChars="0"/>
              <w:jc w:val="center"/>
              <w:rPr>
                <w:rFonts w:cs="Times New Roman"/>
                <w:sz w:val="21"/>
              </w:rPr>
            </w:pPr>
            <w:r>
              <w:rPr>
                <w:rFonts w:cs="Times New Roman"/>
                <w:sz w:val="21"/>
              </w:rPr>
              <w:t>蓄积</w:t>
            </w:r>
          </w:p>
        </w:tc>
        <w:tc>
          <w:tcPr>
            <w:tcW w:w="395" w:type="pct"/>
            <w:vAlign w:val="center"/>
          </w:tcPr>
          <w:p w14:paraId="38A433ED">
            <w:pPr>
              <w:spacing w:line="240" w:lineRule="auto"/>
              <w:ind w:firstLine="0" w:firstLineChars="0"/>
              <w:jc w:val="center"/>
              <w:rPr>
                <w:rFonts w:cs="Times New Roman"/>
                <w:sz w:val="21"/>
              </w:rPr>
            </w:pPr>
            <w:r>
              <w:rPr>
                <w:rFonts w:cs="Times New Roman"/>
                <w:sz w:val="21"/>
              </w:rPr>
              <w:t>面积</w:t>
            </w:r>
          </w:p>
        </w:tc>
        <w:tc>
          <w:tcPr>
            <w:tcW w:w="457" w:type="pct"/>
            <w:vAlign w:val="center"/>
          </w:tcPr>
          <w:p w14:paraId="0E68CB51">
            <w:pPr>
              <w:spacing w:line="240" w:lineRule="auto"/>
              <w:ind w:firstLine="0" w:firstLineChars="0"/>
              <w:jc w:val="center"/>
              <w:rPr>
                <w:rFonts w:cs="Times New Roman"/>
                <w:sz w:val="21"/>
              </w:rPr>
            </w:pPr>
            <w:r>
              <w:rPr>
                <w:rFonts w:cs="Times New Roman"/>
                <w:sz w:val="21"/>
              </w:rPr>
              <w:t>蓄积</w:t>
            </w:r>
          </w:p>
        </w:tc>
        <w:tc>
          <w:tcPr>
            <w:tcW w:w="395" w:type="pct"/>
            <w:vAlign w:val="center"/>
          </w:tcPr>
          <w:p w14:paraId="654C8916">
            <w:pPr>
              <w:spacing w:line="240" w:lineRule="auto"/>
              <w:ind w:firstLine="0" w:firstLineChars="0"/>
              <w:jc w:val="center"/>
              <w:rPr>
                <w:rFonts w:cs="Times New Roman"/>
                <w:sz w:val="21"/>
              </w:rPr>
            </w:pPr>
            <w:r>
              <w:rPr>
                <w:rFonts w:cs="Times New Roman"/>
                <w:sz w:val="21"/>
              </w:rPr>
              <w:t>面积</w:t>
            </w:r>
          </w:p>
        </w:tc>
        <w:tc>
          <w:tcPr>
            <w:tcW w:w="341" w:type="pct"/>
            <w:vAlign w:val="center"/>
          </w:tcPr>
          <w:p w14:paraId="443406B4">
            <w:pPr>
              <w:spacing w:line="240" w:lineRule="auto"/>
              <w:ind w:firstLine="0" w:firstLineChars="0"/>
              <w:jc w:val="center"/>
              <w:rPr>
                <w:rFonts w:cs="Times New Roman"/>
                <w:sz w:val="21"/>
              </w:rPr>
            </w:pPr>
            <w:r>
              <w:rPr>
                <w:rFonts w:cs="Times New Roman"/>
                <w:sz w:val="21"/>
              </w:rPr>
              <w:t>株数</w:t>
            </w:r>
          </w:p>
        </w:tc>
        <w:tc>
          <w:tcPr>
            <w:tcW w:w="248" w:type="pct"/>
            <w:vMerge w:val="continue"/>
            <w:textDirection w:val="tbRlV"/>
            <w:vAlign w:val="center"/>
          </w:tcPr>
          <w:p w14:paraId="1AF20EF2">
            <w:pPr>
              <w:spacing w:line="240" w:lineRule="auto"/>
              <w:ind w:firstLine="0" w:firstLineChars="0"/>
              <w:jc w:val="center"/>
              <w:rPr>
                <w:rFonts w:cs="Times New Roman"/>
                <w:sz w:val="21"/>
              </w:rPr>
            </w:pPr>
          </w:p>
        </w:tc>
        <w:tc>
          <w:tcPr>
            <w:tcW w:w="252" w:type="pct"/>
            <w:vMerge w:val="continue"/>
            <w:textDirection w:val="tbRlV"/>
            <w:vAlign w:val="center"/>
          </w:tcPr>
          <w:p w14:paraId="53340E70">
            <w:pPr>
              <w:spacing w:line="240" w:lineRule="auto"/>
              <w:ind w:firstLine="0" w:firstLineChars="0"/>
              <w:jc w:val="center"/>
              <w:rPr>
                <w:rFonts w:cs="Times New Roman"/>
                <w:sz w:val="21"/>
              </w:rPr>
            </w:pPr>
          </w:p>
        </w:tc>
        <w:tc>
          <w:tcPr>
            <w:tcW w:w="248" w:type="pct"/>
            <w:vMerge w:val="continue"/>
            <w:textDirection w:val="tbRlV"/>
            <w:vAlign w:val="center"/>
          </w:tcPr>
          <w:p w14:paraId="0F1AC531">
            <w:pPr>
              <w:spacing w:line="240" w:lineRule="auto"/>
              <w:ind w:firstLine="0" w:firstLineChars="0"/>
              <w:jc w:val="center"/>
              <w:rPr>
                <w:rFonts w:cs="Times New Roman"/>
                <w:sz w:val="21"/>
              </w:rPr>
            </w:pPr>
          </w:p>
        </w:tc>
        <w:tc>
          <w:tcPr>
            <w:tcW w:w="252" w:type="pct"/>
            <w:vMerge w:val="continue"/>
            <w:textDirection w:val="tbRlV"/>
            <w:vAlign w:val="center"/>
          </w:tcPr>
          <w:p w14:paraId="110BAEDD">
            <w:pPr>
              <w:spacing w:line="240" w:lineRule="auto"/>
              <w:ind w:firstLine="0" w:firstLineChars="0"/>
              <w:jc w:val="center"/>
              <w:rPr>
                <w:rFonts w:cs="Times New Roman"/>
                <w:sz w:val="21"/>
              </w:rPr>
            </w:pPr>
          </w:p>
        </w:tc>
        <w:tc>
          <w:tcPr>
            <w:tcW w:w="249" w:type="pct"/>
            <w:vMerge w:val="continue"/>
            <w:textDirection w:val="tbRlV"/>
            <w:vAlign w:val="center"/>
          </w:tcPr>
          <w:p w14:paraId="08400165">
            <w:pPr>
              <w:spacing w:line="240" w:lineRule="auto"/>
              <w:ind w:firstLine="0" w:firstLineChars="0"/>
              <w:jc w:val="center"/>
              <w:rPr>
                <w:rFonts w:cs="Times New Roman"/>
                <w:sz w:val="21"/>
              </w:rPr>
            </w:pPr>
          </w:p>
        </w:tc>
        <w:tc>
          <w:tcPr>
            <w:tcW w:w="249" w:type="pct"/>
            <w:vMerge w:val="continue"/>
            <w:textDirection w:val="tbRlV"/>
            <w:vAlign w:val="center"/>
          </w:tcPr>
          <w:p w14:paraId="1A824082">
            <w:pPr>
              <w:spacing w:line="240" w:lineRule="auto"/>
              <w:ind w:firstLine="0" w:firstLineChars="0"/>
              <w:jc w:val="center"/>
              <w:rPr>
                <w:rFonts w:cs="Times New Roman"/>
                <w:sz w:val="21"/>
              </w:rPr>
            </w:pPr>
          </w:p>
        </w:tc>
      </w:tr>
      <w:tr w14:paraId="777DD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7" w:type="pct"/>
            <w:vMerge w:val="restart"/>
            <w:vAlign w:val="center"/>
          </w:tcPr>
          <w:p w14:paraId="76E0192C">
            <w:pPr>
              <w:spacing w:line="240" w:lineRule="auto"/>
              <w:ind w:firstLine="0" w:firstLineChars="0"/>
              <w:jc w:val="center"/>
              <w:rPr>
                <w:rFonts w:cs="Times New Roman"/>
                <w:sz w:val="21"/>
                <w:lang w:eastAsia="zh-CN"/>
              </w:rPr>
            </w:pPr>
            <w:r>
              <w:rPr>
                <w:rFonts w:hint="eastAsia" w:cs="Times New Roman"/>
                <w:sz w:val="21"/>
                <w:lang w:eastAsia="zh-CN"/>
              </w:rPr>
              <w:t>781642</w:t>
            </w:r>
          </w:p>
        </w:tc>
        <w:tc>
          <w:tcPr>
            <w:tcW w:w="457" w:type="pct"/>
            <w:vMerge w:val="restart"/>
            <w:vAlign w:val="center"/>
          </w:tcPr>
          <w:p w14:paraId="0E329789">
            <w:pPr>
              <w:spacing w:line="240" w:lineRule="auto"/>
              <w:ind w:firstLine="0" w:firstLineChars="0"/>
              <w:jc w:val="center"/>
              <w:rPr>
                <w:rFonts w:cs="Times New Roman"/>
                <w:sz w:val="21"/>
                <w:lang w:eastAsia="zh-CN"/>
              </w:rPr>
            </w:pPr>
            <w:r>
              <w:rPr>
                <w:rFonts w:hint="eastAsia" w:cs="Times New Roman"/>
                <w:sz w:val="21"/>
                <w:lang w:eastAsia="zh-CN"/>
              </w:rPr>
              <w:t>11037.01</w:t>
            </w:r>
          </w:p>
        </w:tc>
        <w:tc>
          <w:tcPr>
            <w:tcW w:w="168" w:type="pct"/>
            <w:vAlign w:val="center"/>
          </w:tcPr>
          <w:p w14:paraId="45EC21A2">
            <w:pPr>
              <w:spacing w:line="240" w:lineRule="auto"/>
              <w:ind w:firstLine="0" w:firstLineChars="0"/>
              <w:jc w:val="center"/>
              <w:rPr>
                <w:rFonts w:cs="Times New Roman"/>
                <w:sz w:val="21"/>
              </w:rPr>
            </w:pPr>
            <w:r>
              <w:rPr>
                <w:rFonts w:cs="Times New Roman"/>
                <w:sz w:val="21"/>
              </w:rPr>
              <w:t>合计</w:t>
            </w:r>
          </w:p>
        </w:tc>
        <w:tc>
          <w:tcPr>
            <w:tcW w:w="457" w:type="pct"/>
            <w:vAlign w:val="center"/>
          </w:tcPr>
          <w:p w14:paraId="0ED32CE8">
            <w:pPr>
              <w:spacing w:line="240" w:lineRule="auto"/>
              <w:ind w:firstLine="0" w:firstLineChars="0"/>
              <w:jc w:val="center"/>
              <w:rPr>
                <w:rFonts w:cs="Times New Roman"/>
                <w:sz w:val="21"/>
                <w:lang w:eastAsia="zh-CN"/>
              </w:rPr>
            </w:pPr>
            <w:r>
              <w:rPr>
                <w:rFonts w:hint="eastAsia" w:cs="Times New Roman"/>
                <w:sz w:val="21"/>
                <w:lang w:eastAsia="zh-CN"/>
              </w:rPr>
              <w:t>11037.01</w:t>
            </w:r>
          </w:p>
        </w:tc>
        <w:tc>
          <w:tcPr>
            <w:tcW w:w="457" w:type="pct"/>
            <w:vAlign w:val="center"/>
          </w:tcPr>
          <w:p w14:paraId="566E66B8">
            <w:pPr>
              <w:spacing w:line="240" w:lineRule="auto"/>
              <w:ind w:firstLine="0" w:firstLineChars="0"/>
              <w:jc w:val="center"/>
              <w:rPr>
                <w:rFonts w:cs="Times New Roman"/>
                <w:sz w:val="21"/>
                <w:lang w:eastAsia="zh-CN"/>
              </w:rPr>
            </w:pPr>
            <w:r>
              <w:rPr>
                <w:rFonts w:hint="eastAsia" w:cs="Times New Roman"/>
                <w:sz w:val="21"/>
                <w:lang w:eastAsia="zh-CN"/>
              </w:rPr>
              <w:t>781642</w:t>
            </w:r>
          </w:p>
        </w:tc>
        <w:tc>
          <w:tcPr>
            <w:tcW w:w="395" w:type="pct"/>
            <w:vAlign w:val="center"/>
          </w:tcPr>
          <w:p w14:paraId="646781A6">
            <w:pPr>
              <w:spacing w:line="240" w:lineRule="auto"/>
              <w:ind w:firstLine="0" w:firstLineChars="0"/>
              <w:jc w:val="center"/>
              <w:rPr>
                <w:rFonts w:cs="Times New Roman"/>
                <w:sz w:val="21"/>
                <w:lang w:eastAsia="zh-CN"/>
              </w:rPr>
            </w:pPr>
            <w:r>
              <w:rPr>
                <w:rFonts w:hint="eastAsia" w:cs="Times New Roman"/>
                <w:sz w:val="21"/>
                <w:lang w:eastAsia="zh-CN"/>
              </w:rPr>
              <w:t>6976.37</w:t>
            </w:r>
          </w:p>
        </w:tc>
        <w:tc>
          <w:tcPr>
            <w:tcW w:w="457" w:type="pct"/>
            <w:vAlign w:val="center"/>
          </w:tcPr>
          <w:p w14:paraId="71E5B137">
            <w:pPr>
              <w:spacing w:line="240" w:lineRule="auto"/>
              <w:ind w:firstLine="0" w:firstLineChars="0"/>
              <w:jc w:val="center"/>
              <w:rPr>
                <w:rFonts w:cs="Times New Roman"/>
                <w:sz w:val="21"/>
                <w:lang w:eastAsia="zh-CN"/>
              </w:rPr>
            </w:pPr>
            <w:r>
              <w:rPr>
                <w:rFonts w:hint="eastAsia" w:cs="Times New Roman"/>
                <w:sz w:val="21"/>
                <w:lang w:eastAsia="zh-CN"/>
              </w:rPr>
              <w:t>781642</w:t>
            </w:r>
          </w:p>
        </w:tc>
        <w:tc>
          <w:tcPr>
            <w:tcW w:w="395" w:type="pct"/>
            <w:vAlign w:val="center"/>
          </w:tcPr>
          <w:p w14:paraId="13CC8B1C">
            <w:pPr>
              <w:spacing w:line="240" w:lineRule="auto"/>
              <w:ind w:firstLine="0" w:firstLineChars="0"/>
              <w:jc w:val="center"/>
              <w:rPr>
                <w:rFonts w:cs="Times New Roman"/>
                <w:sz w:val="21"/>
                <w:lang w:eastAsia="zh-CN"/>
              </w:rPr>
            </w:pPr>
            <w:r>
              <w:rPr>
                <w:rFonts w:hint="eastAsia" w:cs="Times New Roman"/>
                <w:sz w:val="21"/>
                <w:lang w:eastAsia="zh-CN"/>
              </w:rPr>
              <w:t>3928.99</w:t>
            </w:r>
          </w:p>
        </w:tc>
        <w:tc>
          <w:tcPr>
            <w:tcW w:w="341" w:type="pct"/>
            <w:vAlign w:val="center"/>
          </w:tcPr>
          <w:p w14:paraId="29017C07">
            <w:pPr>
              <w:spacing w:line="240" w:lineRule="auto"/>
              <w:ind w:firstLine="0" w:firstLineChars="0"/>
              <w:jc w:val="center"/>
              <w:rPr>
                <w:rFonts w:cs="Times New Roman"/>
                <w:sz w:val="21"/>
                <w:lang w:eastAsia="zh-CN"/>
              </w:rPr>
            </w:pPr>
            <w:r>
              <w:rPr>
                <w:rFonts w:hint="eastAsia" w:cs="Times New Roman"/>
                <w:sz w:val="21"/>
                <w:lang w:eastAsia="zh-CN"/>
              </w:rPr>
              <w:t>972.65</w:t>
            </w:r>
          </w:p>
        </w:tc>
        <w:tc>
          <w:tcPr>
            <w:tcW w:w="248" w:type="pct"/>
            <w:vAlign w:val="center"/>
          </w:tcPr>
          <w:p w14:paraId="38FFDDA1">
            <w:pPr>
              <w:spacing w:line="240" w:lineRule="auto"/>
              <w:ind w:firstLine="0" w:firstLineChars="0"/>
              <w:jc w:val="center"/>
              <w:rPr>
                <w:rFonts w:cs="Times New Roman"/>
                <w:sz w:val="21"/>
              </w:rPr>
            </w:pPr>
          </w:p>
        </w:tc>
        <w:tc>
          <w:tcPr>
            <w:tcW w:w="252" w:type="pct"/>
            <w:vAlign w:val="center"/>
          </w:tcPr>
          <w:p w14:paraId="4AE62F19">
            <w:pPr>
              <w:spacing w:line="240" w:lineRule="auto"/>
              <w:ind w:firstLine="0" w:firstLineChars="0"/>
              <w:jc w:val="center"/>
              <w:rPr>
                <w:rFonts w:cs="Times New Roman"/>
                <w:sz w:val="21"/>
              </w:rPr>
            </w:pPr>
          </w:p>
        </w:tc>
        <w:tc>
          <w:tcPr>
            <w:tcW w:w="248" w:type="pct"/>
            <w:vAlign w:val="center"/>
          </w:tcPr>
          <w:p w14:paraId="7BA9A21A">
            <w:pPr>
              <w:spacing w:line="240" w:lineRule="auto"/>
              <w:ind w:firstLine="0" w:firstLineChars="0"/>
              <w:jc w:val="center"/>
              <w:rPr>
                <w:rFonts w:cs="Times New Roman"/>
                <w:sz w:val="21"/>
              </w:rPr>
            </w:pPr>
          </w:p>
        </w:tc>
        <w:tc>
          <w:tcPr>
            <w:tcW w:w="252" w:type="pct"/>
            <w:vAlign w:val="center"/>
          </w:tcPr>
          <w:p w14:paraId="35BCBF59">
            <w:pPr>
              <w:spacing w:line="240" w:lineRule="auto"/>
              <w:ind w:firstLine="0" w:firstLineChars="0"/>
              <w:jc w:val="center"/>
              <w:rPr>
                <w:rFonts w:cs="Times New Roman"/>
                <w:sz w:val="21"/>
              </w:rPr>
            </w:pPr>
          </w:p>
        </w:tc>
        <w:tc>
          <w:tcPr>
            <w:tcW w:w="249" w:type="pct"/>
            <w:vAlign w:val="center"/>
          </w:tcPr>
          <w:p w14:paraId="25059592">
            <w:pPr>
              <w:spacing w:line="240" w:lineRule="auto"/>
              <w:ind w:firstLine="0" w:firstLineChars="0"/>
              <w:jc w:val="center"/>
              <w:rPr>
                <w:rFonts w:cs="Times New Roman"/>
                <w:sz w:val="21"/>
              </w:rPr>
            </w:pPr>
          </w:p>
        </w:tc>
        <w:tc>
          <w:tcPr>
            <w:tcW w:w="249" w:type="pct"/>
            <w:vAlign w:val="center"/>
          </w:tcPr>
          <w:p w14:paraId="6247CC84">
            <w:pPr>
              <w:spacing w:line="240" w:lineRule="auto"/>
              <w:ind w:firstLine="0" w:firstLineChars="0"/>
              <w:jc w:val="center"/>
              <w:rPr>
                <w:rFonts w:cs="Times New Roman"/>
                <w:sz w:val="21"/>
              </w:rPr>
            </w:pPr>
          </w:p>
        </w:tc>
      </w:tr>
      <w:tr w14:paraId="3B0C7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67" w:type="pct"/>
            <w:vMerge w:val="continue"/>
            <w:vAlign w:val="center"/>
          </w:tcPr>
          <w:p w14:paraId="311181F3">
            <w:pPr>
              <w:spacing w:line="240" w:lineRule="auto"/>
              <w:ind w:firstLine="0" w:firstLineChars="0"/>
              <w:jc w:val="center"/>
              <w:rPr>
                <w:rFonts w:cs="Times New Roman"/>
                <w:sz w:val="21"/>
              </w:rPr>
            </w:pPr>
          </w:p>
        </w:tc>
        <w:tc>
          <w:tcPr>
            <w:tcW w:w="457" w:type="pct"/>
            <w:vMerge w:val="continue"/>
            <w:vAlign w:val="center"/>
          </w:tcPr>
          <w:p w14:paraId="07B3156E">
            <w:pPr>
              <w:spacing w:line="240" w:lineRule="auto"/>
              <w:ind w:firstLine="0" w:firstLineChars="0"/>
              <w:jc w:val="center"/>
              <w:rPr>
                <w:rFonts w:cs="Times New Roman"/>
                <w:sz w:val="21"/>
              </w:rPr>
            </w:pPr>
          </w:p>
        </w:tc>
        <w:tc>
          <w:tcPr>
            <w:tcW w:w="168" w:type="pct"/>
            <w:vAlign w:val="center"/>
          </w:tcPr>
          <w:p w14:paraId="7C49E1BE">
            <w:pPr>
              <w:spacing w:line="240" w:lineRule="auto"/>
              <w:ind w:firstLine="0" w:firstLineChars="0"/>
              <w:jc w:val="center"/>
              <w:rPr>
                <w:rFonts w:cs="Times New Roman"/>
                <w:sz w:val="21"/>
              </w:rPr>
            </w:pPr>
            <w:r>
              <w:rPr>
                <w:rFonts w:cs="Times New Roman"/>
                <w:sz w:val="21"/>
              </w:rPr>
              <w:t>国家</w:t>
            </w:r>
          </w:p>
        </w:tc>
        <w:tc>
          <w:tcPr>
            <w:tcW w:w="457" w:type="pct"/>
            <w:vAlign w:val="center"/>
          </w:tcPr>
          <w:p w14:paraId="39662C7C">
            <w:pPr>
              <w:spacing w:line="240" w:lineRule="auto"/>
              <w:ind w:firstLine="0" w:firstLineChars="0"/>
              <w:jc w:val="center"/>
              <w:rPr>
                <w:rFonts w:cs="Times New Roman"/>
                <w:sz w:val="21"/>
                <w:lang w:eastAsia="zh-CN"/>
              </w:rPr>
            </w:pPr>
            <w:r>
              <w:rPr>
                <w:rFonts w:hint="eastAsia" w:cs="Times New Roman"/>
                <w:sz w:val="21"/>
                <w:lang w:eastAsia="zh-CN"/>
              </w:rPr>
              <w:t>11037.01</w:t>
            </w:r>
          </w:p>
        </w:tc>
        <w:tc>
          <w:tcPr>
            <w:tcW w:w="457" w:type="pct"/>
            <w:vAlign w:val="center"/>
          </w:tcPr>
          <w:p w14:paraId="1FC571A2">
            <w:pPr>
              <w:spacing w:line="240" w:lineRule="auto"/>
              <w:ind w:firstLine="0" w:firstLineChars="0"/>
              <w:jc w:val="center"/>
              <w:rPr>
                <w:rFonts w:cs="Times New Roman"/>
                <w:sz w:val="21"/>
                <w:lang w:eastAsia="zh-CN"/>
              </w:rPr>
            </w:pPr>
            <w:r>
              <w:rPr>
                <w:rFonts w:hint="eastAsia" w:cs="Times New Roman"/>
                <w:sz w:val="21"/>
                <w:lang w:eastAsia="zh-CN"/>
              </w:rPr>
              <w:t>781642</w:t>
            </w:r>
          </w:p>
        </w:tc>
        <w:tc>
          <w:tcPr>
            <w:tcW w:w="395" w:type="pct"/>
            <w:vAlign w:val="center"/>
          </w:tcPr>
          <w:p w14:paraId="74A50C7F">
            <w:pPr>
              <w:spacing w:line="240" w:lineRule="auto"/>
              <w:ind w:firstLine="0" w:firstLineChars="0"/>
              <w:jc w:val="center"/>
              <w:rPr>
                <w:rFonts w:cs="Times New Roman"/>
                <w:sz w:val="21"/>
                <w:lang w:eastAsia="zh-CN"/>
              </w:rPr>
            </w:pPr>
            <w:r>
              <w:rPr>
                <w:rFonts w:hint="eastAsia" w:cs="Times New Roman"/>
                <w:sz w:val="21"/>
                <w:lang w:eastAsia="zh-CN"/>
              </w:rPr>
              <w:t>6976.37</w:t>
            </w:r>
          </w:p>
        </w:tc>
        <w:tc>
          <w:tcPr>
            <w:tcW w:w="457" w:type="pct"/>
            <w:vAlign w:val="center"/>
          </w:tcPr>
          <w:p w14:paraId="7ADD4A43">
            <w:pPr>
              <w:spacing w:line="240" w:lineRule="auto"/>
              <w:ind w:firstLine="0" w:firstLineChars="0"/>
              <w:jc w:val="center"/>
              <w:rPr>
                <w:rFonts w:cs="Times New Roman"/>
                <w:sz w:val="21"/>
                <w:lang w:eastAsia="zh-CN"/>
              </w:rPr>
            </w:pPr>
            <w:r>
              <w:rPr>
                <w:rFonts w:hint="eastAsia" w:cs="Times New Roman"/>
                <w:sz w:val="21"/>
                <w:lang w:eastAsia="zh-CN"/>
              </w:rPr>
              <w:t>781642</w:t>
            </w:r>
          </w:p>
        </w:tc>
        <w:tc>
          <w:tcPr>
            <w:tcW w:w="395" w:type="pct"/>
            <w:vAlign w:val="center"/>
          </w:tcPr>
          <w:p w14:paraId="1676DC5C">
            <w:pPr>
              <w:spacing w:line="240" w:lineRule="auto"/>
              <w:ind w:firstLine="0" w:firstLineChars="0"/>
              <w:jc w:val="center"/>
              <w:rPr>
                <w:rFonts w:cs="Times New Roman"/>
                <w:sz w:val="21"/>
                <w:lang w:eastAsia="zh-CN"/>
              </w:rPr>
            </w:pPr>
            <w:r>
              <w:rPr>
                <w:rFonts w:hint="eastAsia" w:cs="Times New Roman"/>
                <w:sz w:val="21"/>
                <w:lang w:eastAsia="zh-CN"/>
              </w:rPr>
              <w:t>3928.99</w:t>
            </w:r>
          </w:p>
        </w:tc>
        <w:tc>
          <w:tcPr>
            <w:tcW w:w="341" w:type="pct"/>
            <w:vAlign w:val="center"/>
          </w:tcPr>
          <w:p w14:paraId="68F07E2D">
            <w:pPr>
              <w:spacing w:line="240" w:lineRule="auto"/>
              <w:ind w:firstLine="0" w:firstLineChars="0"/>
              <w:jc w:val="center"/>
              <w:rPr>
                <w:rFonts w:cs="Times New Roman"/>
                <w:sz w:val="21"/>
                <w:lang w:eastAsia="zh-CN"/>
              </w:rPr>
            </w:pPr>
            <w:r>
              <w:rPr>
                <w:rFonts w:hint="eastAsia" w:cs="Times New Roman"/>
                <w:sz w:val="21"/>
                <w:lang w:eastAsia="zh-CN"/>
              </w:rPr>
              <w:t>972.65</w:t>
            </w:r>
          </w:p>
        </w:tc>
        <w:tc>
          <w:tcPr>
            <w:tcW w:w="248" w:type="pct"/>
            <w:vAlign w:val="center"/>
          </w:tcPr>
          <w:p w14:paraId="6D256C7F">
            <w:pPr>
              <w:spacing w:line="240" w:lineRule="auto"/>
              <w:ind w:firstLine="0" w:firstLineChars="0"/>
              <w:jc w:val="center"/>
              <w:rPr>
                <w:rFonts w:cs="Times New Roman"/>
                <w:sz w:val="21"/>
              </w:rPr>
            </w:pPr>
          </w:p>
        </w:tc>
        <w:tc>
          <w:tcPr>
            <w:tcW w:w="252" w:type="pct"/>
            <w:vAlign w:val="center"/>
          </w:tcPr>
          <w:p w14:paraId="4FC03068">
            <w:pPr>
              <w:spacing w:line="240" w:lineRule="auto"/>
              <w:ind w:firstLine="0" w:firstLineChars="0"/>
              <w:jc w:val="center"/>
              <w:rPr>
                <w:rFonts w:cs="Times New Roman"/>
                <w:sz w:val="21"/>
              </w:rPr>
            </w:pPr>
          </w:p>
        </w:tc>
        <w:tc>
          <w:tcPr>
            <w:tcW w:w="248" w:type="pct"/>
            <w:vAlign w:val="center"/>
          </w:tcPr>
          <w:p w14:paraId="1B0DF1C1">
            <w:pPr>
              <w:spacing w:line="240" w:lineRule="auto"/>
              <w:ind w:firstLine="0" w:firstLineChars="0"/>
              <w:jc w:val="center"/>
              <w:rPr>
                <w:rFonts w:cs="Times New Roman"/>
                <w:sz w:val="21"/>
              </w:rPr>
            </w:pPr>
          </w:p>
        </w:tc>
        <w:tc>
          <w:tcPr>
            <w:tcW w:w="252" w:type="pct"/>
            <w:vAlign w:val="center"/>
          </w:tcPr>
          <w:p w14:paraId="01004924">
            <w:pPr>
              <w:spacing w:line="240" w:lineRule="auto"/>
              <w:ind w:firstLine="0" w:firstLineChars="0"/>
              <w:jc w:val="center"/>
              <w:rPr>
                <w:rFonts w:cs="Times New Roman"/>
                <w:sz w:val="21"/>
              </w:rPr>
            </w:pPr>
          </w:p>
        </w:tc>
        <w:tc>
          <w:tcPr>
            <w:tcW w:w="249" w:type="pct"/>
            <w:vAlign w:val="center"/>
          </w:tcPr>
          <w:p w14:paraId="03029D42">
            <w:pPr>
              <w:spacing w:line="240" w:lineRule="auto"/>
              <w:ind w:firstLine="0" w:firstLineChars="0"/>
              <w:jc w:val="center"/>
              <w:rPr>
                <w:rFonts w:cs="Times New Roman"/>
                <w:sz w:val="21"/>
              </w:rPr>
            </w:pPr>
          </w:p>
        </w:tc>
        <w:tc>
          <w:tcPr>
            <w:tcW w:w="249" w:type="pct"/>
            <w:vAlign w:val="center"/>
          </w:tcPr>
          <w:p w14:paraId="1657A2C7">
            <w:pPr>
              <w:spacing w:line="240" w:lineRule="auto"/>
              <w:ind w:firstLine="0" w:firstLineChars="0"/>
              <w:jc w:val="center"/>
              <w:rPr>
                <w:rFonts w:cs="Times New Roman"/>
                <w:sz w:val="21"/>
              </w:rPr>
            </w:pPr>
          </w:p>
        </w:tc>
      </w:tr>
    </w:tbl>
    <w:p w14:paraId="7CC47416">
      <w:pPr>
        <w:pStyle w:val="4"/>
      </w:pPr>
      <w:bookmarkStart w:id="19" w:name="_Toc20756"/>
      <w:r>
        <w:t>2.1.3乔木林面积蓄积</w:t>
      </w:r>
      <w:bookmarkEnd w:id="19"/>
    </w:p>
    <w:p w14:paraId="17A66CD3">
      <w:pPr>
        <w:ind w:firstLine="480"/>
        <w:rPr>
          <w:highlight w:val="magenta"/>
          <w:lang w:eastAsia="zh-CN"/>
        </w:rPr>
      </w:pPr>
      <w:r>
        <w:rPr>
          <w:highlight w:val="magenta"/>
          <w:lang w:eastAsia="zh-CN"/>
        </w:rPr>
        <w:t>根据双牌县阳明山国有林场乔木林的调查结果，林场乔木林面积</w:t>
      </w:r>
      <w:r>
        <w:rPr>
          <w:rFonts w:hint="eastAsia" w:cs="Times New Roman"/>
          <w:szCs w:val="24"/>
          <w:highlight w:val="magenta"/>
          <w:lang w:val="en-US" w:eastAsia="zh-CN"/>
        </w:rPr>
        <w:t>45</w:t>
      </w:r>
      <w:r>
        <w:rPr>
          <w:rFonts w:hint="eastAsia" w:cs="Times New Roman"/>
          <w:szCs w:val="24"/>
          <w:highlight w:val="magenta"/>
          <w:lang w:eastAsia="zh-CN"/>
        </w:rPr>
        <w:t>76.37</w:t>
      </w:r>
      <w:r>
        <w:rPr>
          <w:rFonts w:hint="eastAsia" w:cs="Times New Roman"/>
          <w:szCs w:val="24"/>
          <w:highlight w:val="magenta"/>
          <w:lang w:val="zh-CN" w:eastAsia="zh-CN"/>
        </w:rPr>
        <w:t>hm</w:t>
      </w:r>
      <w:r>
        <w:rPr>
          <w:rFonts w:hint="eastAsia" w:cs="Times New Roman"/>
          <w:szCs w:val="24"/>
          <w:highlight w:val="magenta"/>
          <w:vertAlign w:val="superscript"/>
          <w:lang w:val="zh-CN" w:eastAsia="zh-CN"/>
        </w:rPr>
        <w:t>2</w:t>
      </w:r>
      <w:r>
        <w:rPr>
          <w:highlight w:val="magenta"/>
          <w:lang w:eastAsia="zh-CN"/>
        </w:rPr>
        <w:t>，其中幼龄林面积</w:t>
      </w:r>
      <w:r>
        <w:rPr>
          <w:rFonts w:hint="eastAsia"/>
          <w:highlight w:val="magenta"/>
          <w:lang w:val="en-US" w:eastAsia="zh-CN"/>
        </w:rPr>
        <w:t>650</w:t>
      </w:r>
      <w:r>
        <w:rPr>
          <w:rFonts w:hint="eastAsia"/>
          <w:highlight w:val="magenta"/>
          <w:lang w:eastAsia="zh-CN"/>
        </w:rPr>
        <w:t>.35</w:t>
      </w:r>
      <w:r>
        <w:rPr>
          <w:highlight w:val="magenta"/>
          <w:lang w:eastAsia="zh-CN"/>
        </w:rPr>
        <w:t>hm</w:t>
      </w:r>
      <w:r>
        <w:rPr>
          <w:highlight w:val="magenta"/>
          <w:vertAlign w:val="superscript"/>
          <w:lang w:eastAsia="zh-CN"/>
        </w:rPr>
        <w:t>2</w:t>
      </w:r>
      <w:r>
        <w:rPr>
          <w:highlight w:val="magenta"/>
          <w:lang w:eastAsia="zh-CN"/>
        </w:rPr>
        <w:t>，中龄林面积</w:t>
      </w:r>
      <w:r>
        <w:rPr>
          <w:rFonts w:hint="eastAsia"/>
          <w:highlight w:val="magenta"/>
          <w:lang w:val="en-US" w:eastAsia="zh-CN"/>
        </w:rPr>
        <w:t>21</w:t>
      </w:r>
      <w:r>
        <w:rPr>
          <w:rFonts w:hint="eastAsia"/>
          <w:highlight w:val="magenta"/>
          <w:lang w:eastAsia="zh-CN"/>
        </w:rPr>
        <w:t>45.71</w:t>
      </w:r>
      <w:r>
        <w:rPr>
          <w:highlight w:val="magenta"/>
          <w:lang w:eastAsia="zh-CN"/>
        </w:rPr>
        <w:t>hm</w:t>
      </w:r>
      <w:r>
        <w:rPr>
          <w:highlight w:val="magenta"/>
          <w:vertAlign w:val="superscript"/>
          <w:lang w:eastAsia="zh-CN"/>
        </w:rPr>
        <w:t>2</w:t>
      </w:r>
      <w:r>
        <w:rPr>
          <w:highlight w:val="magenta"/>
          <w:lang w:eastAsia="zh-CN"/>
        </w:rPr>
        <w:t>，近熟林面积</w:t>
      </w:r>
      <w:r>
        <w:rPr>
          <w:rFonts w:hint="eastAsia"/>
          <w:highlight w:val="magenta"/>
          <w:lang w:val="en-US" w:eastAsia="zh-CN"/>
        </w:rPr>
        <w:t>14</w:t>
      </w:r>
      <w:r>
        <w:rPr>
          <w:rFonts w:hint="eastAsia"/>
          <w:highlight w:val="magenta"/>
          <w:lang w:eastAsia="zh-CN"/>
        </w:rPr>
        <w:t>12.53</w:t>
      </w:r>
      <w:r>
        <w:rPr>
          <w:highlight w:val="magenta"/>
          <w:lang w:eastAsia="zh-CN"/>
        </w:rPr>
        <w:t>hm</w:t>
      </w:r>
      <w:r>
        <w:rPr>
          <w:highlight w:val="magenta"/>
          <w:vertAlign w:val="superscript"/>
          <w:lang w:eastAsia="zh-CN"/>
        </w:rPr>
        <w:t>2</w:t>
      </w:r>
      <w:r>
        <w:rPr>
          <w:highlight w:val="magenta"/>
          <w:lang w:eastAsia="zh-CN"/>
        </w:rPr>
        <w:t>，成熟林面积</w:t>
      </w:r>
      <w:r>
        <w:rPr>
          <w:rFonts w:hint="eastAsia"/>
          <w:highlight w:val="magenta"/>
          <w:lang w:eastAsia="zh-CN"/>
        </w:rPr>
        <w:t>2</w:t>
      </w:r>
      <w:r>
        <w:rPr>
          <w:rFonts w:hint="eastAsia"/>
          <w:highlight w:val="magenta"/>
          <w:lang w:val="en-US" w:eastAsia="zh-CN"/>
        </w:rPr>
        <w:t>00</w:t>
      </w:r>
      <w:r>
        <w:rPr>
          <w:rFonts w:hint="eastAsia"/>
          <w:highlight w:val="magenta"/>
          <w:lang w:eastAsia="zh-CN"/>
        </w:rPr>
        <w:t>.60</w:t>
      </w:r>
      <w:r>
        <w:rPr>
          <w:highlight w:val="magenta"/>
          <w:lang w:eastAsia="zh-CN"/>
        </w:rPr>
        <w:t>hm</w:t>
      </w:r>
      <w:r>
        <w:rPr>
          <w:highlight w:val="magenta"/>
          <w:vertAlign w:val="superscript"/>
          <w:lang w:eastAsia="zh-CN"/>
        </w:rPr>
        <w:t>2</w:t>
      </w:r>
      <w:r>
        <w:rPr>
          <w:highlight w:val="magenta"/>
          <w:lang w:eastAsia="zh-CN"/>
        </w:rPr>
        <w:t>，过熟林面积</w:t>
      </w:r>
      <w:r>
        <w:rPr>
          <w:rFonts w:hint="eastAsia"/>
          <w:highlight w:val="magenta"/>
          <w:lang w:eastAsia="zh-CN"/>
        </w:rPr>
        <w:t>1</w:t>
      </w:r>
      <w:r>
        <w:rPr>
          <w:rFonts w:hint="eastAsia"/>
          <w:highlight w:val="magenta"/>
          <w:lang w:val="en-US" w:eastAsia="zh-CN"/>
        </w:rPr>
        <w:t>67.18</w:t>
      </w:r>
      <w:r>
        <w:rPr>
          <w:highlight w:val="magenta"/>
          <w:lang w:eastAsia="zh-CN"/>
        </w:rPr>
        <w:t>hm</w:t>
      </w:r>
      <w:r>
        <w:rPr>
          <w:highlight w:val="magenta"/>
          <w:vertAlign w:val="superscript"/>
          <w:lang w:eastAsia="zh-CN"/>
        </w:rPr>
        <w:t>2</w:t>
      </w:r>
      <w:r>
        <w:rPr>
          <w:highlight w:val="magenta"/>
          <w:lang w:eastAsia="zh-CN"/>
        </w:rPr>
        <w:t>。林场天然</w:t>
      </w:r>
      <w:r>
        <w:rPr>
          <w:rFonts w:hint="eastAsia"/>
          <w:highlight w:val="magenta"/>
          <w:lang w:eastAsia="zh-CN"/>
        </w:rPr>
        <w:t>乔木</w:t>
      </w:r>
      <w:r>
        <w:rPr>
          <w:highlight w:val="magenta"/>
          <w:lang w:eastAsia="zh-CN"/>
        </w:rPr>
        <w:t>林面积</w:t>
      </w:r>
      <w:r>
        <w:rPr>
          <w:rFonts w:hint="eastAsia"/>
          <w:highlight w:val="magenta"/>
          <w:lang w:val="en-US" w:eastAsia="zh-CN"/>
        </w:rPr>
        <w:t>35</w:t>
      </w:r>
      <w:r>
        <w:rPr>
          <w:rFonts w:hint="eastAsia"/>
          <w:highlight w:val="magenta"/>
          <w:lang w:eastAsia="zh-CN"/>
        </w:rPr>
        <w:t>26.21</w:t>
      </w:r>
      <w:r>
        <w:rPr>
          <w:highlight w:val="magenta"/>
          <w:lang w:eastAsia="zh-CN"/>
        </w:rPr>
        <w:t>hm</w:t>
      </w:r>
      <w:r>
        <w:rPr>
          <w:highlight w:val="magenta"/>
          <w:vertAlign w:val="superscript"/>
          <w:lang w:eastAsia="zh-CN"/>
        </w:rPr>
        <w:t>2</w:t>
      </w:r>
      <w:r>
        <w:rPr>
          <w:highlight w:val="magenta"/>
          <w:lang w:eastAsia="zh-CN"/>
        </w:rPr>
        <w:t>，人工林面积</w:t>
      </w:r>
      <w:r>
        <w:rPr>
          <w:rFonts w:hint="eastAsia"/>
          <w:highlight w:val="magenta"/>
          <w:lang w:eastAsia="zh-CN"/>
        </w:rPr>
        <w:t>1</w:t>
      </w:r>
      <w:r>
        <w:rPr>
          <w:rFonts w:hint="eastAsia"/>
          <w:highlight w:val="magenta"/>
          <w:lang w:val="en-US" w:eastAsia="zh-CN"/>
        </w:rPr>
        <w:t>050.16</w:t>
      </w:r>
      <w:r>
        <w:rPr>
          <w:highlight w:val="magenta"/>
          <w:lang w:eastAsia="zh-CN"/>
        </w:rPr>
        <w:t>hm</w:t>
      </w:r>
      <w:r>
        <w:rPr>
          <w:highlight w:val="magenta"/>
          <w:vertAlign w:val="superscript"/>
          <w:lang w:eastAsia="zh-CN"/>
        </w:rPr>
        <w:t>2</w:t>
      </w:r>
      <w:r>
        <w:rPr>
          <w:highlight w:val="magenta"/>
          <w:lang w:eastAsia="zh-CN"/>
        </w:rPr>
        <w:t>。</w:t>
      </w:r>
    </w:p>
    <w:p w14:paraId="66A9A5CE">
      <w:pPr>
        <w:ind w:firstLine="480"/>
        <w:rPr>
          <w:highlight w:val="magenta"/>
          <w:lang w:eastAsia="zh-CN"/>
        </w:rPr>
      </w:pPr>
      <w:r>
        <w:rPr>
          <w:highlight w:val="magenta"/>
          <w:lang w:eastAsia="zh-CN"/>
        </w:rPr>
        <w:t>乔木林蓄积</w:t>
      </w:r>
      <w:r>
        <w:rPr>
          <w:rFonts w:hint="eastAsia"/>
          <w:highlight w:val="magenta"/>
          <w:lang w:val="en-US" w:eastAsia="zh-CN"/>
        </w:rPr>
        <w:t>581964</w:t>
      </w:r>
      <w:r>
        <w:rPr>
          <w:highlight w:val="magenta"/>
          <w:lang w:eastAsia="zh-CN"/>
        </w:rPr>
        <w:t>m</w:t>
      </w:r>
      <w:r>
        <w:rPr>
          <w:highlight w:val="magenta"/>
          <w:vertAlign w:val="superscript"/>
          <w:lang w:eastAsia="zh-CN"/>
        </w:rPr>
        <w:t>3</w:t>
      </w:r>
      <w:r>
        <w:rPr>
          <w:highlight w:val="magenta"/>
          <w:lang w:eastAsia="zh-CN"/>
        </w:rPr>
        <w:t>，其中幼龄林蓄积</w:t>
      </w:r>
      <w:r>
        <w:rPr>
          <w:rFonts w:hint="eastAsia"/>
          <w:highlight w:val="magenta"/>
          <w:lang w:val="en-US" w:eastAsia="zh-CN"/>
        </w:rPr>
        <w:t>5</w:t>
      </w:r>
      <w:r>
        <w:rPr>
          <w:highlight w:val="magenta"/>
          <w:lang w:eastAsia="zh-CN"/>
        </w:rPr>
        <w:t>1113m</w:t>
      </w:r>
      <w:r>
        <w:rPr>
          <w:highlight w:val="magenta"/>
          <w:vertAlign w:val="superscript"/>
          <w:lang w:eastAsia="zh-CN"/>
        </w:rPr>
        <w:t>3</w:t>
      </w:r>
      <w:r>
        <w:rPr>
          <w:highlight w:val="magenta"/>
          <w:lang w:eastAsia="zh-CN"/>
        </w:rPr>
        <w:t>，中龄林蓄积</w:t>
      </w:r>
      <w:r>
        <w:rPr>
          <w:rFonts w:hint="eastAsia"/>
          <w:highlight w:val="magenta"/>
          <w:lang w:val="en-US" w:eastAsia="zh-CN"/>
        </w:rPr>
        <w:t>11</w:t>
      </w:r>
      <w:r>
        <w:rPr>
          <w:highlight w:val="magenta"/>
          <w:lang w:eastAsia="zh-CN"/>
        </w:rPr>
        <w:t>3542m</w:t>
      </w:r>
      <w:r>
        <w:rPr>
          <w:highlight w:val="magenta"/>
          <w:vertAlign w:val="superscript"/>
          <w:lang w:eastAsia="zh-CN"/>
        </w:rPr>
        <w:t>3</w:t>
      </w:r>
      <w:r>
        <w:rPr>
          <w:highlight w:val="magenta"/>
          <w:lang w:eastAsia="zh-CN"/>
        </w:rPr>
        <w:t>，近熟林蓄积</w:t>
      </w:r>
      <w:r>
        <w:rPr>
          <w:rFonts w:hint="eastAsia"/>
          <w:highlight w:val="magenta"/>
          <w:lang w:val="en-US" w:eastAsia="zh-CN"/>
        </w:rPr>
        <w:t>14</w:t>
      </w:r>
      <w:r>
        <w:rPr>
          <w:highlight w:val="magenta"/>
          <w:lang w:eastAsia="zh-CN"/>
        </w:rPr>
        <w:t>6631m</w:t>
      </w:r>
      <w:r>
        <w:rPr>
          <w:highlight w:val="magenta"/>
          <w:vertAlign w:val="superscript"/>
          <w:lang w:eastAsia="zh-CN"/>
        </w:rPr>
        <w:t>3</w:t>
      </w:r>
      <w:r>
        <w:rPr>
          <w:highlight w:val="magenta"/>
          <w:lang w:eastAsia="zh-CN"/>
        </w:rPr>
        <w:t>，成熟林蓄积</w:t>
      </w:r>
      <w:r>
        <w:rPr>
          <w:rFonts w:hint="eastAsia"/>
          <w:highlight w:val="magenta"/>
          <w:lang w:val="en-US" w:eastAsia="zh-CN"/>
        </w:rPr>
        <w:t>130</w:t>
      </w:r>
      <w:r>
        <w:rPr>
          <w:highlight w:val="magenta"/>
          <w:lang w:eastAsia="zh-CN"/>
        </w:rPr>
        <w:t>054m</w:t>
      </w:r>
      <w:r>
        <w:rPr>
          <w:highlight w:val="magenta"/>
          <w:vertAlign w:val="superscript"/>
          <w:lang w:eastAsia="zh-CN"/>
        </w:rPr>
        <w:t>3</w:t>
      </w:r>
      <w:r>
        <w:rPr>
          <w:highlight w:val="magenta"/>
          <w:lang w:eastAsia="zh-CN"/>
        </w:rPr>
        <w:t>，过熟林蓄积</w:t>
      </w:r>
      <w:r>
        <w:rPr>
          <w:rFonts w:hint="eastAsia"/>
          <w:highlight w:val="magenta"/>
          <w:lang w:val="en-US" w:eastAsia="zh-CN"/>
        </w:rPr>
        <w:t>140624</w:t>
      </w:r>
      <w:r>
        <w:rPr>
          <w:highlight w:val="magenta"/>
          <w:lang w:eastAsia="zh-CN"/>
        </w:rPr>
        <w:t>m</w:t>
      </w:r>
      <w:r>
        <w:rPr>
          <w:highlight w:val="magenta"/>
          <w:vertAlign w:val="superscript"/>
          <w:lang w:eastAsia="zh-CN"/>
        </w:rPr>
        <w:t>3</w:t>
      </w:r>
      <w:r>
        <w:rPr>
          <w:highlight w:val="magenta"/>
          <w:lang w:eastAsia="zh-CN"/>
        </w:rPr>
        <w:t>。林场天然林蓄积</w:t>
      </w:r>
      <w:r>
        <w:rPr>
          <w:rFonts w:hint="eastAsia"/>
          <w:highlight w:val="magenta"/>
          <w:lang w:val="en-US" w:eastAsia="zh-CN"/>
        </w:rPr>
        <w:t>458439</w:t>
      </w:r>
      <w:r>
        <w:rPr>
          <w:highlight w:val="magenta"/>
          <w:lang w:eastAsia="zh-CN"/>
        </w:rPr>
        <w:t>m</w:t>
      </w:r>
      <w:r>
        <w:rPr>
          <w:highlight w:val="magenta"/>
          <w:vertAlign w:val="superscript"/>
          <w:lang w:eastAsia="zh-CN"/>
        </w:rPr>
        <w:t>3</w:t>
      </w:r>
      <w:r>
        <w:rPr>
          <w:highlight w:val="magenta"/>
          <w:lang w:eastAsia="zh-CN"/>
        </w:rPr>
        <w:t>，人工林蓄积</w:t>
      </w:r>
      <w:r>
        <w:rPr>
          <w:rFonts w:hint="eastAsia"/>
          <w:highlight w:val="magenta"/>
          <w:lang w:val="en-US" w:eastAsia="zh-CN"/>
        </w:rPr>
        <w:t>123</w:t>
      </w:r>
      <w:r>
        <w:rPr>
          <w:rFonts w:hint="eastAsia"/>
          <w:highlight w:val="magenta"/>
          <w:lang w:eastAsia="zh-CN"/>
        </w:rPr>
        <w:t>525</w:t>
      </w:r>
      <w:r>
        <w:rPr>
          <w:highlight w:val="magenta"/>
          <w:lang w:eastAsia="zh-CN"/>
        </w:rPr>
        <w:t>m</w:t>
      </w:r>
      <w:r>
        <w:rPr>
          <w:highlight w:val="magenta"/>
          <w:vertAlign w:val="superscript"/>
          <w:lang w:eastAsia="zh-CN"/>
        </w:rPr>
        <w:t>3</w:t>
      </w:r>
      <w:r>
        <w:rPr>
          <w:highlight w:val="magenta"/>
          <w:lang w:eastAsia="zh-CN"/>
        </w:rPr>
        <w:t>。</w:t>
      </w:r>
    </w:p>
    <w:p w14:paraId="154AB0CC">
      <w:pPr>
        <w:spacing w:before="51"/>
        <w:ind w:firstLine="560"/>
        <w:rPr>
          <w:rFonts w:eastAsia="仿宋" w:cs="Times New Roman"/>
          <w:sz w:val="28"/>
          <w:szCs w:val="28"/>
          <w:lang w:eastAsia="zh-CN"/>
        </w:rPr>
      </w:pPr>
    </w:p>
    <w:p w14:paraId="06038486">
      <w:pPr>
        <w:spacing w:line="356" w:lineRule="auto"/>
        <w:ind w:firstLine="560"/>
        <w:rPr>
          <w:rFonts w:eastAsia="仿宋" w:cs="Times New Roman"/>
          <w:sz w:val="28"/>
          <w:szCs w:val="28"/>
          <w:lang w:eastAsia="zh-CN"/>
        </w:rPr>
        <w:sectPr>
          <w:headerReference r:id="rId18" w:type="default"/>
          <w:footerReference r:id="rId19" w:type="default"/>
          <w:pgSz w:w="11905" w:h="16843"/>
          <w:pgMar w:top="1440" w:right="1406" w:bottom="1440" w:left="1803" w:header="873" w:footer="1276" w:gutter="0"/>
          <w:cols w:space="0" w:num="1"/>
          <w:rtlGutter w:val="0"/>
          <w:docGrid w:linePitch="0" w:charSpace="0"/>
        </w:sectPr>
      </w:pPr>
    </w:p>
    <w:p w14:paraId="11ECCA52">
      <w:pPr>
        <w:spacing w:line="240" w:lineRule="auto"/>
        <w:ind w:firstLine="0" w:firstLineChars="0"/>
        <w:jc w:val="center"/>
        <w:rPr>
          <w:rFonts w:eastAsia="黑体" w:cs="Times New Roman"/>
          <w:b/>
          <w:bCs/>
          <w:szCs w:val="24"/>
          <w:lang w:eastAsia="zh-CN"/>
        </w:rPr>
      </w:pPr>
      <w:r>
        <w:rPr>
          <w:rFonts w:eastAsia="黑体" w:cs="Times New Roman"/>
          <w:b/>
          <w:bCs/>
          <w:szCs w:val="24"/>
          <w:lang w:eastAsia="zh-CN"/>
        </w:rPr>
        <w:t>表2-3双牌县阳明山国有林场乔木林面积蓄积按龄组统计表</w:t>
      </w:r>
    </w:p>
    <w:p w14:paraId="441A773E">
      <w:pPr>
        <w:spacing w:line="240" w:lineRule="auto"/>
        <w:ind w:firstLine="0" w:firstLineChars="0"/>
        <w:jc w:val="right"/>
        <w:rPr>
          <w:rFonts w:cs="Times New Roman"/>
          <w:lang w:eastAsia="zh-CN"/>
        </w:rPr>
      </w:pPr>
      <w:r>
        <w:rPr>
          <w:rFonts w:cs="Times New Roman"/>
          <w:sz w:val="21"/>
        </w:rPr>
        <w:t>单位：</w:t>
      </w:r>
      <w:r>
        <w:rPr>
          <w:rFonts w:cs="Times New Roman"/>
          <w:sz w:val="21"/>
          <w:lang w:eastAsia="zh-CN"/>
        </w:rPr>
        <w:t>hm</w:t>
      </w:r>
      <w:r>
        <w:rPr>
          <w:rFonts w:cs="Times New Roman"/>
          <w:sz w:val="21"/>
          <w:vertAlign w:val="superscript"/>
          <w:lang w:eastAsia="zh-CN"/>
        </w:rPr>
        <w:t>2</w:t>
      </w:r>
      <w:r>
        <w:rPr>
          <w:rFonts w:cs="Times New Roman"/>
          <w:sz w:val="21"/>
        </w:rPr>
        <w:t>、</w:t>
      </w:r>
      <w:r>
        <w:rPr>
          <w:rFonts w:cs="Times New Roman"/>
          <w:sz w:val="21"/>
          <w:lang w:eastAsia="zh-CN"/>
        </w:rPr>
        <w:t>m</w:t>
      </w:r>
      <w:r>
        <w:rPr>
          <w:rFonts w:cs="Times New Roman"/>
          <w:sz w:val="21"/>
          <w:vertAlign w:val="superscript"/>
          <w:lang w:eastAsia="zh-CN"/>
        </w:rPr>
        <w:t>3</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497"/>
        <w:gridCol w:w="953"/>
        <w:gridCol w:w="1180"/>
        <w:gridCol w:w="839"/>
        <w:gridCol w:w="959"/>
        <w:gridCol w:w="953"/>
        <w:gridCol w:w="1180"/>
        <w:gridCol w:w="953"/>
        <w:gridCol w:w="1180"/>
        <w:gridCol w:w="839"/>
        <w:gridCol w:w="1069"/>
        <w:gridCol w:w="839"/>
        <w:gridCol w:w="1063"/>
      </w:tblGrid>
      <w:tr w14:paraId="193AD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238" w:type="pct"/>
            <w:vMerge w:val="restart"/>
            <w:shd w:val="clear" w:color="auto" w:fill="auto"/>
            <w:vAlign w:val="center"/>
          </w:tcPr>
          <w:p w14:paraId="465D5BFE">
            <w:pPr>
              <w:spacing w:line="240" w:lineRule="auto"/>
              <w:ind w:firstLine="0" w:firstLineChars="0"/>
              <w:jc w:val="center"/>
              <w:textAlignment w:val="center"/>
              <w:rPr>
                <w:rFonts w:cs="Times New Roman"/>
                <w:sz w:val="21"/>
              </w:rPr>
            </w:pPr>
            <w:r>
              <w:rPr>
                <w:rFonts w:hint="eastAsia" w:cs="Times New Roman"/>
                <w:sz w:val="21"/>
                <w:lang w:eastAsia="zh-CN"/>
              </w:rPr>
              <w:t>起源</w:t>
            </w:r>
          </w:p>
        </w:tc>
        <w:tc>
          <w:tcPr>
            <w:tcW w:w="528" w:type="pct"/>
            <w:vMerge w:val="restart"/>
            <w:shd w:val="clear" w:color="auto" w:fill="auto"/>
            <w:vAlign w:val="center"/>
          </w:tcPr>
          <w:p w14:paraId="069EEA48">
            <w:pPr>
              <w:spacing w:line="240" w:lineRule="auto"/>
              <w:ind w:firstLine="0" w:firstLineChars="0"/>
              <w:jc w:val="center"/>
              <w:textAlignment w:val="center"/>
              <w:rPr>
                <w:rFonts w:cs="Times New Roman"/>
                <w:bCs/>
                <w:sz w:val="21"/>
              </w:rPr>
            </w:pPr>
            <w:r>
              <w:rPr>
                <w:rFonts w:cs="Times New Roman"/>
                <w:bCs/>
                <w:sz w:val="21"/>
                <w:lang w:eastAsia="zh-CN" w:bidi="ar"/>
              </w:rPr>
              <w:t>优势树种</w:t>
            </w:r>
          </w:p>
        </w:tc>
        <w:tc>
          <w:tcPr>
            <w:tcW w:w="752" w:type="pct"/>
            <w:gridSpan w:val="2"/>
            <w:shd w:val="clear" w:color="auto" w:fill="auto"/>
            <w:vAlign w:val="center"/>
          </w:tcPr>
          <w:p w14:paraId="198E78D1">
            <w:pPr>
              <w:spacing w:line="240" w:lineRule="auto"/>
              <w:ind w:firstLine="0" w:firstLineChars="0"/>
              <w:jc w:val="center"/>
              <w:textAlignment w:val="center"/>
              <w:rPr>
                <w:rFonts w:cs="Times New Roman"/>
                <w:bCs/>
                <w:sz w:val="21"/>
              </w:rPr>
            </w:pPr>
            <w:r>
              <w:rPr>
                <w:rFonts w:cs="Times New Roman"/>
                <w:bCs/>
                <w:sz w:val="21"/>
                <w:lang w:eastAsia="zh-CN" w:bidi="ar"/>
              </w:rPr>
              <w:t>合计</w:t>
            </w:r>
          </w:p>
        </w:tc>
        <w:tc>
          <w:tcPr>
            <w:tcW w:w="634" w:type="pct"/>
            <w:gridSpan w:val="2"/>
            <w:shd w:val="clear" w:color="auto" w:fill="auto"/>
            <w:vAlign w:val="center"/>
          </w:tcPr>
          <w:p w14:paraId="09BDA74C">
            <w:pPr>
              <w:spacing w:line="240" w:lineRule="auto"/>
              <w:ind w:firstLine="0" w:firstLineChars="0"/>
              <w:jc w:val="center"/>
              <w:textAlignment w:val="center"/>
              <w:rPr>
                <w:rFonts w:cs="Times New Roman"/>
                <w:bCs/>
                <w:sz w:val="21"/>
              </w:rPr>
            </w:pPr>
            <w:r>
              <w:rPr>
                <w:rFonts w:cs="Times New Roman"/>
                <w:bCs/>
                <w:sz w:val="21"/>
                <w:lang w:eastAsia="zh-CN" w:bidi="ar"/>
              </w:rPr>
              <w:t>幼龄林</w:t>
            </w:r>
          </w:p>
        </w:tc>
        <w:tc>
          <w:tcPr>
            <w:tcW w:w="752" w:type="pct"/>
            <w:gridSpan w:val="2"/>
            <w:shd w:val="clear" w:color="auto" w:fill="auto"/>
            <w:vAlign w:val="center"/>
          </w:tcPr>
          <w:p w14:paraId="4BC7B905">
            <w:pPr>
              <w:spacing w:line="240" w:lineRule="auto"/>
              <w:ind w:firstLine="0" w:firstLineChars="0"/>
              <w:jc w:val="center"/>
              <w:textAlignment w:val="center"/>
              <w:rPr>
                <w:rFonts w:cs="Times New Roman"/>
                <w:bCs/>
                <w:sz w:val="21"/>
              </w:rPr>
            </w:pPr>
            <w:r>
              <w:rPr>
                <w:rFonts w:cs="Times New Roman"/>
                <w:bCs/>
                <w:sz w:val="21"/>
                <w:lang w:eastAsia="zh-CN" w:bidi="ar"/>
              </w:rPr>
              <w:t>中龄林</w:t>
            </w:r>
          </w:p>
        </w:tc>
        <w:tc>
          <w:tcPr>
            <w:tcW w:w="752" w:type="pct"/>
            <w:gridSpan w:val="2"/>
            <w:shd w:val="clear" w:color="auto" w:fill="auto"/>
            <w:vAlign w:val="center"/>
          </w:tcPr>
          <w:p w14:paraId="4811C750">
            <w:pPr>
              <w:spacing w:line="240" w:lineRule="auto"/>
              <w:ind w:firstLine="0" w:firstLineChars="0"/>
              <w:jc w:val="center"/>
              <w:textAlignment w:val="center"/>
              <w:rPr>
                <w:rFonts w:cs="Times New Roman"/>
                <w:bCs/>
                <w:sz w:val="21"/>
              </w:rPr>
            </w:pPr>
            <w:r>
              <w:rPr>
                <w:rFonts w:cs="Times New Roman"/>
                <w:bCs/>
                <w:sz w:val="21"/>
                <w:lang w:eastAsia="zh-CN" w:bidi="ar"/>
              </w:rPr>
              <w:t>近熟林</w:t>
            </w:r>
          </w:p>
        </w:tc>
        <w:tc>
          <w:tcPr>
            <w:tcW w:w="673" w:type="pct"/>
            <w:gridSpan w:val="2"/>
            <w:shd w:val="clear" w:color="auto" w:fill="auto"/>
            <w:vAlign w:val="center"/>
          </w:tcPr>
          <w:p w14:paraId="6D182160">
            <w:pPr>
              <w:spacing w:line="240" w:lineRule="auto"/>
              <w:ind w:firstLine="0" w:firstLineChars="0"/>
              <w:jc w:val="center"/>
              <w:textAlignment w:val="center"/>
              <w:rPr>
                <w:rFonts w:cs="Times New Roman"/>
                <w:bCs/>
                <w:sz w:val="21"/>
              </w:rPr>
            </w:pPr>
            <w:r>
              <w:rPr>
                <w:rFonts w:cs="Times New Roman"/>
                <w:bCs/>
                <w:sz w:val="21"/>
                <w:lang w:eastAsia="zh-CN" w:bidi="ar"/>
              </w:rPr>
              <w:t>成熟林</w:t>
            </w:r>
          </w:p>
        </w:tc>
        <w:tc>
          <w:tcPr>
            <w:tcW w:w="671" w:type="pct"/>
            <w:gridSpan w:val="2"/>
            <w:shd w:val="clear" w:color="auto" w:fill="auto"/>
            <w:vAlign w:val="center"/>
          </w:tcPr>
          <w:p w14:paraId="51C54D7F">
            <w:pPr>
              <w:spacing w:line="240" w:lineRule="auto"/>
              <w:ind w:firstLine="0" w:firstLineChars="0"/>
              <w:jc w:val="center"/>
              <w:textAlignment w:val="center"/>
              <w:rPr>
                <w:rFonts w:cs="Times New Roman"/>
                <w:bCs/>
                <w:sz w:val="21"/>
              </w:rPr>
            </w:pPr>
            <w:r>
              <w:rPr>
                <w:rFonts w:cs="Times New Roman"/>
                <w:bCs/>
                <w:sz w:val="21"/>
                <w:lang w:eastAsia="zh-CN" w:bidi="ar"/>
              </w:rPr>
              <w:t>过熟林</w:t>
            </w:r>
          </w:p>
        </w:tc>
      </w:tr>
      <w:tr w14:paraId="201E9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38" w:type="pct"/>
            <w:vMerge w:val="continue"/>
            <w:shd w:val="clear" w:color="auto" w:fill="auto"/>
            <w:vAlign w:val="center"/>
          </w:tcPr>
          <w:p w14:paraId="00740B91">
            <w:pPr>
              <w:spacing w:line="240" w:lineRule="auto"/>
              <w:ind w:firstLine="0" w:firstLineChars="0"/>
              <w:jc w:val="center"/>
              <w:textAlignment w:val="center"/>
              <w:rPr>
                <w:rFonts w:cs="Times New Roman"/>
                <w:bCs/>
                <w:sz w:val="21"/>
              </w:rPr>
            </w:pPr>
          </w:p>
        </w:tc>
        <w:tc>
          <w:tcPr>
            <w:tcW w:w="528" w:type="pct"/>
            <w:vMerge w:val="continue"/>
            <w:shd w:val="clear" w:color="auto" w:fill="auto"/>
            <w:vAlign w:val="center"/>
          </w:tcPr>
          <w:p w14:paraId="7EEC7398">
            <w:pPr>
              <w:spacing w:line="240" w:lineRule="auto"/>
              <w:ind w:firstLine="0" w:firstLineChars="0"/>
              <w:jc w:val="center"/>
              <w:rPr>
                <w:rFonts w:cs="Times New Roman"/>
                <w:bCs/>
                <w:sz w:val="21"/>
              </w:rPr>
            </w:pPr>
          </w:p>
        </w:tc>
        <w:tc>
          <w:tcPr>
            <w:tcW w:w="336" w:type="pct"/>
            <w:shd w:val="clear" w:color="auto" w:fill="auto"/>
            <w:vAlign w:val="center"/>
          </w:tcPr>
          <w:p w14:paraId="501B77B8">
            <w:pPr>
              <w:spacing w:line="240" w:lineRule="auto"/>
              <w:ind w:firstLine="0" w:firstLineChars="0"/>
              <w:jc w:val="center"/>
              <w:textAlignment w:val="center"/>
              <w:rPr>
                <w:rFonts w:cs="Times New Roman"/>
                <w:bCs/>
                <w:sz w:val="21"/>
              </w:rPr>
            </w:pPr>
            <w:r>
              <w:rPr>
                <w:rFonts w:cs="Times New Roman"/>
                <w:bCs/>
                <w:sz w:val="21"/>
                <w:lang w:eastAsia="zh-CN" w:bidi="ar"/>
              </w:rPr>
              <w:t>面积</w:t>
            </w:r>
          </w:p>
        </w:tc>
        <w:tc>
          <w:tcPr>
            <w:tcW w:w="416" w:type="pct"/>
            <w:shd w:val="clear" w:color="auto" w:fill="auto"/>
            <w:vAlign w:val="center"/>
          </w:tcPr>
          <w:p w14:paraId="48CCA9A1">
            <w:pPr>
              <w:spacing w:line="240" w:lineRule="auto"/>
              <w:ind w:firstLine="0" w:firstLineChars="0"/>
              <w:jc w:val="center"/>
              <w:textAlignment w:val="center"/>
              <w:rPr>
                <w:rFonts w:cs="Times New Roman"/>
                <w:bCs/>
                <w:sz w:val="21"/>
              </w:rPr>
            </w:pPr>
            <w:r>
              <w:rPr>
                <w:rFonts w:cs="Times New Roman"/>
                <w:bCs/>
                <w:sz w:val="21"/>
                <w:lang w:eastAsia="zh-CN" w:bidi="ar"/>
              </w:rPr>
              <w:t>蓄积</w:t>
            </w:r>
          </w:p>
        </w:tc>
        <w:tc>
          <w:tcPr>
            <w:tcW w:w="296" w:type="pct"/>
            <w:shd w:val="clear" w:color="auto" w:fill="auto"/>
            <w:vAlign w:val="center"/>
          </w:tcPr>
          <w:p w14:paraId="6E9472E2">
            <w:pPr>
              <w:spacing w:line="240" w:lineRule="auto"/>
              <w:ind w:firstLine="0" w:firstLineChars="0"/>
              <w:jc w:val="center"/>
              <w:textAlignment w:val="center"/>
              <w:rPr>
                <w:rFonts w:cs="Times New Roman"/>
                <w:bCs/>
                <w:sz w:val="21"/>
              </w:rPr>
            </w:pPr>
            <w:r>
              <w:rPr>
                <w:rFonts w:cs="Times New Roman"/>
                <w:bCs/>
                <w:sz w:val="21"/>
                <w:lang w:eastAsia="zh-CN" w:bidi="ar"/>
              </w:rPr>
              <w:t>面积</w:t>
            </w:r>
          </w:p>
        </w:tc>
        <w:tc>
          <w:tcPr>
            <w:tcW w:w="338" w:type="pct"/>
            <w:shd w:val="clear" w:color="auto" w:fill="auto"/>
            <w:vAlign w:val="center"/>
          </w:tcPr>
          <w:p w14:paraId="5008296F">
            <w:pPr>
              <w:spacing w:line="240" w:lineRule="auto"/>
              <w:ind w:firstLine="0" w:firstLineChars="0"/>
              <w:jc w:val="center"/>
              <w:textAlignment w:val="center"/>
              <w:rPr>
                <w:rFonts w:cs="Times New Roman"/>
                <w:bCs/>
                <w:sz w:val="21"/>
              </w:rPr>
            </w:pPr>
            <w:r>
              <w:rPr>
                <w:rFonts w:cs="Times New Roman"/>
                <w:bCs/>
                <w:sz w:val="21"/>
                <w:lang w:eastAsia="zh-CN" w:bidi="ar"/>
              </w:rPr>
              <w:t>蓄积</w:t>
            </w:r>
          </w:p>
        </w:tc>
        <w:tc>
          <w:tcPr>
            <w:tcW w:w="336" w:type="pct"/>
            <w:shd w:val="clear" w:color="auto" w:fill="auto"/>
            <w:vAlign w:val="center"/>
          </w:tcPr>
          <w:p w14:paraId="642A5F5D">
            <w:pPr>
              <w:spacing w:line="240" w:lineRule="auto"/>
              <w:ind w:firstLine="0" w:firstLineChars="0"/>
              <w:jc w:val="center"/>
              <w:textAlignment w:val="center"/>
              <w:rPr>
                <w:rFonts w:cs="Times New Roman"/>
                <w:bCs/>
                <w:sz w:val="21"/>
              </w:rPr>
            </w:pPr>
            <w:r>
              <w:rPr>
                <w:rFonts w:cs="Times New Roman"/>
                <w:bCs/>
                <w:sz w:val="21"/>
                <w:lang w:eastAsia="zh-CN" w:bidi="ar"/>
              </w:rPr>
              <w:t>面积</w:t>
            </w:r>
          </w:p>
        </w:tc>
        <w:tc>
          <w:tcPr>
            <w:tcW w:w="416" w:type="pct"/>
            <w:shd w:val="clear" w:color="auto" w:fill="auto"/>
            <w:vAlign w:val="center"/>
          </w:tcPr>
          <w:p w14:paraId="48995D09">
            <w:pPr>
              <w:spacing w:line="240" w:lineRule="auto"/>
              <w:ind w:firstLine="0" w:firstLineChars="0"/>
              <w:jc w:val="center"/>
              <w:textAlignment w:val="center"/>
              <w:rPr>
                <w:rFonts w:cs="Times New Roman"/>
                <w:bCs/>
                <w:sz w:val="21"/>
              </w:rPr>
            </w:pPr>
            <w:r>
              <w:rPr>
                <w:rFonts w:cs="Times New Roman"/>
                <w:bCs/>
                <w:sz w:val="21"/>
                <w:lang w:eastAsia="zh-CN" w:bidi="ar"/>
              </w:rPr>
              <w:t>蓄积</w:t>
            </w:r>
          </w:p>
        </w:tc>
        <w:tc>
          <w:tcPr>
            <w:tcW w:w="336" w:type="pct"/>
            <w:shd w:val="clear" w:color="auto" w:fill="auto"/>
            <w:vAlign w:val="center"/>
          </w:tcPr>
          <w:p w14:paraId="3E92EB7A">
            <w:pPr>
              <w:spacing w:line="240" w:lineRule="auto"/>
              <w:ind w:firstLine="0" w:firstLineChars="0"/>
              <w:jc w:val="center"/>
              <w:textAlignment w:val="center"/>
              <w:rPr>
                <w:rFonts w:cs="Times New Roman"/>
                <w:bCs/>
                <w:sz w:val="21"/>
              </w:rPr>
            </w:pPr>
            <w:r>
              <w:rPr>
                <w:rFonts w:cs="Times New Roman"/>
                <w:bCs/>
                <w:sz w:val="21"/>
                <w:lang w:eastAsia="zh-CN" w:bidi="ar"/>
              </w:rPr>
              <w:t>面积</w:t>
            </w:r>
          </w:p>
        </w:tc>
        <w:tc>
          <w:tcPr>
            <w:tcW w:w="416" w:type="pct"/>
            <w:shd w:val="clear" w:color="auto" w:fill="auto"/>
            <w:vAlign w:val="center"/>
          </w:tcPr>
          <w:p w14:paraId="25606C8E">
            <w:pPr>
              <w:spacing w:line="240" w:lineRule="auto"/>
              <w:ind w:firstLine="0" w:firstLineChars="0"/>
              <w:jc w:val="center"/>
              <w:textAlignment w:val="center"/>
              <w:rPr>
                <w:rFonts w:cs="Times New Roman"/>
                <w:bCs/>
                <w:sz w:val="21"/>
              </w:rPr>
            </w:pPr>
            <w:r>
              <w:rPr>
                <w:rFonts w:cs="Times New Roman"/>
                <w:bCs/>
                <w:sz w:val="21"/>
                <w:lang w:eastAsia="zh-CN" w:bidi="ar"/>
              </w:rPr>
              <w:t>蓄积</w:t>
            </w:r>
          </w:p>
        </w:tc>
        <w:tc>
          <w:tcPr>
            <w:tcW w:w="296" w:type="pct"/>
            <w:shd w:val="clear" w:color="auto" w:fill="auto"/>
            <w:vAlign w:val="center"/>
          </w:tcPr>
          <w:p w14:paraId="7F315721">
            <w:pPr>
              <w:spacing w:line="240" w:lineRule="auto"/>
              <w:ind w:firstLine="0" w:firstLineChars="0"/>
              <w:jc w:val="center"/>
              <w:textAlignment w:val="center"/>
              <w:rPr>
                <w:rFonts w:cs="Times New Roman"/>
                <w:bCs/>
                <w:sz w:val="21"/>
              </w:rPr>
            </w:pPr>
            <w:r>
              <w:rPr>
                <w:rFonts w:cs="Times New Roman"/>
                <w:bCs/>
                <w:sz w:val="21"/>
                <w:lang w:eastAsia="zh-CN" w:bidi="ar"/>
              </w:rPr>
              <w:t>面积</w:t>
            </w:r>
          </w:p>
        </w:tc>
        <w:tc>
          <w:tcPr>
            <w:tcW w:w="377" w:type="pct"/>
            <w:shd w:val="clear" w:color="auto" w:fill="auto"/>
            <w:vAlign w:val="center"/>
          </w:tcPr>
          <w:p w14:paraId="22E87B23">
            <w:pPr>
              <w:spacing w:line="240" w:lineRule="auto"/>
              <w:ind w:firstLine="0" w:firstLineChars="0"/>
              <w:jc w:val="center"/>
              <w:textAlignment w:val="center"/>
              <w:rPr>
                <w:rFonts w:cs="Times New Roman"/>
                <w:bCs/>
                <w:sz w:val="21"/>
              </w:rPr>
            </w:pPr>
            <w:r>
              <w:rPr>
                <w:rFonts w:cs="Times New Roman"/>
                <w:bCs/>
                <w:sz w:val="21"/>
                <w:lang w:eastAsia="zh-CN" w:bidi="ar"/>
              </w:rPr>
              <w:t>蓄积</w:t>
            </w:r>
          </w:p>
        </w:tc>
        <w:tc>
          <w:tcPr>
            <w:tcW w:w="296" w:type="pct"/>
            <w:shd w:val="clear" w:color="auto" w:fill="auto"/>
            <w:vAlign w:val="center"/>
          </w:tcPr>
          <w:p w14:paraId="4BC8A1CA">
            <w:pPr>
              <w:spacing w:line="240" w:lineRule="auto"/>
              <w:ind w:firstLine="0" w:firstLineChars="0"/>
              <w:jc w:val="center"/>
              <w:textAlignment w:val="center"/>
              <w:rPr>
                <w:rFonts w:cs="Times New Roman"/>
                <w:bCs/>
                <w:sz w:val="21"/>
              </w:rPr>
            </w:pPr>
            <w:r>
              <w:rPr>
                <w:rFonts w:cs="Times New Roman"/>
                <w:bCs/>
                <w:sz w:val="21"/>
                <w:lang w:eastAsia="zh-CN" w:bidi="ar"/>
              </w:rPr>
              <w:t>面积</w:t>
            </w:r>
          </w:p>
        </w:tc>
        <w:tc>
          <w:tcPr>
            <w:tcW w:w="375" w:type="pct"/>
            <w:shd w:val="clear" w:color="auto" w:fill="auto"/>
            <w:vAlign w:val="center"/>
          </w:tcPr>
          <w:p w14:paraId="6AF3A570">
            <w:pPr>
              <w:spacing w:line="240" w:lineRule="auto"/>
              <w:ind w:firstLine="0" w:firstLineChars="0"/>
              <w:jc w:val="center"/>
              <w:textAlignment w:val="center"/>
              <w:rPr>
                <w:rFonts w:cs="Times New Roman"/>
                <w:bCs/>
                <w:sz w:val="21"/>
              </w:rPr>
            </w:pPr>
            <w:r>
              <w:rPr>
                <w:rFonts w:cs="Times New Roman"/>
                <w:bCs/>
                <w:sz w:val="21"/>
                <w:lang w:eastAsia="zh-CN" w:bidi="ar"/>
              </w:rPr>
              <w:t>蓄积</w:t>
            </w:r>
          </w:p>
        </w:tc>
      </w:tr>
      <w:tr w14:paraId="7840E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238" w:type="pct"/>
            <w:vMerge w:val="restart"/>
            <w:shd w:val="clear" w:color="auto" w:fill="auto"/>
            <w:vAlign w:val="center"/>
          </w:tcPr>
          <w:p w14:paraId="50CC2B41">
            <w:pPr>
              <w:spacing w:line="240" w:lineRule="auto"/>
              <w:ind w:firstLine="0" w:firstLineChars="0"/>
              <w:jc w:val="center"/>
              <w:textAlignment w:val="center"/>
              <w:rPr>
                <w:rFonts w:cs="Times New Roman"/>
                <w:sz w:val="21"/>
              </w:rPr>
            </w:pPr>
            <w:r>
              <w:rPr>
                <w:rFonts w:cs="Times New Roman"/>
                <w:sz w:val="21"/>
                <w:lang w:eastAsia="zh-CN" w:bidi="ar"/>
              </w:rPr>
              <w:t>天然</w:t>
            </w:r>
          </w:p>
        </w:tc>
        <w:tc>
          <w:tcPr>
            <w:tcW w:w="528" w:type="pct"/>
            <w:shd w:val="clear" w:color="auto" w:fill="auto"/>
            <w:vAlign w:val="center"/>
          </w:tcPr>
          <w:p w14:paraId="43A43986">
            <w:pPr>
              <w:spacing w:line="240" w:lineRule="auto"/>
              <w:ind w:firstLine="0" w:firstLineChars="0"/>
              <w:jc w:val="center"/>
              <w:textAlignment w:val="center"/>
              <w:rPr>
                <w:rFonts w:cs="Times New Roman"/>
                <w:sz w:val="21"/>
              </w:rPr>
            </w:pPr>
            <w:r>
              <w:rPr>
                <w:rFonts w:cs="Times New Roman"/>
                <w:sz w:val="21"/>
                <w:lang w:eastAsia="zh-CN" w:bidi="ar"/>
              </w:rPr>
              <w:t>合计</w:t>
            </w:r>
          </w:p>
        </w:tc>
        <w:tc>
          <w:tcPr>
            <w:tcW w:w="336" w:type="pct"/>
            <w:shd w:val="clear" w:color="auto" w:fill="auto"/>
            <w:vAlign w:val="center"/>
          </w:tcPr>
          <w:p w14:paraId="0E3FAC83">
            <w:pPr>
              <w:spacing w:line="240" w:lineRule="auto"/>
              <w:ind w:firstLine="0" w:firstLineChars="0"/>
              <w:jc w:val="center"/>
              <w:textAlignment w:val="center"/>
              <w:rPr>
                <w:rFonts w:cs="Times New Roman"/>
                <w:sz w:val="21"/>
              </w:rPr>
            </w:pPr>
            <w:r>
              <w:rPr>
                <w:rFonts w:cs="Times New Roman"/>
                <w:sz w:val="21"/>
                <w:lang w:eastAsia="zh-CN" w:bidi="ar"/>
              </w:rPr>
              <w:t>5026.21</w:t>
            </w:r>
          </w:p>
        </w:tc>
        <w:tc>
          <w:tcPr>
            <w:tcW w:w="416" w:type="pct"/>
            <w:shd w:val="clear" w:color="auto" w:fill="auto"/>
            <w:vAlign w:val="center"/>
          </w:tcPr>
          <w:p w14:paraId="3BC9E778">
            <w:pPr>
              <w:spacing w:line="240" w:lineRule="auto"/>
              <w:ind w:firstLine="0" w:firstLineChars="0"/>
              <w:jc w:val="center"/>
              <w:textAlignment w:val="center"/>
              <w:rPr>
                <w:rFonts w:cs="Times New Roman"/>
                <w:sz w:val="21"/>
              </w:rPr>
            </w:pPr>
            <w:r>
              <w:rPr>
                <w:rFonts w:cs="Times New Roman"/>
                <w:sz w:val="21"/>
                <w:lang w:eastAsia="zh-CN" w:bidi="ar"/>
              </w:rPr>
              <w:t>502607.20</w:t>
            </w:r>
          </w:p>
        </w:tc>
        <w:tc>
          <w:tcPr>
            <w:tcW w:w="296" w:type="pct"/>
            <w:shd w:val="clear" w:color="auto" w:fill="auto"/>
            <w:vAlign w:val="center"/>
          </w:tcPr>
          <w:p w14:paraId="4BC1C42E">
            <w:pPr>
              <w:spacing w:line="240" w:lineRule="auto"/>
              <w:ind w:firstLine="0" w:firstLineChars="0"/>
              <w:jc w:val="center"/>
              <w:textAlignment w:val="center"/>
              <w:rPr>
                <w:rFonts w:cs="Times New Roman"/>
                <w:sz w:val="21"/>
              </w:rPr>
            </w:pPr>
            <w:r>
              <w:rPr>
                <w:rFonts w:cs="Times New Roman"/>
                <w:sz w:val="21"/>
                <w:lang w:eastAsia="zh-CN" w:bidi="ar"/>
              </w:rPr>
              <w:t>517.11</w:t>
            </w:r>
          </w:p>
        </w:tc>
        <w:tc>
          <w:tcPr>
            <w:tcW w:w="338" w:type="pct"/>
            <w:shd w:val="clear" w:color="auto" w:fill="auto"/>
            <w:vAlign w:val="center"/>
          </w:tcPr>
          <w:p w14:paraId="638FED87">
            <w:pPr>
              <w:spacing w:line="240" w:lineRule="auto"/>
              <w:ind w:firstLine="0" w:firstLineChars="0"/>
              <w:jc w:val="center"/>
              <w:textAlignment w:val="center"/>
              <w:rPr>
                <w:rFonts w:cs="Times New Roman"/>
                <w:sz w:val="21"/>
              </w:rPr>
            </w:pPr>
            <w:r>
              <w:rPr>
                <w:rFonts w:cs="Times New Roman"/>
                <w:sz w:val="21"/>
                <w:lang w:eastAsia="zh-CN" w:bidi="ar"/>
              </w:rPr>
              <w:t>9435.20</w:t>
            </w:r>
          </w:p>
        </w:tc>
        <w:tc>
          <w:tcPr>
            <w:tcW w:w="336" w:type="pct"/>
            <w:shd w:val="clear" w:color="auto" w:fill="auto"/>
            <w:vAlign w:val="center"/>
          </w:tcPr>
          <w:p w14:paraId="23984590">
            <w:pPr>
              <w:spacing w:line="240" w:lineRule="auto"/>
              <w:ind w:firstLine="0" w:firstLineChars="0"/>
              <w:jc w:val="center"/>
              <w:textAlignment w:val="center"/>
              <w:rPr>
                <w:rFonts w:cs="Times New Roman"/>
                <w:sz w:val="21"/>
              </w:rPr>
            </w:pPr>
            <w:r>
              <w:rPr>
                <w:rFonts w:cs="Times New Roman"/>
                <w:sz w:val="21"/>
                <w:lang w:eastAsia="zh-CN" w:bidi="ar"/>
              </w:rPr>
              <w:t>1640.57</w:t>
            </w:r>
          </w:p>
        </w:tc>
        <w:tc>
          <w:tcPr>
            <w:tcW w:w="416" w:type="pct"/>
            <w:shd w:val="clear" w:color="auto" w:fill="auto"/>
            <w:vAlign w:val="center"/>
          </w:tcPr>
          <w:p w14:paraId="23B15FE9">
            <w:pPr>
              <w:spacing w:line="240" w:lineRule="auto"/>
              <w:ind w:firstLine="0" w:firstLineChars="0"/>
              <w:jc w:val="center"/>
              <w:textAlignment w:val="center"/>
              <w:rPr>
                <w:rFonts w:cs="Times New Roman"/>
                <w:sz w:val="21"/>
              </w:rPr>
            </w:pPr>
            <w:r>
              <w:rPr>
                <w:rFonts w:cs="Times New Roman"/>
                <w:sz w:val="21"/>
                <w:lang w:eastAsia="zh-CN" w:bidi="ar"/>
              </w:rPr>
              <w:t>125280.50</w:t>
            </w:r>
          </w:p>
        </w:tc>
        <w:tc>
          <w:tcPr>
            <w:tcW w:w="336" w:type="pct"/>
            <w:shd w:val="clear" w:color="auto" w:fill="auto"/>
            <w:vAlign w:val="center"/>
          </w:tcPr>
          <w:p w14:paraId="66B922C4">
            <w:pPr>
              <w:spacing w:line="240" w:lineRule="auto"/>
              <w:ind w:firstLine="0" w:firstLineChars="0"/>
              <w:jc w:val="center"/>
              <w:textAlignment w:val="center"/>
              <w:rPr>
                <w:rFonts w:cs="Times New Roman"/>
                <w:sz w:val="21"/>
              </w:rPr>
            </w:pPr>
            <w:r>
              <w:rPr>
                <w:rFonts w:cs="Times New Roman"/>
                <w:sz w:val="21"/>
                <w:lang w:eastAsia="zh-CN" w:bidi="ar"/>
              </w:rPr>
              <w:t>2645.80</w:t>
            </w:r>
          </w:p>
        </w:tc>
        <w:tc>
          <w:tcPr>
            <w:tcW w:w="416" w:type="pct"/>
            <w:shd w:val="clear" w:color="auto" w:fill="auto"/>
            <w:vAlign w:val="center"/>
          </w:tcPr>
          <w:p w14:paraId="6777B116">
            <w:pPr>
              <w:spacing w:line="240" w:lineRule="auto"/>
              <w:ind w:firstLine="0" w:firstLineChars="0"/>
              <w:jc w:val="center"/>
              <w:textAlignment w:val="center"/>
              <w:rPr>
                <w:rFonts w:cs="Times New Roman"/>
                <w:sz w:val="21"/>
              </w:rPr>
            </w:pPr>
            <w:r>
              <w:rPr>
                <w:rFonts w:cs="Times New Roman"/>
                <w:sz w:val="21"/>
                <w:lang w:eastAsia="zh-CN" w:bidi="ar"/>
              </w:rPr>
              <w:t>338443.70</w:t>
            </w:r>
          </w:p>
        </w:tc>
        <w:tc>
          <w:tcPr>
            <w:tcW w:w="296" w:type="pct"/>
            <w:shd w:val="clear" w:color="auto" w:fill="auto"/>
            <w:vAlign w:val="center"/>
          </w:tcPr>
          <w:p w14:paraId="75D18ACE">
            <w:pPr>
              <w:spacing w:line="240" w:lineRule="auto"/>
              <w:ind w:firstLine="0" w:firstLineChars="0"/>
              <w:jc w:val="center"/>
              <w:textAlignment w:val="center"/>
              <w:rPr>
                <w:rFonts w:cs="Times New Roman"/>
                <w:sz w:val="21"/>
              </w:rPr>
            </w:pPr>
            <w:r>
              <w:rPr>
                <w:rFonts w:cs="Times New Roman"/>
                <w:sz w:val="21"/>
                <w:lang w:eastAsia="zh-CN" w:bidi="ar"/>
              </w:rPr>
              <w:t>186.93</w:t>
            </w:r>
          </w:p>
        </w:tc>
        <w:tc>
          <w:tcPr>
            <w:tcW w:w="377" w:type="pct"/>
            <w:shd w:val="clear" w:color="auto" w:fill="auto"/>
            <w:vAlign w:val="center"/>
          </w:tcPr>
          <w:p w14:paraId="02C6FDAC">
            <w:pPr>
              <w:spacing w:line="240" w:lineRule="auto"/>
              <w:ind w:firstLine="0" w:firstLineChars="0"/>
              <w:jc w:val="center"/>
              <w:textAlignment w:val="center"/>
              <w:rPr>
                <w:rFonts w:cs="Times New Roman"/>
                <w:sz w:val="21"/>
              </w:rPr>
            </w:pPr>
            <w:r>
              <w:rPr>
                <w:rFonts w:cs="Times New Roman"/>
                <w:sz w:val="21"/>
                <w:lang w:eastAsia="zh-CN" w:bidi="ar"/>
              </w:rPr>
              <w:t>23498.70</w:t>
            </w:r>
          </w:p>
        </w:tc>
        <w:tc>
          <w:tcPr>
            <w:tcW w:w="296" w:type="pct"/>
            <w:shd w:val="clear" w:color="auto" w:fill="auto"/>
            <w:vAlign w:val="center"/>
          </w:tcPr>
          <w:p w14:paraId="26FE5447">
            <w:pPr>
              <w:spacing w:line="240" w:lineRule="auto"/>
              <w:ind w:firstLine="0" w:firstLineChars="0"/>
              <w:jc w:val="center"/>
              <w:textAlignment w:val="center"/>
              <w:rPr>
                <w:rFonts w:cs="Times New Roman"/>
                <w:sz w:val="21"/>
              </w:rPr>
            </w:pPr>
            <w:r>
              <w:rPr>
                <w:rFonts w:cs="Times New Roman"/>
                <w:sz w:val="21"/>
                <w:lang w:eastAsia="zh-CN" w:bidi="ar"/>
              </w:rPr>
              <w:t>35.79</w:t>
            </w:r>
          </w:p>
        </w:tc>
        <w:tc>
          <w:tcPr>
            <w:tcW w:w="375" w:type="pct"/>
            <w:shd w:val="clear" w:color="auto" w:fill="auto"/>
            <w:vAlign w:val="center"/>
          </w:tcPr>
          <w:p w14:paraId="05F3E265">
            <w:pPr>
              <w:spacing w:line="240" w:lineRule="auto"/>
              <w:ind w:firstLine="0" w:firstLineChars="0"/>
              <w:jc w:val="center"/>
              <w:textAlignment w:val="center"/>
              <w:rPr>
                <w:rFonts w:cs="Times New Roman"/>
                <w:sz w:val="21"/>
              </w:rPr>
            </w:pPr>
            <w:r>
              <w:rPr>
                <w:rFonts w:cs="Times New Roman"/>
                <w:sz w:val="21"/>
                <w:lang w:eastAsia="zh-CN" w:bidi="ar"/>
              </w:rPr>
              <w:t>5949.10</w:t>
            </w:r>
          </w:p>
        </w:tc>
      </w:tr>
      <w:tr w14:paraId="5B059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38" w:type="pct"/>
            <w:vMerge w:val="continue"/>
            <w:shd w:val="clear" w:color="auto" w:fill="auto"/>
            <w:vAlign w:val="center"/>
          </w:tcPr>
          <w:p w14:paraId="6C3C6AF5">
            <w:pPr>
              <w:spacing w:line="240" w:lineRule="auto"/>
              <w:ind w:firstLine="0" w:firstLineChars="0"/>
              <w:jc w:val="center"/>
              <w:rPr>
                <w:rFonts w:cs="Times New Roman"/>
                <w:sz w:val="21"/>
              </w:rPr>
            </w:pPr>
          </w:p>
        </w:tc>
        <w:tc>
          <w:tcPr>
            <w:tcW w:w="528" w:type="pct"/>
            <w:shd w:val="clear" w:color="auto" w:fill="auto"/>
            <w:vAlign w:val="center"/>
          </w:tcPr>
          <w:p w14:paraId="64E02BB8">
            <w:pPr>
              <w:spacing w:line="240" w:lineRule="auto"/>
              <w:ind w:firstLine="0" w:firstLineChars="0"/>
              <w:jc w:val="center"/>
              <w:textAlignment w:val="center"/>
              <w:rPr>
                <w:rFonts w:cs="Times New Roman"/>
                <w:sz w:val="21"/>
              </w:rPr>
            </w:pPr>
            <w:r>
              <w:rPr>
                <w:rFonts w:cs="Times New Roman"/>
                <w:sz w:val="21"/>
                <w:lang w:eastAsia="zh-CN" w:bidi="ar"/>
              </w:rPr>
              <w:t>枫香</w:t>
            </w:r>
          </w:p>
        </w:tc>
        <w:tc>
          <w:tcPr>
            <w:tcW w:w="336" w:type="pct"/>
            <w:shd w:val="clear" w:color="auto" w:fill="auto"/>
            <w:vAlign w:val="center"/>
          </w:tcPr>
          <w:p w14:paraId="06FA0F48">
            <w:pPr>
              <w:spacing w:line="240" w:lineRule="auto"/>
              <w:ind w:firstLine="0" w:firstLineChars="0"/>
              <w:jc w:val="center"/>
              <w:textAlignment w:val="center"/>
              <w:rPr>
                <w:rFonts w:cs="Times New Roman"/>
                <w:sz w:val="21"/>
              </w:rPr>
            </w:pPr>
            <w:r>
              <w:rPr>
                <w:rFonts w:cs="Times New Roman"/>
                <w:sz w:val="21"/>
                <w:lang w:eastAsia="zh-CN" w:bidi="ar"/>
              </w:rPr>
              <w:t>43.37</w:t>
            </w:r>
          </w:p>
        </w:tc>
        <w:tc>
          <w:tcPr>
            <w:tcW w:w="416" w:type="pct"/>
            <w:shd w:val="clear" w:color="auto" w:fill="auto"/>
            <w:vAlign w:val="center"/>
          </w:tcPr>
          <w:p w14:paraId="4229040A">
            <w:pPr>
              <w:spacing w:line="240" w:lineRule="auto"/>
              <w:ind w:firstLine="0" w:firstLineChars="0"/>
              <w:jc w:val="center"/>
              <w:textAlignment w:val="center"/>
              <w:rPr>
                <w:rFonts w:cs="Times New Roman"/>
                <w:sz w:val="21"/>
              </w:rPr>
            </w:pPr>
            <w:r>
              <w:rPr>
                <w:rFonts w:cs="Times New Roman"/>
                <w:sz w:val="21"/>
                <w:lang w:eastAsia="zh-CN" w:bidi="ar"/>
              </w:rPr>
              <w:t>2210.70</w:t>
            </w:r>
          </w:p>
        </w:tc>
        <w:tc>
          <w:tcPr>
            <w:tcW w:w="296" w:type="pct"/>
            <w:shd w:val="clear" w:color="auto" w:fill="auto"/>
            <w:vAlign w:val="center"/>
          </w:tcPr>
          <w:p w14:paraId="3A8CC707">
            <w:pPr>
              <w:spacing w:line="240" w:lineRule="auto"/>
              <w:ind w:firstLine="0" w:firstLineChars="0"/>
              <w:jc w:val="center"/>
              <w:textAlignment w:val="center"/>
              <w:rPr>
                <w:rFonts w:cs="Times New Roman"/>
                <w:sz w:val="21"/>
              </w:rPr>
            </w:pPr>
          </w:p>
        </w:tc>
        <w:tc>
          <w:tcPr>
            <w:tcW w:w="338" w:type="pct"/>
            <w:shd w:val="clear" w:color="auto" w:fill="auto"/>
            <w:vAlign w:val="center"/>
          </w:tcPr>
          <w:p w14:paraId="45BC37C0">
            <w:pPr>
              <w:spacing w:line="240" w:lineRule="auto"/>
              <w:ind w:firstLine="0" w:firstLineChars="0"/>
              <w:jc w:val="center"/>
              <w:textAlignment w:val="center"/>
              <w:rPr>
                <w:rFonts w:cs="Times New Roman"/>
                <w:sz w:val="21"/>
              </w:rPr>
            </w:pPr>
          </w:p>
        </w:tc>
        <w:tc>
          <w:tcPr>
            <w:tcW w:w="336" w:type="pct"/>
            <w:shd w:val="clear" w:color="auto" w:fill="auto"/>
            <w:vAlign w:val="center"/>
          </w:tcPr>
          <w:p w14:paraId="60B3A347">
            <w:pPr>
              <w:spacing w:line="240" w:lineRule="auto"/>
              <w:ind w:firstLine="0" w:firstLineChars="0"/>
              <w:jc w:val="center"/>
              <w:textAlignment w:val="center"/>
              <w:rPr>
                <w:rFonts w:cs="Times New Roman"/>
                <w:sz w:val="21"/>
              </w:rPr>
            </w:pPr>
            <w:r>
              <w:rPr>
                <w:rFonts w:cs="Times New Roman"/>
                <w:sz w:val="21"/>
                <w:lang w:eastAsia="zh-CN" w:bidi="ar"/>
              </w:rPr>
              <w:t>43.37</w:t>
            </w:r>
          </w:p>
        </w:tc>
        <w:tc>
          <w:tcPr>
            <w:tcW w:w="416" w:type="pct"/>
            <w:shd w:val="clear" w:color="auto" w:fill="auto"/>
            <w:vAlign w:val="center"/>
          </w:tcPr>
          <w:p w14:paraId="668BD586">
            <w:pPr>
              <w:spacing w:line="240" w:lineRule="auto"/>
              <w:ind w:firstLine="0" w:firstLineChars="0"/>
              <w:jc w:val="center"/>
              <w:textAlignment w:val="center"/>
              <w:rPr>
                <w:rFonts w:cs="Times New Roman"/>
                <w:sz w:val="21"/>
              </w:rPr>
            </w:pPr>
            <w:r>
              <w:rPr>
                <w:rFonts w:cs="Times New Roman"/>
                <w:sz w:val="21"/>
                <w:lang w:eastAsia="zh-CN" w:bidi="ar"/>
              </w:rPr>
              <w:t>2210.70</w:t>
            </w:r>
          </w:p>
        </w:tc>
        <w:tc>
          <w:tcPr>
            <w:tcW w:w="336" w:type="pct"/>
            <w:shd w:val="clear" w:color="auto" w:fill="auto"/>
            <w:vAlign w:val="center"/>
          </w:tcPr>
          <w:p w14:paraId="1D8B63C0">
            <w:pPr>
              <w:spacing w:line="240" w:lineRule="auto"/>
              <w:ind w:firstLine="0" w:firstLineChars="0"/>
              <w:jc w:val="center"/>
              <w:textAlignment w:val="center"/>
              <w:rPr>
                <w:rFonts w:cs="Times New Roman"/>
                <w:sz w:val="21"/>
              </w:rPr>
            </w:pPr>
          </w:p>
        </w:tc>
        <w:tc>
          <w:tcPr>
            <w:tcW w:w="416" w:type="pct"/>
            <w:shd w:val="clear" w:color="auto" w:fill="auto"/>
            <w:vAlign w:val="center"/>
          </w:tcPr>
          <w:p w14:paraId="077E9013">
            <w:pPr>
              <w:spacing w:line="240" w:lineRule="auto"/>
              <w:ind w:firstLine="0" w:firstLineChars="0"/>
              <w:jc w:val="center"/>
              <w:textAlignment w:val="center"/>
              <w:rPr>
                <w:rFonts w:cs="Times New Roman"/>
                <w:sz w:val="21"/>
              </w:rPr>
            </w:pPr>
          </w:p>
        </w:tc>
        <w:tc>
          <w:tcPr>
            <w:tcW w:w="296" w:type="pct"/>
            <w:shd w:val="clear" w:color="auto" w:fill="auto"/>
            <w:vAlign w:val="center"/>
          </w:tcPr>
          <w:p w14:paraId="1D69DBC8">
            <w:pPr>
              <w:spacing w:line="240" w:lineRule="auto"/>
              <w:ind w:firstLine="0" w:firstLineChars="0"/>
              <w:jc w:val="center"/>
              <w:textAlignment w:val="center"/>
              <w:rPr>
                <w:rFonts w:cs="Times New Roman"/>
                <w:sz w:val="21"/>
              </w:rPr>
            </w:pPr>
          </w:p>
        </w:tc>
        <w:tc>
          <w:tcPr>
            <w:tcW w:w="377" w:type="pct"/>
            <w:shd w:val="clear" w:color="auto" w:fill="auto"/>
            <w:vAlign w:val="center"/>
          </w:tcPr>
          <w:p w14:paraId="012147F3">
            <w:pPr>
              <w:spacing w:line="240" w:lineRule="auto"/>
              <w:ind w:firstLine="0" w:firstLineChars="0"/>
              <w:jc w:val="center"/>
              <w:textAlignment w:val="center"/>
              <w:rPr>
                <w:rFonts w:cs="Times New Roman"/>
                <w:sz w:val="21"/>
              </w:rPr>
            </w:pPr>
          </w:p>
        </w:tc>
        <w:tc>
          <w:tcPr>
            <w:tcW w:w="296" w:type="pct"/>
            <w:shd w:val="clear" w:color="auto" w:fill="auto"/>
            <w:vAlign w:val="center"/>
          </w:tcPr>
          <w:p w14:paraId="74D1E2E8">
            <w:pPr>
              <w:spacing w:line="240" w:lineRule="auto"/>
              <w:ind w:firstLine="0" w:firstLineChars="0"/>
              <w:jc w:val="center"/>
              <w:textAlignment w:val="center"/>
              <w:rPr>
                <w:rFonts w:cs="Times New Roman"/>
                <w:sz w:val="21"/>
              </w:rPr>
            </w:pPr>
          </w:p>
        </w:tc>
        <w:tc>
          <w:tcPr>
            <w:tcW w:w="375" w:type="pct"/>
            <w:shd w:val="clear" w:color="auto" w:fill="auto"/>
            <w:vAlign w:val="center"/>
          </w:tcPr>
          <w:p w14:paraId="32FACFE0">
            <w:pPr>
              <w:spacing w:line="240" w:lineRule="auto"/>
              <w:ind w:firstLine="0" w:firstLineChars="0"/>
              <w:jc w:val="center"/>
              <w:textAlignment w:val="center"/>
              <w:rPr>
                <w:rFonts w:cs="Times New Roman"/>
                <w:sz w:val="21"/>
              </w:rPr>
            </w:pPr>
          </w:p>
        </w:tc>
      </w:tr>
      <w:tr w14:paraId="6606E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38" w:type="pct"/>
            <w:vMerge w:val="continue"/>
            <w:shd w:val="clear" w:color="auto" w:fill="auto"/>
            <w:vAlign w:val="center"/>
          </w:tcPr>
          <w:p w14:paraId="7FAACBA2">
            <w:pPr>
              <w:spacing w:line="240" w:lineRule="auto"/>
              <w:ind w:firstLine="0" w:firstLineChars="0"/>
              <w:jc w:val="center"/>
              <w:rPr>
                <w:rFonts w:cs="Times New Roman"/>
                <w:sz w:val="21"/>
              </w:rPr>
            </w:pPr>
          </w:p>
        </w:tc>
        <w:tc>
          <w:tcPr>
            <w:tcW w:w="528" w:type="pct"/>
            <w:shd w:val="clear" w:color="auto" w:fill="auto"/>
            <w:vAlign w:val="center"/>
          </w:tcPr>
          <w:p w14:paraId="56530FA5">
            <w:pPr>
              <w:spacing w:line="240" w:lineRule="auto"/>
              <w:ind w:firstLine="0" w:firstLineChars="0"/>
              <w:jc w:val="center"/>
              <w:textAlignment w:val="center"/>
              <w:rPr>
                <w:rFonts w:cs="Times New Roman"/>
                <w:sz w:val="21"/>
              </w:rPr>
            </w:pPr>
            <w:r>
              <w:rPr>
                <w:rFonts w:cs="Times New Roman"/>
                <w:sz w:val="21"/>
                <w:lang w:eastAsia="zh-CN" w:bidi="ar"/>
              </w:rPr>
              <w:t>阔叶混</w:t>
            </w:r>
          </w:p>
        </w:tc>
        <w:tc>
          <w:tcPr>
            <w:tcW w:w="336" w:type="pct"/>
            <w:shd w:val="clear" w:color="auto" w:fill="auto"/>
            <w:vAlign w:val="center"/>
          </w:tcPr>
          <w:p w14:paraId="4B8C0847">
            <w:pPr>
              <w:spacing w:line="240" w:lineRule="auto"/>
              <w:ind w:firstLine="0" w:firstLineChars="0"/>
              <w:jc w:val="center"/>
              <w:textAlignment w:val="center"/>
              <w:rPr>
                <w:rFonts w:cs="Times New Roman"/>
                <w:sz w:val="21"/>
              </w:rPr>
            </w:pPr>
            <w:r>
              <w:rPr>
                <w:rFonts w:cs="Times New Roman"/>
                <w:sz w:val="21"/>
                <w:lang w:eastAsia="zh-CN" w:bidi="ar"/>
              </w:rPr>
              <w:t>4669.89</w:t>
            </w:r>
          </w:p>
        </w:tc>
        <w:tc>
          <w:tcPr>
            <w:tcW w:w="416" w:type="pct"/>
            <w:shd w:val="clear" w:color="auto" w:fill="auto"/>
            <w:vAlign w:val="center"/>
          </w:tcPr>
          <w:p w14:paraId="562675BE">
            <w:pPr>
              <w:spacing w:line="240" w:lineRule="auto"/>
              <w:ind w:firstLine="0" w:firstLineChars="0"/>
              <w:jc w:val="center"/>
              <w:textAlignment w:val="center"/>
              <w:rPr>
                <w:rFonts w:cs="Times New Roman"/>
                <w:sz w:val="21"/>
              </w:rPr>
            </w:pPr>
            <w:r>
              <w:rPr>
                <w:rFonts w:cs="Times New Roman"/>
                <w:sz w:val="21"/>
                <w:lang w:eastAsia="zh-CN" w:bidi="ar"/>
              </w:rPr>
              <w:t>472775.80</w:t>
            </w:r>
          </w:p>
        </w:tc>
        <w:tc>
          <w:tcPr>
            <w:tcW w:w="296" w:type="pct"/>
            <w:shd w:val="clear" w:color="auto" w:fill="auto"/>
            <w:vAlign w:val="center"/>
          </w:tcPr>
          <w:p w14:paraId="1C7FCDB9">
            <w:pPr>
              <w:spacing w:line="240" w:lineRule="auto"/>
              <w:ind w:firstLine="0" w:firstLineChars="0"/>
              <w:jc w:val="center"/>
              <w:textAlignment w:val="center"/>
              <w:rPr>
                <w:rFonts w:cs="Times New Roman"/>
                <w:sz w:val="21"/>
              </w:rPr>
            </w:pPr>
            <w:r>
              <w:rPr>
                <w:rFonts w:cs="Times New Roman"/>
                <w:sz w:val="21"/>
                <w:lang w:eastAsia="zh-CN" w:bidi="ar"/>
              </w:rPr>
              <w:t>516.35</w:t>
            </w:r>
          </w:p>
        </w:tc>
        <w:tc>
          <w:tcPr>
            <w:tcW w:w="338" w:type="pct"/>
            <w:shd w:val="clear" w:color="auto" w:fill="auto"/>
            <w:vAlign w:val="center"/>
          </w:tcPr>
          <w:p w14:paraId="6E03E18F">
            <w:pPr>
              <w:spacing w:line="240" w:lineRule="auto"/>
              <w:ind w:firstLine="0" w:firstLineChars="0"/>
              <w:jc w:val="center"/>
              <w:textAlignment w:val="center"/>
              <w:rPr>
                <w:rFonts w:cs="Times New Roman"/>
                <w:sz w:val="21"/>
              </w:rPr>
            </w:pPr>
            <w:r>
              <w:rPr>
                <w:rFonts w:cs="Times New Roman"/>
                <w:sz w:val="21"/>
                <w:lang w:eastAsia="zh-CN" w:bidi="ar"/>
              </w:rPr>
              <w:t>9422.90</w:t>
            </w:r>
          </w:p>
        </w:tc>
        <w:tc>
          <w:tcPr>
            <w:tcW w:w="336" w:type="pct"/>
            <w:shd w:val="clear" w:color="auto" w:fill="auto"/>
            <w:vAlign w:val="center"/>
          </w:tcPr>
          <w:p w14:paraId="25F1235C">
            <w:pPr>
              <w:spacing w:line="240" w:lineRule="auto"/>
              <w:ind w:firstLine="0" w:firstLineChars="0"/>
              <w:jc w:val="center"/>
              <w:textAlignment w:val="center"/>
              <w:rPr>
                <w:rFonts w:cs="Times New Roman"/>
                <w:sz w:val="21"/>
              </w:rPr>
            </w:pPr>
            <w:r>
              <w:rPr>
                <w:rFonts w:cs="Times New Roman"/>
                <w:sz w:val="21"/>
                <w:lang w:eastAsia="zh-CN" w:bidi="ar"/>
              </w:rPr>
              <w:t>1476.54</w:t>
            </w:r>
          </w:p>
        </w:tc>
        <w:tc>
          <w:tcPr>
            <w:tcW w:w="416" w:type="pct"/>
            <w:shd w:val="clear" w:color="auto" w:fill="auto"/>
            <w:vAlign w:val="center"/>
          </w:tcPr>
          <w:p w14:paraId="2EE6565E">
            <w:pPr>
              <w:spacing w:line="240" w:lineRule="auto"/>
              <w:ind w:firstLine="0" w:firstLineChars="0"/>
              <w:jc w:val="center"/>
              <w:textAlignment w:val="center"/>
              <w:rPr>
                <w:rFonts w:cs="Times New Roman"/>
                <w:sz w:val="21"/>
              </w:rPr>
            </w:pPr>
            <w:r>
              <w:rPr>
                <w:rFonts w:cs="Times New Roman"/>
                <w:sz w:val="21"/>
                <w:lang w:eastAsia="zh-CN" w:bidi="ar"/>
              </w:rPr>
              <w:t>116329.60</w:t>
            </w:r>
          </w:p>
        </w:tc>
        <w:tc>
          <w:tcPr>
            <w:tcW w:w="336" w:type="pct"/>
            <w:shd w:val="clear" w:color="auto" w:fill="auto"/>
            <w:vAlign w:val="center"/>
          </w:tcPr>
          <w:p w14:paraId="558C14BC">
            <w:pPr>
              <w:spacing w:line="240" w:lineRule="auto"/>
              <w:ind w:firstLine="0" w:firstLineChars="0"/>
              <w:jc w:val="center"/>
              <w:textAlignment w:val="center"/>
              <w:rPr>
                <w:rFonts w:cs="Times New Roman"/>
                <w:sz w:val="21"/>
              </w:rPr>
            </w:pPr>
            <w:r>
              <w:rPr>
                <w:rFonts w:cs="Times New Roman"/>
                <w:sz w:val="21"/>
                <w:lang w:eastAsia="zh-CN" w:bidi="ar"/>
              </w:rPr>
              <w:t>2519.38</w:t>
            </w:r>
          </w:p>
        </w:tc>
        <w:tc>
          <w:tcPr>
            <w:tcW w:w="416" w:type="pct"/>
            <w:shd w:val="clear" w:color="auto" w:fill="auto"/>
            <w:vAlign w:val="center"/>
          </w:tcPr>
          <w:p w14:paraId="7A046029">
            <w:pPr>
              <w:spacing w:line="240" w:lineRule="auto"/>
              <w:ind w:firstLine="0" w:firstLineChars="0"/>
              <w:jc w:val="center"/>
              <w:textAlignment w:val="center"/>
              <w:rPr>
                <w:rFonts w:cs="Times New Roman"/>
                <w:sz w:val="21"/>
              </w:rPr>
            </w:pPr>
            <w:r>
              <w:rPr>
                <w:rFonts w:cs="Times New Roman"/>
                <w:sz w:val="21"/>
                <w:lang w:eastAsia="zh-CN" w:bidi="ar"/>
              </w:rPr>
              <w:t>326721.30</w:t>
            </w:r>
          </w:p>
        </w:tc>
        <w:tc>
          <w:tcPr>
            <w:tcW w:w="296" w:type="pct"/>
            <w:shd w:val="clear" w:color="auto" w:fill="auto"/>
            <w:vAlign w:val="center"/>
          </w:tcPr>
          <w:p w14:paraId="14EA0C5E">
            <w:pPr>
              <w:spacing w:line="240" w:lineRule="auto"/>
              <w:ind w:firstLine="0" w:firstLineChars="0"/>
              <w:jc w:val="center"/>
              <w:textAlignment w:val="center"/>
              <w:rPr>
                <w:rFonts w:cs="Times New Roman"/>
                <w:sz w:val="21"/>
              </w:rPr>
            </w:pPr>
            <w:r>
              <w:rPr>
                <w:rFonts w:cs="Times New Roman"/>
                <w:sz w:val="21"/>
                <w:lang w:eastAsia="zh-CN" w:bidi="ar"/>
              </w:rPr>
              <w:t>155.52</w:t>
            </w:r>
          </w:p>
        </w:tc>
        <w:tc>
          <w:tcPr>
            <w:tcW w:w="377" w:type="pct"/>
            <w:shd w:val="clear" w:color="auto" w:fill="auto"/>
            <w:vAlign w:val="center"/>
          </w:tcPr>
          <w:p w14:paraId="71E93535">
            <w:pPr>
              <w:spacing w:line="240" w:lineRule="auto"/>
              <w:ind w:firstLine="0" w:firstLineChars="0"/>
              <w:jc w:val="center"/>
              <w:textAlignment w:val="center"/>
              <w:rPr>
                <w:rFonts w:cs="Times New Roman"/>
                <w:sz w:val="21"/>
              </w:rPr>
            </w:pPr>
            <w:r>
              <w:rPr>
                <w:rFonts w:cs="Times New Roman"/>
                <w:sz w:val="21"/>
                <w:lang w:eastAsia="zh-CN" w:bidi="ar"/>
              </w:rPr>
              <w:t>19936.30</w:t>
            </w:r>
          </w:p>
        </w:tc>
        <w:tc>
          <w:tcPr>
            <w:tcW w:w="296" w:type="pct"/>
            <w:shd w:val="clear" w:color="auto" w:fill="auto"/>
            <w:vAlign w:val="center"/>
          </w:tcPr>
          <w:p w14:paraId="1AAB21E6">
            <w:pPr>
              <w:spacing w:line="240" w:lineRule="auto"/>
              <w:ind w:firstLine="0" w:firstLineChars="0"/>
              <w:jc w:val="center"/>
              <w:textAlignment w:val="center"/>
              <w:rPr>
                <w:rFonts w:cs="Times New Roman"/>
                <w:sz w:val="21"/>
              </w:rPr>
            </w:pPr>
            <w:r>
              <w:rPr>
                <w:rFonts w:cs="Times New Roman"/>
                <w:sz w:val="21"/>
                <w:lang w:eastAsia="zh-CN" w:bidi="ar"/>
              </w:rPr>
              <w:t>2.09</w:t>
            </w:r>
          </w:p>
        </w:tc>
        <w:tc>
          <w:tcPr>
            <w:tcW w:w="375" w:type="pct"/>
            <w:shd w:val="clear" w:color="auto" w:fill="auto"/>
            <w:vAlign w:val="center"/>
          </w:tcPr>
          <w:p w14:paraId="324040E8">
            <w:pPr>
              <w:spacing w:line="240" w:lineRule="auto"/>
              <w:ind w:firstLine="0" w:firstLineChars="0"/>
              <w:jc w:val="center"/>
              <w:textAlignment w:val="center"/>
              <w:rPr>
                <w:rFonts w:cs="Times New Roman"/>
                <w:sz w:val="21"/>
              </w:rPr>
            </w:pPr>
            <w:r>
              <w:rPr>
                <w:rFonts w:cs="Times New Roman"/>
                <w:sz w:val="21"/>
                <w:lang w:eastAsia="zh-CN" w:bidi="ar"/>
              </w:rPr>
              <w:t>365.70</w:t>
            </w:r>
          </w:p>
        </w:tc>
      </w:tr>
      <w:tr w14:paraId="6AC7C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38" w:type="pct"/>
            <w:vMerge w:val="continue"/>
            <w:shd w:val="clear" w:color="auto" w:fill="auto"/>
            <w:vAlign w:val="center"/>
          </w:tcPr>
          <w:p w14:paraId="310B36DB">
            <w:pPr>
              <w:spacing w:line="240" w:lineRule="auto"/>
              <w:ind w:firstLine="0" w:firstLineChars="0"/>
              <w:jc w:val="center"/>
              <w:rPr>
                <w:rFonts w:cs="Times New Roman"/>
                <w:sz w:val="21"/>
              </w:rPr>
            </w:pPr>
          </w:p>
        </w:tc>
        <w:tc>
          <w:tcPr>
            <w:tcW w:w="528" w:type="pct"/>
            <w:shd w:val="clear" w:color="auto" w:fill="auto"/>
            <w:vAlign w:val="center"/>
          </w:tcPr>
          <w:p w14:paraId="16444714">
            <w:pPr>
              <w:spacing w:line="240" w:lineRule="auto"/>
              <w:ind w:firstLine="0" w:firstLineChars="0"/>
              <w:jc w:val="center"/>
              <w:textAlignment w:val="center"/>
              <w:rPr>
                <w:rFonts w:cs="Times New Roman"/>
                <w:sz w:val="21"/>
              </w:rPr>
            </w:pPr>
            <w:r>
              <w:rPr>
                <w:rFonts w:cs="Times New Roman"/>
                <w:sz w:val="21"/>
                <w:lang w:eastAsia="zh-CN" w:bidi="ar"/>
              </w:rPr>
              <w:t>栎类</w:t>
            </w:r>
          </w:p>
        </w:tc>
        <w:tc>
          <w:tcPr>
            <w:tcW w:w="336" w:type="pct"/>
            <w:shd w:val="clear" w:color="auto" w:fill="auto"/>
            <w:vAlign w:val="center"/>
          </w:tcPr>
          <w:p w14:paraId="546783BC">
            <w:pPr>
              <w:spacing w:line="240" w:lineRule="auto"/>
              <w:ind w:firstLine="0" w:firstLineChars="0"/>
              <w:jc w:val="center"/>
              <w:textAlignment w:val="center"/>
              <w:rPr>
                <w:rFonts w:cs="Times New Roman"/>
                <w:sz w:val="21"/>
              </w:rPr>
            </w:pPr>
            <w:r>
              <w:rPr>
                <w:rFonts w:cs="Times New Roman"/>
                <w:sz w:val="21"/>
                <w:lang w:eastAsia="zh-CN" w:bidi="ar"/>
              </w:rPr>
              <w:t>80.58</w:t>
            </w:r>
          </w:p>
        </w:tc>
        <w:tc>
          <w:tcPr>
            <w:tcW w:w="416" w:type="pct"/>
            <w:shd w:val="clear" w:color="auto" w:fill="auto"/>
            <w:vAlign w:val="center"/>
          </w:tcPr>
          <w:p w14:paraId="2235A95A">
            <w:pPr>
              <w:spacing w:line="240" w:lineRule="auto"/>
              <w:ind w:firstLine="0" w:firstLineChars="0"/>
              <w:jc w:val="center"/>
              <w:textAlignment w:val="center"/>
              <w:rPr>
                <w:rFonts w:cs="Times New Roman"/>
                <w:sz w:val="21"/>
              </w:rPr>
            </w:pPr>
            <w:r>
              <w:rPr>
                <w:rFonts w:cs="Times New Roman"/>
                <w:sz w:val="21"/>
                <w:lang w:eastAsia="zh-CN" w:bidi="ar"/>
              </w:rPr>
              <w:t>7338.30</w:t>
            </w:r>
          </w:p>
        </w:tc>
        <w:tc>
          <w:tcPr>
            <w:tcW w:w="296" w:type="pct"/>
            <w:shd w:val="clear" w:color="auto" w:fill="auto"/>
            <w:vAlign w:val="center"/>
          </w:tcPr>
          <w:p w14:paraId="7FAEA44E">
            <w:pPr>
              <w:spacing w:line="240" w:lineRule="auto"/>
              <w:ind w:firstLine="0" w:firstLineChars="0"/>
              <w:jc w:val="center"/>
              <w:textAlignment w:val="center"/>
              <w:rPr>
                <w:rFonts w:cs="Times New Roman"/>
                <w:sz w:val="21"/>
              </w:rPr>
            </w:pPr>
            <w:r>
              <w:rPr>
                <w:rFonts w:cs="Times New Roman"/>
                <w:sz w:val="21"/>
                <w:lang w:eastAsia="zh-CN" w:bidi="ar"/>
              </w:rPr>
              <w:t>0.77</w:t>
            </w:r>
          </w:p>
        </w:tc>
        <w:tc>
          <w:tcPr>
            <w:tcW w:w="338" w:type="pct"/>
            <w:shd w:val="clear" w:color="auto" w:fill="auto"/>
            <w:vAlign w:val="center"/>
          </w:tcPr>
          <w:p w14:paraId="69E23088">
            <w:pPr>
              <w:spacing w:line="240" w:lineRule="auto"/>
              <w:ind w:firstLine="0" w:firstLineChars="0"/>
              <w:jc w:val="center"/>
              <w:textAlignment w:val="center"/>
              <w:rPr>
                <w:rFonts w:cs="Times New Roman"/>
                <w:sz w:val="21"/>
              </w:rPr>
            </w:pPr>
            <w:r>
              <w:rPr>
                <w:rFonts w:cs="Times New Roman"/>
                <w:sz w:val="21"/>
                <w:lang w:eastAsia="zh-CN" w:bidi="ar"/>
              </w:rPr>
              <w:t>12.30</w:t>
            </w:r>
          </w:p>
        </w:tc>
        <w:tc>
          <w:tcPr>
            <w:tcW w:w="336" w:type="pct"/>
            <w:shd w:val="clear" w:color="auto" w:fill="auto"/>
            <w:vAlign w:val="center"/>
          </w:tcPr>
          <w:p w14:paraId="256CB656">
            <w:pPr>
              <w:spacing w:line="240" w:lineRule="auto"/>
              <w:ind w:firstLine="0" w:firstLineChars="0"/>
              <w:jc w:val="center"/>
              <w:textAlignment w:val="center"/>
              <w:rPr>
                <w:rFonts w:cs="Times New Roman"/>
                <w:sz w:val="21"/>
              </w:rPr>
            </w:pPr>
            <w:r>
              <w:rPr>
                <w:rFonts w:cs="Times New Roman"/>
                <w:sz w:val="21"/>
                <w:lang w:eastAsia="zh-CN" w:bidi="ar"/>
              </w:rPr>
              <w:t>10.75</w:t>
            </w:r>
          </w:p>
        </w:tc>
        <w:tc>
          <w:tcPr>
            <w:tcW w:w="416" w:type="pct"/>
            <w:shd w:val="clear" w:color="auto" w:fill="auto"/>
            <w:vAlign w:val="center"/>
          </w:tcPr>
          <w:p w14:paraId="569BCE6B">
            <w:pPr>
              <w:spacing w:line="240" w:lineRule="auto"/>
              <w:ind w:firstLine="0" w:firstLineChars="0"/>
              <w:jc w:val="center"/>
              <w:textAlignment w:val="center"/>
              <w:rPr>
                <w:rFonts w:cs="Times New Roman"/>
                <w:sz w:val="21"/>
              </w:rPr>
            </w:pPr>
            <w:r>
              <w:rPr>
                <w:rFonts w:cs="Times New Roman"/>
                <w:sz w:val="21"/>
                <w:lang w:eastAsia="zh-CN" w:bidi="ar"/>
              </w:rPr>
              <w:t>767.80</w:t>
            </w:r>
          </w:p>
        </w:tc>
        <w:tc>
          <w:tcPr>
            <w:tcW w:w="336" w:type="pct"/>
            <w:shd w:val="clear" w:color="auto" w:fill="auto"/>
            <w:vAlign w:val="center"/>
          </w:tcPr>
          <w:p w14:paraId="324ABC28">
            <w:pPr>
              <w:spacing w:line="240" w:lineRule="auto"/>
              <w:ind w:firstLine="0" w:firstLineChars="0"/>
              <w:jc w:val="center"/>
              <w:textAlignment w:val="center"/>
              <w:rPr>
                <w:rFonts w:cs="Times New Roman"/>
                <w:sz w:val="21"/>
              </w:rPr>
            </w:pPr>
            <w:r>
              <w:rPr>
                <w:rFonts w:cs="Times New Roman"/>
                <w:sz w:val="21"/>
                <w:lang w:eastAsia="zh-CN" w:bidi="ar"/>
              </w:rPr>
              <w:t>66.39</w:t>
            </w:r>
          </w:p>
        </w:tc>
        <w:tc>
          <w:tcPr>
            <w:tcW w:w="416" w:type="pct"/>
            <w:shd w:val="clear" w:color="auto" w:fill="auto"/>
            <w:vAlign w:val="center"/>
          </w:tcPr>
          <w:p w14:paraId="782129D6">
            <w:pPr>
              <w:spacing w:line="240" w:lineRule="auto"/>
              <w:ind w:firstLine="0" w:firstLineChars="0"/>
              <w:jc w:val="center"/>
              <w:textAlignment w:val="center"/>
              <w:rPr>
                <w:rFonts w:cs="Times New Roman"/>
                <w:sz w:val="21"/>
              </w:rPr>
            </w:pPr>
            <w:r>
              <w:rPr>
                <w:rFonts w:cs="Times New Roman"/>
                <w:sz w:val="21"/>
                <w:lang w:eastAsia="zh-CN" w:bidi="ar"/>
              </w:rPr>
              <w:t>6323.20</w:t>
            </w:r>
          </w:p>
        </w:tc>
        <w:tc>
          <w:tcPr>
            <w:tcW w:w="296" w:type="pct"/>
            <w:shd w:val="clear" w:color="auto" w:fill="auto"/>
            <w:vAlign w:val="center"/>
          </w:tcPr>
          <w:p w14:paraId="2B4EF8BF">
            <w:pPr>
              <w:spacing w:line="240" w:lineRule="auto"/>
              <w:ind w:firstLine="0" w:firstLineChars="0"/>
              <w:jc w:val="center"/>
              <w:textAlignment w:val="center"/>
              <w:rPr>
                <w:rFonts w:cs="Times New Roman"/>
                <w:sz w:val="21"/>
              </w:rPr>
            </w:pPr>
            <w:r>
              <w:rPr>
                <w:rFonts w:cs="Times New Roman"/>
                <w:sz w:val="21"/>
                <w:lang w:eastAsia="zh-CN" w:bidi="ar"/>
              </w:rPr>
              <w:t>2.67</w:t>
            </w:r>
          </w:p>
        </w:tc>
        <w:tc>
          <w:tcPr>
            <w:tcW w:w="377" w:type="pct"/>
            <w:shd w:val="clear" w:color="auto" w:fill="auto"/>
            <w:vAlign w:val="center"/>
          </w:tcPr>
          <w:p w14:paraId="0FA9708F">
            <w:pPr>
              <w:spacing w:line="240" w:lineRule="auto"/>
              <w:ind w:firstLine="0" w:firstLineChars="0"/>
              <w:jc w:val="center"/>
              <w:textAlignment w:val="center"/>
              <w:rPr>
                <w:rFonts w:cs="Times New Roman"/>
                <w:sz w:val="21"/>
              </w:rPr>
            </w:pPr>
            <w:r>
              <w:rPr>
                <w:rFonts w:cs="Times New Roman"/>
                <w:sz w:val="21"/>
                <w:lang w:eastAsia="zh-CN" w:bidi="ar"/>
              </w:rPr>
              <w:t>235.00</w:t>
            </w:r>
          </w:p>
        </w:tc>
        <w:tc>
          <w:tcPr>
            <w:tcW w:w="296" w:type="pct"/>
            <w:shd w:val="clear" w:color="auto" w:fill="auto"/>
            <w:vAlign w:val="center"/>
          </w:tcPr>
          <w:p w14:paraId="724FE820">
            <w:pPr>
              <w:spacing w:line="240" w:lineRule="auto"/>
              <w:ind w:firstLine="0" w:firstLineChars="0"/>
              <w:jc w:val="center"/>
              <w:textAlignment w:val="center"/>
              <w:rPr>
                <w:rFonts w:cs="Times New Roman"/>
                <w:sz w:val="21"/>
              </w:rPr>
            </w:pPr>
          </w:p>
        </w:tc>
        <w:tc>
          <w:tcPr>
            <w:tcW w:w="375" w:type="pct"/>
            <w:shd w:val="clear" w:color="auto" w:fill="auto"/>
            <w:vAlign w:val="center"/>
          </w:tcPr>
          <w:p w14:paraId="7E890D15">
            <w:pPr>
              <w:spacing w:line="240" w:lineRule="auto"/>
              <w:ind w:firstLine="0" w:firstLineChars="0"/>
              <w:jc w:val="center"/>
              <w:textAlignment w:val="center"/>
              <w:rPr>
                <w:rFonts w:cs="Times New Roman"/>
                <w:sz w:val="21"/>
              </w:rPr>
            </w:pPr>
          </w:p>
        </w:tc>
      </w:tr>
      <w:tr w14:paraId="33F90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38" w:type="pct"/>
            <w:vMerge w:val="continue"/>
            <w:shd w:val="clear" w:color="auto" w:fill="auto"/>
            <w:vAlign w:val="center"/>
          </w:tcPr>
          <w:p w14:paraId="0D86481E">
            <w:pPr>
              <w:spacing w:line="240" w:lineRule="auto"/>
              <w:ind w:firstLine="0" w:firstLineChars="0"/>
              <w:jc w:val="center"/>
              <w:rPr>
                <w:rFonts w:cs="Times New Roman"/>
                <w:sz w:val="21"/>
              </w:rPr>
            </w:pPr>
          </w:p>
        </w:tc>
        <w:tc>
          <w:tcPr>
            <w:tcW w:w="528" w:type="pct"/>
            <w:shd w:val="clear" w:color="auto" w:fill="auto"/>
            <w:vAlign w:val="center"/>
          </w:tcPr>
          <w:p w14:paraId="73895653">
            <w:pPr>
              <w:spacing w:line="240" w:lineRule="auto"/>
              <w:ind w:firstLine="0" w:firstLineChars="0"/>
              <w:jc w:val="center"/>
              <w:textAlignment w:val="center"/>
              <w:rPr>
                <w:rFonts w:cs="Times New Roman"/>
                <w:sz w:val="21"/>
              </w:rPr>
            </w:pPr>
            <w:r>
              <w:rPr>
                <w:rFonts w:cs="Times New Roman"/>
                <w:sz w:val="21"/>
                <w:lang w:eastAsia="zh-CN" w:bidi="ar"/>
              </w:rPr>
              <w:t>马尾松</w:t>
            </w:r>
          </w:p>
        </w:tc>
        <w:tc>
          <w:tcPr>
            <w:tcW w:w="336" w:type="pct"/>
            <w:shd w:val="clear" w:color="auto" w:fill="auto"/>
            <w:vAlign w:val="center"/>
          </w:tcPr>
          <w:p w14:paraId="76C1AD87">
            <w:pPr>
              <w:spacing w:line="240" w:lineRule="auto"/>
              <w:ind w:firstLine="0" w:firstLineChars="0"/>
              <w:jc w:val="center"/>
              <w:textAlignment w:val="center"/>
              <w:rPr>
                <w:rFonts w:cs="Times New Roman"/>
                <w:sz w:val="21"/>
              </w:rPr>
            </w:pPr>
            <w:r>
              <w:rPr>
                <w:rFonts w:cs="Times New Roman"/>
                <w:sz w:val="21"/>
                <w:lang w:eastAsia="zh-CN" w:bidi="ar"/>
              </w:rPr>
              <w:t>154.88</w:t>
            </w:r>
          </w:p>
        </w:tc>
        <w:tc>
          <w:tcPr>
            <w:tcW w:w="416" w:type="pct"/>
            <w:shd w:val="clear" w:color="auto" w:fill="auto"/>
            <w:vAlign w:val="center"/>
          </w:tcPr>
          <w:p w14:paraId="7F2B0C26">
            <w:pPr>
              <w:spacing w:line="240" w:lineRule="auto"/>
              <w:ind w:firstLine="0" w:firstLineChars="0"/>
              <w:jc w:val="center"/>
              <w:textAlignment w:val="center"/>
              <w:rPr>
                <w:rFonts w:cs="Times New Roman"/>
                <w:sz w:val="21"/>
              </w:rPr>
            </w:pPr>
            <w:r>
              <w:rPr>
                <w:rFonts w:cs="Times New Roman"/>
                <w:sz w:val="21"/>
                <w:lang w:eastAsia="zh-CN" w:bidi="ar"/>
              </w:rPr>
              <w:t>15678.20</w:t>
            </w:r>
          </w:p>
        </w:tc>
        <w:tc>
          <w:tcPr>
            <w:tcW w:w="296" w:type="pct"/>
            <w:shd w:val="clear" w:color="auto" w:fill="auto"/>
            <w:vAlign w:val="center"/>
          </w:tcPr>
          <w:p w14:paraId="317E149A">
            <w:pPr>
              <w:spacing w:line="240" w:lineRule="auto"/>
              <w:ind w:firstLine="0" w:firstLineChars="0"/>
              <w:jc w:val="center"/>
              <w:textAlignment w:val="center"/>
              <w:rPr>
                <w:rFonts w:cs="Times New Roman"/>
                <w:sz w:val="21"/>
              </w:rPr>
            </w:pPr>
          </w:p>
        </w:tc>
        <w:tc>
          <w:tcPr>
            <w:tcW w:w="338" w:type="pct"/>
            <w:shd w:val="clear" w:color="auto" w:fill="auto"/>
            <w:vAlign w:val="center"/>
          </w:tcPr>
          <w:p w14:paraId="4CE92918">
            <w:pPr>
              <w:spacing w:line="240" w:lineRule="auto"/>
              <w:ind w:firstLine="0" w:firstLineChars="0"/>
              <w:jc w:val="center"/>
              <w:textAlignment w:val="center"/>
              <w:rPr>
                <w:rFonts w:cs="Times New Roman"/>
                <w:sz w:val="21"/>
              </w:rPr>
            </w:pPr>
          </w:p>
        </w:tc>
        <w:tc>
          <w:tcPr>
            <w:tcW w:w="336" w:type="pct"/>
            <w:shd w:val="clear" w:color="auto" w:fill="auto"/>
            <w:vAlign w:val="center"/>
          </w:tcPr>
          <w:p w14:paraId="27DA4CB2">
            <w:pPr>
              <w:spacing w:line="240" w:lineRule="auto"/>
              <w:ind w:firstLine="0" w:firstLineChars="0"/>
              <w:jc w:val="center"/>
              <w:textAlignment w:val="center"/>
              <w:rPr>
                <w:rFonts w:cs="Times New Roman"/>
                <w:sz w:val="21"/>
              </w:rPr>
            </w:pPr>
            <w:r>
              <w:rPr>
                <w:rFonts w:cs="Times New Roman"/>
                <w:sz w:val="21"/>
                <w:lang w:eastAsia="zh-CN" w:bidi="ar"/>
              </w:rPr>
              <w:t>32.42</w:t>
            </w:r>
          </w:p>
        </w:tc>
        <w:tc>
          <w:tcPr>
            <w:tcW w:w="416" w:type="pct"/>
            <w:shd w:val="clear" w:color="auto" w:fill="auto"/>
            <w:vAlign w:val="center"/>
          </w:tcPr>
          <w:p w14:paraId="7CBD0D5F">
            <w:pPr>
              <w:spacing w:line="240" w:lineRule="auto"/>
              <w:ind w:firstLine="0" w:firstLineChars="0"/>
              <w:jc w:val="center"/>
              <w:textAlignment w:val="center"/>
              <w:rPr>
                <w:rFonts w:cs="Times New Roman"/>
                <w:sz w:val="21"/>
              </w:rPr>
            </w:pPr>
            <w:r>
              <w:rPr>
                <w:rFonts w:cs="Times New Roman"/>
                <w:sz w:val="21"/>
                <w:lang w:eastAsia="zh-CN" w:bidi="ar"/>
              </w:rPr>
              <w:t>1368.20</w:t>
            </w:r>
          </w:p>
        </w:tc>
        <w:tc>
          <w:tcPr>
            <w:tcW w:w="336" w:type="pct"/>
            <w:shd w:val="clear" w:color="auto" w:fill="auto"/>
            <w:vAlign w:val="center"/>
          </w:tcPr>
          <w:p w14:paraId="7BB6E500">
            <w:pPr>
              <w:spacing w:line="240" w:lineRule="auto"/>
              <w:ind w:firstLine="0" w:firstLineChars="0"/>
              <w:jc w:val="center"/>
              <w:textAlignment w:val="center"/>
              <w:rPr>
                <w:rFonts w:cs="Times New Roman"/>
                <w:sz w:val="21"/>
              </w:rPr>
            </w:pPr>
            <w:r>
              <w:rPr>
                <w:rFonts w:cs="Times New Roman"/>
                <w:sz w:val="21"/>
                <w:lang w:eastAsia="zh-CN" w:bidi="ar"/>
              </w:rPr>
              <w:t>60.02</w:t>
            </w:r>
          </w:p>
        </w:tc>
        <w:tc>
          <w:tcPr>
            <w:tcW w:w="416" w:type="pct"/>
            <w:shd w:val="clear" w:color="auto" w:fill="auto"/>
            <w:vAlign w:val="center"/>
          </w:tcPr>
          <w:p w14:paraId="327C3BFE">
            <w:pPr>
              <w:spacing w:line="240" w:lineRule="auto"/>
              <w:ind w:firstLine="0" w:firstLineChars="0"/>
              <w:jc w:val="center"/>
              <w:textAlignment w:val="center"/>
              <w:rPr>
                <w:rFonts w:cs="Times New Roman"/>
                <w:sz w:val="21"/>
              </w:rPr>
            </w:pPr>
            <w:r>
              <w:rPr>
                <w:rFonts w:cs="Times New Roman"/>
                <w:sz w:val="21"/>
                <w:lang w:eastAsia="zh-CN" w:bidi="ar"/>
              </w:rPr>
              <w:t>5399.20</w:t>
            </w:r>
          </w:p>
        </w:tc>
        <w:tc>
          <w:tcPr>
            <w:tcW w:w="296" w:type="pct"/>
            <w:shd w:val="clear" w:color="auto" w:fill="auto"/>
            <w:vAlign w:val="center"/>
          </w:tcPr>
          <w:p w14:paraId="63165703">
            <w:pPr>
              <w:spacing w:line="240" w:lineRule="auto"/>
              <w:ind w:firstLine="0" w:firstLineChars="0"/>
              <w:jc w:val="center"/>
              <w:textAlignment w:val="center"/>
              <w:rPr>
                <w:rFonts w:cs="Times New Roman"/>
                <w:sz w:val="21"/>
              </w:rPr>
            </w:pPr>
            <w:r>
              <w:rPr>
                <w:rFonts w:cs="Times New Roman"/>
                <w:sz w:val="21"/>
                <w:lang w:eastAsia="zh-CN" w:bidi="ar"/>
              </w:rPr>
              <w:t>28.74</w:t>
            </w:r>
          </w:p>
        </w:tc>
        <w:tc>
          <w:tcPr>
            <w:tcW w:w="377" w:type="pct"/>
            <w:shd w:val="clear" w:color="auto" w:fill="auto"/>
            <w:vAlign w:val="center"/>
          </w:tcPr>
          <w:p w14:paraId="6B1502D3">
            <w:pPr>
              <w:spacing w:line="240" w:lineRule="auto"/>
              <w:ind w:firstLine="0" w:firstLineChars="0"/>
              <w:jc w:val="center"/>
              <w:textAlignment w:val="center"/>
              <w:rPr>
                <w:rFonts w:cs="Times New Roman"/>
                <w:sz w:val="21"/>
              </w:rPr>
            </w:pPr>
            <w:r>
              <w:rPr>
                <w:rFonts w:cs="Times New Roman"/>
                <w:sz w:val="21"/>
                <w:lang w:eastAsia="zh-CN" w:bidi="ar"/>
              </w:rPr>
              <w:t>3327.40</w:t>
            </w:r>
          </w:p>
        </w:tc>
        <w:tc>
          <w:tcPr>
            <w:tcW w:w="296" w:type="pct"/>
            <w:shd w:val="clear" w:color="auto" w:fill="auto"/>
            <w:vAlign w:val="center"/>
          </w:tcPr>
          <w:p w14:paraId="201A58B5">
            <w:pPr>
              <w:spacing w:line="240" w:lineRule="auto"/>
              <w:ind w:firstLine="0" w:firstLineChars="0"/>
              <w:jc w:val="center"/>
              <w:textAlignment w:val="center"/>
              <w:rPr>
                <w:rFonts w:cs="Times New Roman"/>
                <w:sz w:val="21"/>
              </w:rPr>
            </w:pPr>
            <w:r>
              <w:rPr>
                <w:rFonts w:cs="Times New Roman"/>
                <w:sz w:val="21"/>
                <w:lang w:eastAsia="zh-CN" w:bidi="ar"/>
              </w:rPr>
              <w:t>33.70</w:t>
            </w:r>
          </w:p>
        </w:tc>
        <w:tc>
          <w:tcPr>
            <w:tcW w:w="375" w:type="pct"/>
            <w:shd w:val="clear" w:color="auto" w:fill="auto"/>
            <w:vAlign w:val="center"/>
          </w:tcPr>
          <w:p w14:paraId="2DC9DB91">
            <w:pPr>
              <w:spacing w:line="240" w:lineRule="auto"/>
              <w:ind w:firstLine="0" w:firstLineChars="0"/>
              <w:jc w:val="center"/>
              <w:textAlignment w:val="center"/>
              <w:rPr>
                <w:rFonts w:cs="Times New Roman"/>
                <w:sz w:val="21"/>
              </w:rPr>
            </w:pPr>
            <w:r>
              <w:rPr>
                <w:rFonts w:cs="Times New Roman"/>
                <w:sz w:val="21"/>
                <w:lang w:eastAsia="zh-CN" w:bidi="ar"/>
              </w:rPr>
              <w:t>5583.40</w:t>
            </w:r>
          </w:p>
        </w:tc>
      </w:tr>
      <w:tr w14:paraId="73A98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38" w:type="pct"/>
            <w:vMerge w:val="continue"/>
            <w:shd w:val="clear" w:color="auto" w:fill="auto"/>
            <w:vAlign w:val="center"/>
          </w:tcPr>
          <w:p w14:paraId="744AD95C">
            <w:pPr>
              <w:spacing w:line="240" w:lineRule="auto"/>
              <w:ind w:firstLine="0" w:firstLineChars="0"/>
              <w:jc w:val="center"/>
              <w:rPr>
                <w:rFonts w:cs="Times New Roman"/>
                <w:sz w:val="21"/>
              </w:rPr>
            </w:pPr>
          </w:p>
        </w:tc>
        <w:tc>
          <w:tcPr>
            <w:tcW w:w="528" w:type="pct"/>
            <w:shd w:val="clear" w:color="auto" w:fill="auto"/>
            <w:vAlign w:val="center"/>
          </w:tcPr>
          <w:p w14:paraId="768197F4">
            <w:pPr>
              <w:spacing w:line="240" w:lineRule="auto"/>
              <w:ind w:firstLine="0" w:firstLineChars="0"/>
              <w:jc w:val="center"/>
              <w:textAlignment w:val="center"/>
              <w:rPr>
                <w:rFonts w:cs="Times New Roman"/>
                <w:sz w:val="21"/>
              </w:rPr>
            </w:pPr>
            <w:r>
              <w:rPr>
                <w:rFonts w:cs="Times New Roman"/>
                <w:sz w:val="21"/>
                <w:lang w:eastAsia="zh-CN" w:bidi="ar"/>
              </w:rPr>
              <w:t>木荷</w:t>
            </w:r>
          </w:p>
        </w:tc>
        <w:tc>
          <w:tcPr>
            <w:tcW w:w="336" w:type="pct"/>
            <w:shd w:val="clear" w:color="auto" w:fill="auto"/>
            <w:vAlign w:val="center"/>
          </w:tcPr>
          <w:p w14:paraId="64AF5D74">
            <w:pPr>
              <w:spacing w:line="240" w:lineRule="auto"/>
              <w:ind w:firstLine="0" w:firstLineChars="0"/>
              <w:jc w:val="center"/>
              <w:textAlignment w:val="center"/>
              <w:rPr>
                <w:rFonts w:cs="Times New Roman"/>
                <w:sz w:val="21"/>
              </w:rPr>
            </w:pPr>
            <w:r>
              <w:rPr>
                <w:rFonts w:cs="Times New Roman"/>
                <w:sz w:val="21"/>
                <w:lang w:eastAsia="zh-CN" w:bidi="ar"/>
              </w:rPr>
              <w:t>77.50</w:t>
            </w:r>
          </w:p>
        </w:tc>
        <w:tc>
          <w:tcPr>
            <w:tcW w:w="416" w:type="pct"/>
            <w:shd w:val="clear" w:color="auto" w:fill="auto"/>
            <w:vAlign w:val="center"/>
          </w:tcPr>
          <w:p w14:paraId="36A1280C">
            <w:pPr>
              <w:spacing w:line="240" w:lineRule="auto"/>
              <w:ind w:firstLine="0" w:firstLineChars="0"/>
              <w:jc w:val="center"/>
              <w:textAlignment w:val="center"/>
              <w:rPr>
                <w:rFonts w:cs="Times New Roman"/>
                <w:sz w:val="21"/>
              </w:rPr>
            </w:pPr>
            <w:r>
              <w:rPr>
                <w:rFonts w:cs="Times New Roman"/>
                <w:sz w:val="21"/>
                <w:lang w:eastAsia="zh-CN" w:bidi="ar"/>
              </w:rPr>
              <w:t>4604.20</w:t>
            </w:r>
          </w:p>
        </w:tc>
        <w:tc>
          <w:tcPr>
            <w:tcW w:w="296" w:type="pct"/>
            <w:shd w:val="clear" w:color="auto" w:fill="auto"/>
            <w:vAlign w:val="center"/>
          </w:tcPr>
          <w:p w14:paraId="5F8A2654">
            <w:pPr>
              <w:spacing w:line="240" w:lineRule="auto"/>
              <w:ind w:firstLine="0" w:firstLineChars="0"/>
              <w:jc w:val="center"/>
              <w:textAlignment w:val="center"/>
              <w:rPr>
                <w:rFonts w:cs="Times New Roman"/>
                <w:sz w:val="21"/>
              </w:rPr>
            </w:pPr>
          </w:p>
        </w:tc>
        <w:tc>
          <w:tcPr>
            <w:tcW w:w="338" w:type="pct"/>
            <w:shd w:val="clear" w:color="auto" w:fill="auto"/>
            <w:vAlign w:val="center"/>
          </w:tcPr>
          <w:p w14:paraId="51ED59C7">
            <w:pPr>
              <w:spacing w:line="240" w:lineRule="auto"/>
              <w:ind w:firstLine="0" w:firstLineChars="0"/>
              <w:jc w:val="center"/>
              <w:textAlignment w:val="center"/>
              <w:rPr>
                <w:rFonts w:cs="Times New Roman"/>
                <w:sz w:val="21"/>
              </w:rPr>
            </w:pPr>
          </w:p>
        </w:tc>
        <w:tc>
          <w:tcPr>
            <w:tcW w:w="336" w:type="pct"/>
            <w:shd w:val="clear" w:color="auto" w:fill="auto"/>
            <w:vAlign w:val="center"/>
          </w:tcPr>
          <w:p w14:paraId="199A0B66">
            <w:pPr>
              <w:spacing w:line="240" w:lineRule="auto"/>
              <w:ind w:firstLine="0" w:firstLineChars="0"/>
              <w:jc w:val="center"/>
              <w:textAlignment w:val="center"/>
              <w:rPr>
                <w:rFonts w:cs="Times New Roman"/>
                <w:sz w:val="21"/>
              </w:rPr>
            </w:pPr>
            <w:r>
              <w:rPr>
                <w:rFonts w:cs="Times New Roman"/>
                <w:sz w:val="21"/>
                <w:lang w:eastAsia="zh-CN" w:bidi="ar"/>
              </w:rPr>
              <w:t>77.50</w:t>
            </w:r>
          </w:p>
        </w:tc>
        <w:tc>
          <w:tcPr>
            <w:tcW w:w="416" w:type="pct"/>
            <w:shd w:val="clear" w:color="auto" w:fill="auto"/>
            <w:vAlign w:val="center"/>
          </w:tcPr>
          <w:p w14:paraId="45B4154E">
            <w:pPr>
              <w:spacing w:line="240" w:lineRule="auto"/>
              <w:ind w:firstLine="0" w:firstLineChars="0"/>
              <w:jc w:val="center"/>
              <w:textAlignment w:val="center"/>
              <w:rPr>
                <w:rFonts w:cs="Times New Roman"/>
                <w:sz w:val="21"/>
              </w:rPr>
            </w:pPr>
            <w:r>
              <w:rPr>
                <w:rFonts w:cs="Times New Roman"/>
                <w:sz w:val="21"/>
                <w:lang w:eastAsia="zh-CN" w:bidi="ar"/>
              </w:rPr>
              <w:t>4604.20</w:t>
            </w:r>
          </w:p>
        </w:tc>
        <w:tc>
          <w:tcPr>
            <w:tcW w:w="336" w:type="pct"/>
            <w:shd w:val="clear" w:color="auto" w:fill="auto"/>
            <w:vAlign w:val="center"/>
          </w:tcPr>
          <w:p w14:paraId="28A23597">
            <w:pPr>
              <w:spacing w:line="240" w:lineRule="auto"/>
              <w:ind w:firstLine="0" w:firstLineChars="0"/>
              <w:jc w:val="center"/>
              <w:textAlignment w:val="center"/>
              <w:rPr>
                <w:rFonts w:cs="Times New Roman"/>
                <w:sz w:val="21"/>
              </w:rPr>
            </w:pPr>
          </w:p>
        </w:tc>
        <w:tc>
          <w:tcPr>
            <w:tcW w:w="416" w:type="pct"/>
            <w:shd w:val="clear" w:color="auto" w:fill="auto"/>
            <w:vAlign w:val="center"/>
          </w:tcPr>
          <w:p w14:paraId="71EEBD0A">
            <w:pPr>
              <w:spacing w:line="240" w:lineRule="auto"/>
              <w:ind w:firstLine="0" w:firstLineChars="0"/>
              <w:jc w:val="center"/>
              <w:textAlignment w:val="center"/>
              <w:rPr>
                <w:rFonts w:cs="Times New Roman"/>
                <w:sz w:val="21"/>
              </w:rPr>
            </w:pPr>
          </w:p>
        </w:tc>
        <w:tc>
          <w:tcPr>
            <w:tcW w:w="296" w:type="pct"/>
            <w:shd w:val="clear" w:color="auto" w:fill="auto"/>
            <w:vAlign w:val="center"/>
          </w:tcPr>
          <w:p w14:paraId="6ED72B01">
            <w:pPr>
              <w:spacing w:line="240" w:lineRule="auto"/>
              <w:ind w:firstLine="0" w:firstLineChars="0"/>
              <w:jc w:val="center"/>
              <w:textAlignment w:val="center"/>
              <w:rPr>
                <w:rFonts w:cs="Times New Roman"/>
                <w:sz w:val="21"/>
              </w:rPr>
            </w:pPr>
          </w:p>
        </w:tc>
        <w:tc>
          <w:tcPr>
            <w:tcW w:w="377" w:type="pct"/>
            <w:shd w:val="clear" w:color="auto" w:fill="auto"/>
            <w:vAlign w:val="center"/>
          </w:tcPr>
          <w:p w14:paraId="4F99C7AA">
            <w:pPr>
              <w:spacing w:line="240" w:lineRule="auto"/>
              <w:ind w:firstLine="0" w:firstLineChars="0"/>
              <w:jc w:val="center"/>
              <w:textAlignment w:val="center"/>
              <w:rPr>
                <w:rFonts w:cs="Times New Roman"/>
                <w:sz w:val="21"/>
              </w:rPr>
            </w:pPr>
          </w:p>
        </w:tc>
        <w:tc>
          <w:tcPr>
            <w:tcW w:w="296" w:type="pct"/>
            <w:shd w:val="clear" w:color="auto" w:fill="auto"/>
            <w:vAlign w:val="center"/>
          </w:tcPr>
          <w:p w14:paraId="598D99CD">
            <w:pPr>
              <w:spacing w:line="240" w:lineRule="auto"/>
              <w:ind w:firstLine="0" w:firstLineChars="0"/>
              <w:jc w:val="center"/>
              <w:textAlignment w:val="center"/>
              <w:rPr>
                <w:rFonts w:cs="Times New Roman"/>
                <w:sz w:val="21"/>
              </w:rPr>
            </w:pPr>
          </w:p>
        </w:tc>
        <w:tc>
          <w:tcPr>
            <w:tcW w:w="375" w:type="pct"/>
            <w:shd w:val="clear" w:color="auto" w:fill="auto"/>
            <w:vAlign w:val="center"/>
          </w:tcPr>
          <w:p w14:paraId="28522D88">
            <w:pPr>
              <w:spacing w:line="240" w:lineRule="auto"/>
              <w:ind w:firstLine="0" w:firstLineChars="0"/>
              <w:jc w:val="center"/>
              <w:textAlignment w:val="center"/>
              <w:rPr>
                <w:rFonts w:cs="Times New Roman"/>
                <w:sz w:val="21"/>
              </w:rPr>
            </w:pPr>
          </w:p>
        </w:tc>
      </w:tr>
      <w:tr w14:paraId="6D12F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238" w:type="pct"/>
            <w:vMerge w:val="restart"/>
            <w:shd w:val="clear" w:color="auto" w:fill="auto"/>
            <w:vAlign w:val="center"/>
          </w:tcPr>
          <w:p w14:paraId="4ADFCF9C">
            <w:pPr>
              <w:spacing w:line="240" w:lineRule="auto"/>
              <w:ind w:firstLine="0" w:firstLineChars="0"/>
              <w:jc w:val="center"/>
              <w:textAlignment w:val="center"/>
              <w:rPr>
                <w:rFonts w:cs="Times New Roman"/>
                <w:sz w:val="21"/>
              </w:rPr>
            </w:pPr>
            <w:r>
              <w:rPr>
                <w:rFonts w:cs="Times New Roman"/>
                <w:sz w:val="21"/>
                <w:lang w:eastAsia="zh-CN" w:bidi="ar"/>
              </w:rPr>
              <w:t>人工</w:t>
            </w:r>
          </w:p>
        </w:tc>
        <w:tc>
          <w:tcPr>
            <w:tcW w:w="528" w:type="pct"/>
            <w:shd w:val="clear" w:color="auto" w:fill="auto"/>
            <w:vAlign w:val="center"/>
          </w:tcPr>
          <w:p w14:paraId="072C80FF">
            <w:pPr>
              <w:spacing w:line="240" w:lineRule="auto"/>
              <w:ind w:firstLine="0" w:firstLineChars="0"/>
              <w:jc w:val="center"/>
              <w:textAlignment w:val="center"/>
              <w:rPr>
                <w:rFonts w:cs="Times New Roman"/>
                <w:sz w:val="21"/>
              </w:rPr>
            </w:pPr>
            <w:r>
              <w:rPr>
                <w:rFonts w:cs="Times New Roman"/>
                <w:sz w:val="21"/>
                <w:lang w:eastAsia="zh-CN" w:bidi="ar"/>
              </w:rPr>
              <w:t>合计</w:t>
            </w:r>
          </w:p>
        </w:tc>
        <w:tc>
          <w:tcPr>
            <w:tcW w:w="336" w:type="pct"/>
            <w:shd w:val="clear" w:color="auto" w:fill="auto"/>
            <w:vAlign w:val="center"/>
          </w:tcPr>
          <w:p w14:paraId="515D6AA3">
            <w:pPr>
              <w:spacing w:line="240" w:lineRule="auto"/>
              <w:ind w:firstLine="0" w:firstLineChars="0"/>
              <w:jc w:val="center"/>
              <w:textAlignment w:val="center"/>
              <w:rPr>
                <w:rFonts w:cs="Times New Roman"/>
                <w:sz w:val="21"/>
              </w:rPr>
            </w:pPr>
            <w:r>
              <w:rPr>
                <w:rFonts w:cs="Times New Roman"/>
                <w:sz w:val="21"/>
                <w:lang w:eastAsia="zh-CN" w:bidi="ar"/>
              </w:rPr>
              <w:t>1950.16</w:t>
            </w:r>
          </w:p>
        </w:tc>
        <w:tc>
          <w:tcPr>
            <w:tcW w:w="416" w:type="pct"/>
            <w:shd w:val="clear" w:color="auto" w:fill="auto"/>
            <w:vAlign w:val="center"/>
          </w:tcPr>
          <w:p w14:paraId="07D0CB4E">
            <w:pPr>
              <w:spacing w:line="240" w:lineRule="auto"/>
              <w:ind w:firstLine="0" w:firstLineChars="0"/>
              <w:jc w:val="center"/>
              <w:textAlignment w:val="center"/>
              <w:rPr>
                <w:rFonts w:cs="Times New Roman"/>
                <w:sz w:val="21"/>
              </w:rPr>
            </w:pPr>
            <w:r>
              <w:rPr>
                <w:rFonts w:cs="Times New Roman"/>
                <w:sz w:val="21"/>
                <w:lang w:eastAsia="zh-CN" w:bidi="ar"/>
              </w:rPr>
              <w:t>273525.00</w:t>
            </w:r>
          </w:p>
        </w:tc>
        <w:tc>
          <w:tcPr>
            <w:tcW w:w="296" w:type="pct"/>
            <w:shd w:val="clear" w:color="auto" w:fill="auto"/>
            <w:vAlign w:val="center"/>
          </w:tcPr>
          <w:p w14:paraId="70142BE0">
            <w:pPr>
              <w:spacing w:line="240" w:lineRule="auto"/>
              <w:ind w:firstLine="0" w:firstLineChars="0"/>
              <w:jc w:val="center"/>
              <w:textAlignment w:val="center"/>
              <w:rPr>
                <w:rFonts w:cs="Times New Roman"/>
                <w:sz w:val="21"/>
              </w:rPr>
            </w:pPr>
            <w:r>
              <w:rPr>
                <w:rFonts w:cs="Times New Roman"/>
                <w:sz w:val="21"/>
                <w:lang w:eastAsia="zh-CN" w:bidi="ar"/>
              </w:rPr>
              <w:t>183.23</w:t>
            </w:r>
          </w:p>
        </w:tc>
        <w:tc>
          <w:tcPr>
            <w:tcW w:w="338" w:type="pct"/>
            <w:shd w:val="clear" w:color="auto" w:fill="auto"/>
            <w:vAlign w:val="center"/>
          </w:tcPr>
          <w:p w14:paraId="50E42796">
            <w:pPr>
              <w:spacing w:line="240" w:lineRule="auto"/>
              <w:ind w:firstLine="0" w:firstLineChars="0"/>
              <w:jc w:val="center"/>
              <w:textAlignment w:val="center"/>
              <w:rPr>
                <w:rFonts w:cs="Times New Roman"/>
                <w:sz w:val="21"/>
              </w:rPr>
            </w:pPr>
            <w:r>
              <w:rPr>
                <w:rFonts w:cs="Times New Roman"/>
                <w:sz w:val="21"/>
                <w:lang w:eastAsia="zh-CN" w:bidi="ar"/>
              </w:rPr>
              <w:t>5144.90</w:t>
            </w:r>
          </w:p>
        </w:tc>
        <w:tc>
          <w:tcPr>
            <w:tcW w:w="336" w:type="pct"/>
            <w:shd w:val="clear" w:color="auto" w:fill="auto"/>
            <w:vAlign w:val="center"/>
          </w:tcPr>
          <w:p w14:paraId="5BCF7F08">
            <w:pPr>
              <w:spacing w:line="240" w:lineRule="auto"/>
              <w:ind w:firstLine="0" w:firstLineChars="0"/>
              <w:jc w:val="center"/>
              <w:textAlignment w:val="center"/>
              <w:rPr>
                <w:rFonts w:cs="Times New Roman"/>
                <w:sz w:val="21"/>
              </w:rPr>
            </w:pPr>
            <w:r>
              <w:rPr>
                <w:rFonts w:cs="Times New Roman"/>
                <w:sz w:val="21"/>
                <w:lang w:eastAsia="zh-CN" w:bidi="ar"/>
              </w:rPr>
              <w:t>1205.14</w:t>
            </w:r>
          </w:p>
        </w:tc>
        <w:tc>
          <w:tcPr>
            <w:tcW w:w="416" w:type="pct"/>
            <w:shd w:val="clear" w:color="auto" w:fill="auto"/>
            <w:vAlign w:val="center"/>
          </w:tcPr>
          <w:p w14:paraId="42493211">
            <w:pPr>
              <w:spacing w:line="240" w:lineRule="auto"/>
              <w:ind w:firstLine="0" w:firstLineChars="0"/>
              <w:jc w:val="center"/>
              <w:textAlignment w:val="center"/>
              <w:rPr>
                <w:rFonts w:cs="Times New Roman"/>
                <w:sz w:val="21"/>
              </w:rPr>
            </w:pPr>
            <w:r>
              <w:rPr>
                <w:rFonts w:cs="Times New Roman"/>
                <w:sz w:val="21"/>
                <w:lang w:eastAsia="zh-CN" w:bidi="ar"/>
              </w:rPr>
              <w:t>152318.80</w:t>
            </w:r>
          </w:p>
        </w:tc>
        <w:tc>
          <w:tcPr>
            <w:tcW w:w="336" w:type="pct"/>
            <w:shd w:val="clear" w:color="auto" w:fill="auto"/>
            <w:vAlign w:val="center"/>
          </w:tcPr>
          <w:p w14:paraId="0D12A00E">
            <w:pPr>
              <w:spacing w:line="240" w:lineRule="auto"/>
              <w:ind w:firstLine="0" w:firstLineChars="0"/>
              <w:jc w:val="center"/>
              <w:textAlignment w:val="center"/>
              <w:rPr>
                <w:rFonts w:cs="Times New Roman"/>
                <w:sz w:val="21"/>
              </w:rPr>
            </w:pPr>
            <w:r>
              <w:rPr>
                <w:rFonts w:cs="Times New Roman"/>
                <w:sz w:val="21"/>
                <w:lang w:eastAsia="zh-CN" w:bidi="ar"/>
              </w:rPr>
              <w:t>366.73</w:t>
            </w:r>
          </w:p>
        </w:tc>
        <w:tc>
          <w:tcPr>
            <w:tcW w:w="416" w:type="pct"/>
            <w:shd w:val="clear" w:color="auto" w:fill="auto"/>
            <w:vAlign w:val="center"/>
          </w:tcPr>
          <w:p w14:paraId="1E92DF74">
            <w:pPr>
              <w:spacing w:line="240" w:lineRule="auto"/>
              <w:ind w:firstLine="0" w:firstLineChars="0"/>
              <w:jc w:val="center"/>
              <w:textAlignment w:val="center"/>
              <w:rPr>
                <w:rFonts w:cs="Times New Roman"/>
                <w:sz w:val="21"/>
              </w:rPr>
            </w:pPr>
            <w:r>
              <w:rPr>
                <w:rFonts w:cs="Times New Roman"/>
                <w:sz w:val="21"/>
                <w:lang w:eastAsia="zh-CN" w:bidi="ar"/>
              </w:rPr>
              <w:t>85437.30</w:t>
            </w:r>
          </w:p>
        </w:tc>
        <w:tc>
          <w:tcPr>
            <w:tcW w:w="296" w:type="pct"/>
            <w:shd w:val="clear" w:color="auto" w:fill="auto"/>
            <w:vAlign w:val="center"/>
          </w:tcPr>
          <w:p w14:paraId="0393189F">
            <w:pPr>
              <w:spacing w:line="240" w:lineRule="auto"/>
              <w:ind w:firstLine="0" w:firstLineChars="0"/>
              <w:jc w:val="center"/>
              <w:textAlignment w:val="center"/>
              <w:rPr>
                <w:rFonts w:cs="Times New Roman"/>
                <w:sz w:val="21"/>
              </w:rPr>
            </w:pPr>
            <w:r>
              <w:rPr>
                <w:rFonts w:cs="Times New Roman"/>
                <w:sz w:val="21"/>
                <w:lang w:eastAsia="zh-CN" w:bidi="ar"/>
              </w:rPr>
              <w:t>42.67</w:t>
            </w:r>
          </w:p>
        </w:tc>
        <w:tc>
          <w:tcPr>
            <w:tcW w:w="377" w:type="pct"/>
            <w:shd w:val="clear" w:color="auto" w:fill="auto"/>
            <w:vAlign w:val="center"/>
          </w:tcPr>
          <w:p w14:paraId="3D243712">
            <w:pPr>
              <w:spacing w:line="240" w:lineRule="auto"/>
              <w:ind w:firstLine="0" w:firstLineChars="0"/>
              <w:jc w:val="center"/>
              <w:textAlignment w:val="center"/>
              <w:rPr>
                <w:rFonts w:cs="Times New Roman"/>
                <w:sz w:val="21"/>
              </w:rPr>
            </w:pPr>
            <w:r>
              <w:rPr>
                <w:rFonts w:cs="Times New Roman"/>
                <w:sz w:val="21"/>
                <w:lang w:eastAsia="zh-CN" w:bidi="ar"/>
              </w:rPr>
              <w:t>6851.00</w:t>
            </w:r>
          </w:p>
        </w:tc>
        <w:tc>
          <w:tcPr>
            <w:tcW w:w="296" w:type="pct"/>
            <w:shd w:val="clear" w:color="auto" w:fill="auto"/>
            <w:vAlign w:val="center"/>
          </w:tcPr>
          <w:p w14:paraId="316186EE">
            <w:pPr>
              <w:spacing w:line="240" w:lineRule="auto"/>
              <w:ind w:firstLine="0" w:firstLineChars="0"/>
              <w:jc w:val="center"/>
              <w:textAlignment w:val="center"/>
              <w:rPr>
                <w:rFonts w:cs="Times New Roman"/>
                <w:sz w:val="21"/>
              </w:rPr>
            </w:pPr>
            <w:r>
              <w:rPr>
                <w:rFonts w:cs="Times New Roman"/>
                <w:sz w:val="21"/>
                <w:lang w:eastAsia="zh-CN" w:bidi="ar"/>
              </w:rPr>
              <w:t>152.38</w:t>
            </w:r>
          </w:p>
        </w:tc>
        <w:tc>
          <w:tcPr>
            <w:tcW w:w="375" w:type="pct"/>
            <w:shd w:val="clear" w:color="auto" w:fill="auto"/>
            <w:vAlign w:val="center"/>
          </w:tcPr>
          <w:p w14:paraId="058226B1">
            <w:pPr>
              <w:spacing w:line="240" w:lineRule="auto"/>
              <w:ind w:firstLine="0" w:firstLineChars="0"/>
              <w:jc w:val="center"/>
              <w:textAlignment w:val="center"/>
              <w:rPr>
                <w:rFonts w:cs="Times New Roman"/>
                <w:sz w:val="21"/>
              </w:rPr>
            </w:pPr>
            <w:r>
              <w:rPr>
                <w:rFonts w:cs="Times New Roman"/>
                <w:sz w:val="21"/>
                <w:lang w:eastAsia="zh-CN" w:bidi="ar"/>
              </w:rPr>
              <w:t>23773.00</w:t>
            </w:r>
          </w:p>
        </w:tc>
      </w:tr>
      <w:tr w14:paraId="55A8F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38" w:type="pct"/>
            <w:vMerge w:val="continue"/>
            <w:shd w:val="clear" w:color="auto" w:fill="auto"/>
            <w:vAlign w:val="center"/>
          </w:tcPr>
          <w:p w14:paraId="0C01C748">
            <w:pPr>
              <w:spacing w:line="240" w:lineRule="auto"/>
              <w:ind w:firstLine="0" w:firstLineChars="0"/>
              <w:jc w:val="center"/>
              <w:rPr>
                <w:rFonts w:cs="Times New Roman"/>
                <w:sz w:val="21"/>
              </w:rPr>
            </w:pPr>
          </w:p>
        </w:tc>
        <w:tc>
          <w:tcPr>
            <w:tcW w:w="528" w:type="pct"/>
            <w:shd w:val="clear" w:color="auto" w:fill="auto"/>
            <w:vAlign w:val="center"/>
          </w:tcPr>
          <w:p w14:paraId="3B46CFD3">
            <w:pPr>
              <w:spacing w:line="240" w:lineRule="auto"/>
              <w:ind w:firstLine="0" w:firstLineChars="0"/>
              <w:jc w:val="center"/>
              <w:textAlignment w:val="center"/>
              <w:rPr>
                <w:rFonts w:cs="Times New Roman"/>
                <w:sz w:val="21"/>
              </w:rPr>
            </w:pPr>
            <w:r>
              <w:rPr>
                <w:rFonts w:cs="Times New Roman"/>
                <w:sz w:val="21"/>
                <w:lang w:eastAsia="zh-CN" w:bidi="ar"/>
              </w:rPr>
              <w:t>阔叶混</w:t>
            </w:r>
          </w:p>
        </w:tc>
        <w:tc>
          <w:tcPr>
            <w:tcW w:w="336" w:type="pct"/>
            <w:shd w:val="clear" w:color="auto" w:fill="auto"/>
            <w:vAlign w:val="center"/>
          </w:tcPr>
          <w:p w14:paraId="269FB41C">
            <w:pPr>
              <w:spacing w:line="240" w:lineRule="auto"/>
              <w:ind w:firstLine="0" w:firstLineChars="0"/>
              <w:jc w:val="center"/>
              <w:textAlignment w:val="center"/>
              <w:rPr>
                <w:rFonts w:cs="Times New Roman"/>
                <w:sz w:val="21"/>
              </w:rPr>
            </w:pPr>
            <w:r>
              <w:rPr>
                <w:rFonts w:cs="Times New Roman"/>
                <w:sz w:val="21"/>
                <w:lang w:eastAsia="zh-CN" w:bidi="ar"/>
              </w:rPr>
              <w:t>11.27</w:t>
            </w:r>
          </w:p>
        </w:tc>
        <w:tc>
          <w:tcPr>
            <w:tcW w:w="416" w:type="pct"/>
            <w:shd w:val="clear" w:color="auto" w:fill="auto"/>
            <w:vAlign w:val="center"/>
          </w:tcPr>
          <w:p w14:paraId="57CD6392">
            <w:pPr>
              <w:spacing w:line="240" w:lineRule="auto"/>
              <w:ind w:firstLine="0" w:firstLineChars="0"/>
              <w:jc w:val="center"/>
              <w:textAlignment w:val="center"/>
              <w:rPr>
                <w:rFonts w:cs="Times New Roman"/>
                <w:sz w:val="21"/>
              </w:rPr>
            </w:pPr>
            <w:r>
              <w:rPr>
                <w:rFonts w:cs="Times New Roman"/>
                <w:sz w:val="21"/>
                <w:lang w:eastAsia="zh-CN" w:bidi="ar"/>
              </w:rPr>
              <w:t>682.70</w:t>
            </w:r>
          </w:p>
        </w:tc>
        <w:tc>
          <w:tcPr>
            <w:tcW w:w="296" w:type="pct"/>
            <w:shd w:val="clear" w:color="auto" w:fill="auto"/>
            <w:vAlign w:val="center"/>
          </w:tcPr>
          <w:p w14:paraId="7D71CA3A">
            <w:pPr>
              <w:spacing w:line="240" w:lineRule="auto"/>
              <w:ind w:firstLine="0" w:firstLineChars="0"/>
              <w:jc w:val="center"/>
              <w:textAlignment w:val="center"/>
              <w:rPr>
                <w:rFonts w:cs="Times New Roman"/>
                <w:sz w:val="21"/>
              </w:rPr>
            </w:pPr>
            <w:r>
              <w:rPr>
                <w:rFonts w:cs="Times New Roman"/>
                <w:sz w:val="21"/>
                <w:lang w:eastAsia="zh-CN" w:bidi="ar"/>
              </w:rPr>
              <w:t>1.20</w:t>
            </w:r>
          </w:p>
        </w:tc>
        <w:tc>
          <w:tcPr>
            <w:tcW w:w="338" w:type="pct"/>
            <w:shd w:val="clear" w:color="auto" w:fill="auto"/>
            <w:vAlign w:val="center"/>
          </w:tcPr>
          <w:p w14:paraId="11680C62">
            <w:pPr>
              <w:spacing w:line="240" w:lineRule="auto"/>
              <w:ind w:firstLine="0" w:firstLineChars="0"/>
              <w:jc w:val="center"/>
              <w:textAlignment w:val="center"/>
              <w:rPr>
                <w:rFonts w:cs="Times New Roman"/>
                <w:sz w:val="21"/>
              </w:rPr>
            </w:pPr>
            <w:r>
              <w:rPr>
                <w:rFonts w:cs="Times New Roman"/>
                <w:sz w:val="21"/>
                <w:lang w:eastAsia="zh-CN" w:bidi="ar"/>
              </w:rPr>
              <w:t>20.80</w:t>
            </w:r>
          </w:p>
        </w:tc>
        <w:tc>
          <w:tcPr>
            <w:tcW w:w="336" w:type="pct"/>
            <w:shd w:val="clear" w:color="auto" w:fill="auto"/>
            <w:vAlign w:val="center"/>
          </w:tcPr>
          <w:p w14:paraId="5FAFC213">
            <w:pPr>
              <w:spacing w:line="240" w:lineRule="auto"/>
              <w:ind w:firstLine="0" w:firstLineChars="0"/>
              <w:jc w:val="center"/>
              <w:textAlignment w:val="center"/>
              <w:rPr>
                <w:rFonts w:cs="Times New Roman"/>
                <w:sz w:val="21"/>
              </w:rPr>
            </w:pPr>
            <w:r>
              <w:rPr>
                <w:rFonts w:cs="Times New Roman"/>
                <w:sz w:val="21"/>
                <w:lang w:eastAsia="zh-CN" w:bidi="ar"/>
              </w:rPr>
              <w:t>6.50</w:t>
            </w:r>
          </w:p>
        </w:tc>
        <w:tc>
          <w:tcPr>
            <w:tcW w:w="416" w:type="pct"/>
            <w:shd w:val="clear" w:color="auto" w:fill="auto"/>
            <w:vAlign w:val="center"/>
          </w:tcPr>
          <w:p w14:paraId="74B52EC3">
            <w:pPr>
              <w:spacing w:line="240" w:lineRule="auto"/>
              <w:ind w:firstLine="0" w:firstLineChars="0"/>
              <w:jc w:val="center"/>
              <w:textAlignment w:val="center"/>
              <w:rPr>
                <w:rFonts w:cs="Times New Roman"/>
                <w:sz w:val="21"/>
              </w:rPr>
            </w:pPr>
            <w:r>
              <w:rPr>
                <w:rFonts w:cs="Times New Roman"/>
                <w:sz w:val="21"/>
                <w:lang w:eastAsia="zh-CN" w:bidi="ar"/>
              </w:rPr>
              <w:t>357.60</w:t>
            </w:r>
          </w:p>
        </w:tc>
        <w:tc>
          <w:tcPr>
            <w:tcW w:w="336" w:type="pct"/>
            <w:shd w:val="clear" w:color="auto" w:fill="auto"/>
            <w:vAlign w:val="center"/>
          </w:tcPr>
          <w:p w14:paraId="65CFE334">
            <w:pPr>
              <w:spacing w:line="240" w:lineRule="auto"/>
              <w:ind w:firstLine="0" w:firstLineChars="0"/>
              <w:jc w:val="center"/>
              <w:textAlignment w:val="center"/>
              <w:rPr>
                <w:rFonts w:cs="Times New Roman"/>
                <w:sz w:val="21"/>
              </w:rPr>
            </w:pPr>
            <w:r>
              <w:rPr>
                <w:rFonts w:cs="Times New Roman"/>
                <w:sz w:val="21"/>
                <w:lang w:eastAsia="zh-CN" w:bidi="ar"/>
              </w:rPr>
              <w:t>3.57</w:t>
            </w:r>
          </w:p>
        </w:tc>
        <w:tc>
          <w:tcPr>
            <w:tcW w:w="416" w:type="pct"/>
            <w:shd w:val="clear" w:color="auto" w:fill="auto"/>
            <w:vAlign w:val="center"/>
          </w:tcPr>
          <w:p w14:paraId="734C1F2C">
            <w:pPr>
              <w:spacing w:line="240" w:lineRule="auto"/>
              <w:ind w:firstLine="0" w:firstLineChars="0"/>
              <w:jc w:val="center"/>
              <w:textAlignment w:val="center"/>
              <w:rPr>
                <w:rFonts w:cs="Times New Roman"/>
                <w:sz w:val="21"/>
              </w:rPr>
            </w:pPr>
            <w:r>
              <w:rPr>
                <w:rFonts w:cs="Times New Roman"/>
                <w:sz w:val="21"/>
                <w:lang w:eastAsia="zh-CN" w:bidi="ar"/>
              </w:rPr>
              <w:t>304.30</w:t>
            </w:r>
          </w:p>
        </w:tc>
        <w:tc>
          <w:tcPr>
            <w:tcW w:w="296" w:type="pct"/>
            <w:shd w:val="clear" w:color="auto" w:fill="auto"/>
            <w:vAlign w:val="center"/>
          </w:tcPr>
          <w:p w14:paraId="4A54E0A8">
            <w:pPr>
              <w:spacing w:line="240" w:lineRule="auto"/>
              <w:ind w:firstLine="0" w:firstLineChars="0"/>
              <w:jc w:val="center"/>
              <w:textAlignment w:val="center"/>
              <w:rPr>
                <w:rFonts w:cs="Times New Roman"/>
                <w:sz w:val="21"/>
              </w:rPr>
            </w:pPr>
          </w:p>
        </w:tc>
        <w:tc>
          <w:tcPr>
            <w:tcW w:w="377" w:type="pct"/>
            <w:shd w:val="clear" w:color="auto" w:fill="auto"/>
            <w:vAlign w:val="center"/>
          </w:tcPr>
          <w:p w14:paraId="353B68AB">
            <w:pPr>
              <w:spacing w:line="240" w:lineRule="auto"/>
              <w:ind w:firstLine="0" w:firstLineChars="0"/>
              <w:jc w:val="center"/>
              <w:textAlignment w:val="center"/>
              <w:rPr>
                <w:rFonts w:cs="Times New Roman"/>
                <w:sz w:val="21"/>
              </w:rPr>
            </w:pPr>
          </w:p>
        </w:tc>
        <w:tc>
          <w:tcPr>
            <w:tcW w:w="296" w:type="pct"/>
            <w:shd w:val="clear" w:color="auto" w:fill="auto"/>
            <w:vAlign w:val="center"/>
          </w:tcPr>
          <w:p w14:paraId="432B4794">
            <w:pPr>
              <w:spacing w:line="240" w:lineRule="auto"/>
              <w:ind w:firstLine="0" w:firstLineChars="0"/>
              <w:jc w:val="center"/>
              <w:textAlignment w:val="center"/>
              <w:rPr>
                <w:rFonts w:cs="Times New Roman"/>
                <w:sz w:val="21"/>
              </w:rPr>
            </w:pPr>
          </w:p>
        </w:tc>
        <w:tc>
          <w:tcPr>
            <w:tcW w:w="375" w:type="pct"/>
            <w:shd w:val="clear" w:color="auto" w:fill="auto"/>
            <w:vAlign w:val="center"/>
          </w:tcPr>
          <w:p w14:paraId="6E65E256">
            <w:pPr>
              <w:spacing w:line="240" w:lineRule="auto"/>
              <w:ind w:firstLine="0" w:firstLineChars="0"/>
              <w:jc w:val="center"/>
              <w:textAlignment w:val="center"/>
              <w:rPr>
                <w:rFonts w:cs="Times New Roman"/>
                <w:sz w:val="21"/>
              </w:rPr>
            </w:pPr>
          </w:p>
        </w:tc>
      </w:tr>
      <w:tr w14:paraId="14A43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38" w:type="pct"/>
            <w:vMerge w:val="continue"/>
            <w:shd w:val="clear" w:color="auto" w:fill="auto"/>
            <w:vAlign w:val="center"/>
          </w:tcPr>
          <w:p w14:paraId="4EAB349D">
            <w:pPr>
              <w:spacing w:line="240" w:lineRule="auto"/>
              <w:ind w:firstLine="0" w:firstLineChars="0"/>
              <w:jc w:val="center"/>
              <w:rPr>
                <w:rFonts w:cs="Times New Roman"/>
                <w:sz w:val="21"/>
              </w:rPr>
            </w:pPr>
          </w:p>
        </w:tc>
        <w:tc>
          <w:tcPr>
            <w:tcW w:w="528" w:type="pct"/>
            <w:shd w:val="clear" w:color="auto" w:fill="auto"/>
            <w:vAlign w:val="center"/>
          </w:tcPr>
          <w:p w14:paraId="190E3B36">
            <w:pPr>
              <w:spacing w:line="240" w:lineRule="auto"/>
              <w:ind w:firstLine="0" w:firstLineChars="0"/>
              <w:jc w:val="center"/>
              <w:textAlignment w:val="center"/>
              <w:rPr>
                <w:rFonts w:cs="Times New Roman"/>
                <w:sz w:val="21"/>
              </w:rPr>
            </w:pPr>
            <w:r>
              <w:rPr>
                <w:rFonts w:cs="Times New Roman"/>
                <w:sz w:val="21"/>
                <w:lang w:eastAsia="zh-CN" w:bidi="ar"/>
              </w:rPr>
              <w:t>栎类</w:t>
            </w:r>
          </w:p>
        </w:tc>
        <w:tc>
          <w:tcPr>
            <w:tcW w:w="336" w:type="pct"/>
            <w:shd w:val="clear" w:color="auto" w:fill="auto"/>
            <w:vAlign w:val="center"/>
          </w:tcPr>
          <w:p w14:paraId="520247BB">
            <w:pPr>
              <w:spacing w:line="240" w:lineRule="auto"/>
              <w:ind w:firstLine="0" w:firstLineChars="0"/>
              <w:jc w:val="center"/>
              <w:textAlignment w:val="center"/>
              <w:rPr>
                <w:rFonts w:cs="Times New Roman"/>
                <w:sz w:val="21"/>
              </w:rPr>
            </w:pPr>
            <w:r>
              <w:rPr>
                <w:rFonts w:cs="Times New Roman"/>
                <w:sz w:val="21"/>
                <w:lang w:eastAsia="zh-CN" w:bidi="ar"/>
              </w:rPr>
              <w:t>1.07</w:t>
            </w:r>
          </w:p>
        </w:tc>
        <w:tc>
          <w:tcPr>
            <w:tcW w:w="416" w:type="pct"/>
            <w:shd w:val="clear" w:color="auto" w:fill="auto"/>
            <w:vAlign w:val="center"/>
          </w:tcPr>
          <w:p w14:paraId="3C86A4DB">
            <w:pPr>
              <w:spacing w:line="240" w:lineRule="auto"/>
              <w:ind w:firstLine="0" w:firstLineChars="0"/>
              <w:jc w:val="center"/>
              <w:textAlignment w:val="center"/>
              <w:rPr>
                <w:rFonts w:cs="Times New Roman"/>
                <w:sz w:val="21"/>
              </w:rPr>
            </w:pPr>
            <w:r>
              <w:rPr>
                <w:rFonts w:cs="Times New Roman"/>
                <w:sz w:val="21"/>
                <w:lang w:eastAsia="zh-CN" w:bidi="ar"/>
              </w:rPr>
              <w:t>100.70</w:t>
            </w:r>
          </w:p>
        </w:tc>
        <w:tc>
          <w:tcPr>
            <w:tcW w:w="296" w:type="pct"/>
            <w:shd w:val="clear" w:color="auto" w:fill="auto"/>
            <w:vAlign w:val="center"/>
          </w:tcPr>
          <w:p w14:paraId="146F29D2">
            <w:pPr>
              <w:spacing w:line="240" w:lineRule="auto"/>
              <w:ind w:firstLine="0" w:firstLineChars="0"/>
              <w:jc w:val="center"/>
              <w:textAlignment w:val="center"/>
              <w:rPr>
                <w:rFonts w:cs="Times New Roman"/>
                <w:sz w:val="21"/>
              </w:rPr>
            </w:pPr>
          </w:p>
        </w:tc>
        <w:tc>
          <w:tcPr>
            <w:tcW w:w="338" w:type="pct"/>
            <w:shd w:val="clear" w:color="auto" w:fill="auto"/>
            <w:vAlign w:val="center"/>
          </w:tcPr>
          <w:p w14:paraId="07A422FA">
            <w:pPr>
              <w:spacing w:line="240" w:lineRule="auto"/>
              <w:ind w:firstLine="0" w:firstLineChars="0"/>
              <w:jc w:val="center"/>
              <w:textAlignment w:val="center"/>
              <w:rPr>
                <w:rFonts w:cs="Times New Roman"/>
                <w:sz w:val="21"/>
              </w:rPr>
            </w:pPr>
          </w:p>
        </w:tc>
        <w:tc>
          <w:tcPr>
            <w:tcW w:w="336" w:type="pct"/>
            <w:shd w:val="clear" w:color="auto" w:fill="auto"/>
            <w:vAlign w:val="center"/>
          </w:tcPr>
          <w:p w14:paraId="3EDE8173">
            <w:pPr>
              <w:spacing w:line="240" w:lineRule="auto"/>
              <w:ind w:firstLine="0" w:firstLineChars="0"/>
              <w:jc w:val="center"/>
              <w:textAlignment w:val="center"/>
              <w:rPr>
                <w:rFonts w:cs="Times New Roman"/>
                <w:sz w:val="21"/>
              </w:rPr>
            </w:pPr>
            <w:r>
              <w:rPr>
                <w:rFonts w:cs="Times New Roman"/>
                <w:sz w:val="21"/>
                <w:lang w:eastAsia="zh-CN" w:bidi="ar"/>
              </w:rPr>
              <w:t>0.80</w:t>
            </w:r>
          </w:p>
        </w:tc>
        <w:tc>
          <w:tcPr>
            <w:tcW w:w="416" w:type="pct"/>
            <w:shd w:val="clear" w:color="auto" w:fill="auto"/>
            <w:vAlign w:val="center"/>
          </w:tcPr>
          <w:p w14:paraId="7918EE31">
            <w:pPr>
              <w:spacing w:line="240" w:lineRule="auto"/>
              <w:ind w:firstLine="0" w:firstLineChars="0"/>
              <w:jc w:val="center"/>
              <w:textAlignment w:val="center"/>
              <w:rPr>
                <w:rFonts w:cs="Times New Roman"/>
                <w:sz w:val="21"/>
              </w:rPr>
            </w:pPr>
            <w:r>
              <w:rPr>
                <w:rFonts w:cs="Times New Roman"/>
                <w:sz w:val="21"/>
                <w:lang w:eastAsia="zh-CN" w:bidi="ar"/>
              </w:rPr>
              <w:t>72.20</w:t>
            </w:r>
          </w:p>
        </w:tc>
        <w:tc>
          <w:tcPr>
            <w:tcW w:w="336" w:type="pct"/>
            <w:shd w:val="clear" w:color="auto" w:fill="auto"/>
            <w:vAlign w:val="center"/>
          </w:tcPr>
          <w:p w14:paraId="4C76D0B3">
            <w:pPr>
              <w:spacing w:line="240" w:lineRule="auto"/>
              <w:ind w:firstLine="0" w:firstLineChars="0"/>
              <w:jc w:val="center"/>
              <w:textAlignment w:val="center"/>
              <w:rPr>
                <w:rFonts w:cs="Times New Roman"/>
                <w:sz w:val="21"/>
              </w:rPr>
            </w:pPr>
          </w:p>
        </w:tc>
        <w:tc>
          <w:tcPr>
            <w:tcW w:w="416" w:type="pct"/>
            <w:shd w:val="clear" w:color="auto" w:fill="auto"/>
            <w:vAlign w:val="center"/>
          </w:tcPr>
          <w:p w14:paraId="05314975">
            <w:pPr>
              <w:spacing w:line="240" w:lineRule="auto"/>
              <w:ind w:firstLine="0" w:firstLineChars="0"/>
              <w:jc w:val="center"/>
              <w:textAlignment w:val="center"/>
              <w:rPr>
                <w:rFonts w:cs="Times New Roman"/>
                <w:sz w:val="21"/>
              </w:rPr>
            </w:pPr>
          </w:p>
        </w:tc>
        <w:tc>
          <w:tcPr>
            <w:tcW w:w="296" w:type="pct"/>
            <w:shd w:val="clear" w:color="auto" w:fill="auto"/>
            <w:vAlign w:val="center"/>
          </w:tcPr>
          <w:p w14:paraId="4EDBCC98">
            <w:pPr>
              <w:spacing w:line="240" w:lineRule="auto"/>
              <w:ind w:firstLine="0" w:firstLineChars="0"/>
              <w:jc w:val="center"/>
              <w:textAlignment w:val="center"/>
              <w:rPr>
                <w:rFonts w:cs="Times New Roman"/>
                <w:sz w:val="21"/>
              </w:rPr>
            </w:pPr>
            <w:r>
              <w:rPr>
                <w:rFonts w:cs="Times New Roman"/>
                <w:sz w:val="21"/>
                <w:lang w:eastAsia="zh-CN" w:bidi="ar"/>
              </w:rPr>
              <w:t>0.28</w:t>
            </w:r>
          </w:p>
        </w:tc>
        <w:tc>
          <w:tcPr>
            <w:tcW w:w="377" w:type="pct"/>
            <w:shd w:val="clear" w:color="auto" w:fill="auto"/>
            <w:vAlign w:val="center"/>
          </w:tcPr>
          <w:p w14:paraId="6144BACF">
            <w:pPr>
              <w:spacing w:line="240" w:lineRule="auto"/>
              <w:ind w:firstLine="0" w:firstLineChars="0"/>
              <w:jc w:val="center"/>
              <w:textAlignment w:val="center"/>
              <w:rPr>
                <w:rFonts w:cs="Times New Roman"/>
                <w:sz w:val="21"/>
              </w:rPr>
            </w:pPr>
            <w:r>
              <w:rPr>
                <w:rFonts w:cs="Times New Roman"/>
                <w:sz w:val="21"/>
                <w:lang w:eastAsia="zh-CN" w:bidi="ar"/>
              </w:rPr>
              <w:t>28.50</w:t>
            </w:r>
          </w:p>
        </w:tc>
        <w:tc>
          <w:tcPr>
            <w:tcW w:w="296" w:type="pct"/>
            <w:shd w:val="clear" w:color="auto" w:fill="auto"/>
            <w:vAlign w:val="center"/>
          </w:tcPr>
          <w:p w14:paraId="24BF7E01">
            <w:pPr>
              <w:spacing w:line="240" w:lineRule="auto"/>
              <w:ind w:firstLine="0" w:firstLineChars="0"/>
              <w:jc w:val="center"/>
              <w:textAlignment w:val="center"/>
              <w:rPr>
                <w:rFonts w:cs="Times New Roman"/>
                <w:sz w:val="21"/>
              </w:rPr>
            </w:pPr>
          </w:p>
        </w:tc>
        <w:tc>
          <w:tcPr>
            <w:tcW w:w="375" w:type="pct"/>
            <w:shd w:val="clear" w:color="auto" w:fill="auto"/>
            <w:vAlign w:val="center"/>
          </w:tcPr>
          <w:p w14:paraId="6151A7EE">
            <w:pPr>
              <w:spacing w:line="240" w:lineRule="auto"/>
              <w:ind w:firstLine="0" w:firstLineChars="0"/>
              <w:jc w:val="center"/>
              <w:textAlignment w:val="center"/>
              <w:rPr>
                <w:rFonts w:cs="Times New Roman"/>
                <w:sz w:val="21"/>
              </w:rPr>
            </w:pPr>
          </w:p>
        </w:tc>
      </w:tr>
      <w:tr w14:paraId="79C94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38" w:type="pct"/>
            <w:vMerge w:val="continue"/>
            <w:shd w:val="clear" w:color="auto" w:fill="auto"/>
            <w:vAlign w:val="center"/>
          </w:tcPr>
          <w:p w14:paraId="7C0A73DF">
            <w:pPr>
              <w:spacing w:line="240" w:lineRule="auto"/>
              <w:ind w:firstLine="0" w:firstLineChars="0"/>
              <w:jc w:val="center"/>
              <w:rPr>
                <w:rFonts w:cs="Times New Roman"/>
                <w:sz w:val="21"/>
              </w:rPr>
            </w:pPr>
          </w:p>
        </w:tc>
        <w:tc>
          <w:tcPr>
            <w:tcW w:w="528" w:type="pct"/>
            <w:shd w:val="clear" w:color="auto" w:fill="auto"/>
            <w:vAlign w:val="center"/>
          </w:tcPr>
          <w:p w14:paraId="380C28B3">
            <w:pPr>
              <w:spacing w:line="240" w:lineRule="auto"/>
              <w:ind w:firstLine="0" w:firstLineChars="0"/>
              <w:jc w:val="center"/>
              <w:textAlignment w:val="center"/>
              <w:rPr>
                <w:rFonts w:cs="Times New Roman"/>
                <w:sz w:val="21"/>
              </w:rPr>
            </w:pPr>
            <w:r>
              <w:rPr>
                <w:rFonts w:cs="Times New Roman"/>
                <w:sz w:val="21"/>
                <w:lang w:eastAsia="zh-CN" w:bidi="ar"/>
              </w:rPr>
              <w:t>柳杉</w:t>
            </w:r>
          </w:p>
        </w:tc>
        <w:tc>
          <w:tcPr>
            <w:tcW w:w="336" w:type="pct"/>
            <w:shd w:val="clear" w:color="auto" w:fill="auto"/>
            <w:vAlign w:val="center"/>
          </w:tcPr>
          <w:p w14:paraId="45822A14">
            <w:pPr>
              <w:spacing w:line="240" w:lineRule="auto"/>
              <w:ind w:firstLine="0" w:firstLineChars="0"/>
              <w:jc w:val="center"/>
              <w:textAlignment w:val="center"/>
              <w:rPr>
                <w:rFonts w:cs="Times New Roman"/>
                <w:sz w:val="21"/>
              </w:rPr>
            </w:pPr>
            <w:r>
              <w:rPr>
                <w:rFonts w:cs="Times New Roman"/>
                <w:sz w:val="21"/>
                <w:lang w:eastAsia="zh-CN" w:bidi="ar"/>
              </w:rPr>
              <w:t>1.76</w:t>
            </w:r>
          </w:p>
        </w:tc>
        <w:tc>
          <w:tcPr>
            <w:tcW w:w="416" w:type="pct"/>
            <w:shd w:val="clear" w:color="auto" w:fill="auto"/>
            <w:vAlign w:val="center"/>
          </w:tcPr>
          <w:p w14:paraId="2D950CF2">
            <w:pPr>
              <w:spacing w:line="240" w:lineRule="auto"/>
              <w:ind w:firstLine="0" w:firstLineChars="0"/>
              <w:jc w:val="center"/>
              <w:textAlignment w:val="center"/>
              <w:rPr>
                <w:rFonts w:cs="Times New Roman"/>
                <w:sz w:val="21"/>
              </w:rPr>
            </w:pPr>
            <w:r>
              <w:rPr>
                <w:rFonts w:cs="Times New Roman"/>
                <w:sz w:val="21"/>
                <w:lang w:eastAsia="zh-CN" w:bidi="ar"/>
              </w:rPr>
              <w:t>250.50</w:t>
            </w:r>
          </w:p>
        </w:tc>
        <w:tc>
          <w:tcPr>
            <w:tcW w:w="296" w:type="pct"/>
            <w:shd w:val="clear" w:color="auto" w:fill="auto"/>
            <w:vAlign w:val="center"/>
          </w:tcPr>
          <w:p w14:paraId="4A1E64EC">
            <w:pPr>
              <w:spacing w:line="240" w:lineRule="auto"/>
              <w:ind w:firstLine="0" w:firstLineChars="0"/>
              <w:jc w:val="center"/>
              <w:textAlignment w:val="center"/>
              <w:rPr>
                <w:rFonts w:cs="Times New Roman"/>
                <w:sz w:val="21"/>
              </w:rPr>
            </w:pPr>
          </w:p>
        </w:tc>
        <w:tc>
          <w:tcPr>
            <w:tcW w:w="338" w:type="pct"/>
            <w:shd w:val="clear" w:color="auto" w:fill="auto"/>
            <w:vAlign w:val="center"/>
          </w:tcPr>
          <w:p w14:paraId="0B1296BE">
            <w:pPr>
              <w:spacing w:line="240" w:lineRule="auto"/>
              <w:ind w:firstLine="0" w:firstLineChars="0"/>
              <w:jc w:val="center"/>
              <w:textAlignment w:val="center"/>
              <w:rPr>
                <w:rFonts w:cs="Times New Roman"/>
                <w:sz w:val="21"/>
              </w:rPr>
            </w:pPr>
          </w:p>
        </w:tc>
        <w:tc>
          <w:tcPr>
            <w:tcW w:w="336" w:type="pct"/>
            <w:shd w:val="clear" w:color="auto" w:fill="auto"/>
            <w:vAlign w:val="center"/>
          </w:tcPr>
          <w:p w14:paraId="632DA4CE">
            <w:pPr>
              <w:spacing w:line="240" w:lineRule="auto"/>
              <w:ind w:firstLine="0" w:firstLineChars="0"/>
              <w:jc w:val="center"/>
              <w:textAlignment w:val="center"/>
              <w:rPr>
                <w:rFonts w:cs="Times New Roman"/>
                <w:sz w:val="21"/>
              </w:rPr>
            </w:pPr>
          </w:p>
        </w:tc>
        <w:tc>
          <w:tcPr>
            <w:tcW w:w="416" w:type="pct"/>
            <w:shd w:val="clear" w:color="auto" w:fill="auto"/>
            <w:vAlign w:val="center"/>
          </w:tcPr>
          <w:p w14:paraId="69184C00">
            <w:pPr>
              <w:spacing w:line="240" w:lineRule="auto"/>
              <w:ind w:firstLine="0" w:firstLineChars="0"/>
              <w:jc w:val="center"/>
              <w:textAlignment w:val="center"/>
              <w:rPr>
                <w:rFonts w:cs="Times New Roman"/>
                <w:sz w:val="21"/>
              </w:rPr>
            </w:pPr>
          </w:p>
        </w:tc>
        <w:tc>
          <w:tcPr>
            <w:tcW w:w="336" w:type="pct"/>
            <w:shd w:val="clear" w:color="auto" w:fill="auto"/>
            <w:vAlign w:val="center"/>
          </w:tcPr>
          <w:p w14:paraId="64287BAE">
            <w:pPr>
              <w:spacing w:line="240" w:lineRule="auto"/>
              <w:ind w:firstLine="0" w:firstLineChars="0"/>
              <w:jc w:val="center"/>
              <w:textAlignment w:val="center"/>
              <w:rPr>
                <w:rFonts w:cs="Times New Roman"/>
                <w:sz w:val="21"/>
              </w:rPr>
            </w:pPr>
          </w:p>
        </w:tc>
        <w:tc>
          <w:tcPr>
            <w:tcW w:w="416" w:type="pct"/>
            <w:shd w:val="clear" w:color="auto" w:fill="auto"/>
            <w:vAlign w:val="center"/>
          </w:tcPr>
          <w:p w14:paraId="001DC0B2">
            <w:pPr>
              <w:spacing w:line="240" w:lineRule="auto"/>
              <w:ind w:firstLine="0" w:firstLineChars="0"/>
              <w:jc w:val="center"/>
              <w:textAlignment w:val="center"/>
              <w:rPr>
                <w:rFonts w:cs="Times New Roman"/>
                <w:sz w:val="21"/>
              </w:rPr>
            </w:pPr>
          </w:p>
        </w:tc>
        <w:tc>
          <w:tcPr>
            <w:tcW w:w="296" w:type="pct"/>
            <w:shd w:val="clear" w:color="auto" w:fill="auto"/>
            <w:vAlign w:val="center"/>
          </w:tcPr>
          <w:p w14:paraId="10761128">
            <w:pPr>
              <w:spacing w:line="240" w:lineRule="auto"/>
              <w:ind w:firstLine="0" w:firstLineChars="0"/>
              <w:jc w:val="center"/>
              <w:textAlignment w:val="center"/>
              <w:rPr>
                <w:rFonts w:cs="Times New Roman"/>
                <w:sz w:val="21"/>
              </w:rPr>
            </w:pPr>
          </w:p>
        </w:tc>
        <w:tc>
          <w:tcPr>
            <w:tcW w:w="377" w:type="pct"/>
            <w:shd w:val="clear" w:color="auto" w:fill="auto"/>
            <w:vAlign w:val="center"/>
          </w:tcPr>
          <w:p w14:paraId="1C7CF09E">
            <w:pPr>
              <w:spacing w:line="240" w:lineRule="auto"/>
              <w:ind w:firstLine="0" w:firstLineChars="0"/>
              <w:jc w:val="center"/>
              <w:textAlignment w:val="center"/>
              <w:rPr>
                <w:rFonts w:cs="Times New Roman"/>
                <w:sz w:val="21"/>
              </w:rPr>
            </w:pPr>
          </w:p>
        </w:tc>
        <w:tc>
          <w:tcPr>
            <w:tcW w:w="296" w:type="pct"/>
            <w:shd w:val="clear" w:color="auto" w:fill="auto"/>
            <w:vAlign w:val="center"/>
          </w:tcPr>
          <w:p w14:paraId="0027B161">
            <w:pPr>
              <w:spacing w:line="240" w:lineRule="auto"/>
              <w:ind w:firstLine="0" w:firstLineChars="0"/>
              <w:jc w:val="center"/>
              <w:textAlignment w:val="center"/>
              <w:rPr>
                <w:rFonts w:cs="Times New Roman"/>
                <w:sz w:val="21"/>
              </w:rPr>
            </w:pPr>
            <w:r>
              <w:rPr>
                <w:rFonts w:cs="Times New Roman"/>
                <w:sz w:val="21"/>
                <w:lang w:eastAsia="zh-CN" w:bidi="ar"/>
              </w:rPr>
              <w:t>1.76</w:t>
            </w:r>
          </w:p>
        </w:tc>
        <w:tc>
          <w:tcPr>
            <w:tcW w:w="375" w:type="pct"/>
            <w:shd w:val="clear" w:color="auto" w:fill="auto"/>
            <w:vAlign w:val="center"/>
          </w:tcPr>
          <w:p w14:paraId="0DCC82F9">
            <w:pPr>
              <w:spacing w:line="240" w:lineRule="auto"/>
              <w:ind w:firstLine="0" w:firstLineChars="0"/>
              <w:jc w:val="center"/>
              <w:textAlignment w:val="center"/>
              <w:rPr>
                <w:rFonts w:cs="Times New Roman"/>
                <w:sz w:val="21"/>
              </w:rPr>
            </w:pPr>
            <w:r>
              <w:rPr>
                <w:rFonts w:cs="Times New Roman"/>
                <w:sz w:val="21"/>
                <w:lang w:eastAsia="zh-CN" w:bidi="ar"/>
              </w:rPr>
              <w:t>250.50</w:t>
            </w:r>
          </w:p>
        </w:tc>
      </w:tr>
      <w:tr w14:paraId="12E0A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38" w:type="pct"/>
            <w:vMerge w:val="continue"/>
            <w:shd w:val="clear" w:color="auto" w:fill="auto"/>
            <w:vAlign w:val="center"/>
          </w:tcPr>
          <w:p w14:paraId="3AE09CC4">
            <w:pPr>
              <w:spacing w:line="240" w:lineRule="auto"/>
              <w:ind w:firstLine="0" w:firstLineChars="0"/>
              <w:jc w:val="center"/>
              <w:rPr>
                <w:rFonts w:cs="Times New Roman"/>
                <w:sz w:val="21"/>
              </w:rPr>
            </w:pPr>
          </w:p>
        </w:tc>
        <w:tc>
          <w:tcPr>
            <w:tcW w:w="528" w:type="pct"/>
            <w:shd w:val="clear" w:color="auto" w:fill="auto"/>
            <w:vAlign w:val="center"/>
          </w:tcPr>
          <w:p w14:paraId="55EAE125">
            <w:pPr>
              <w:spacing w:line="240" w:lineRule="auto"/>
              <w:ind w:firstLine="0" w:firstLineChars="0"/>
              <w:jc w:val="center"/>
              <w:textAlignment w:val="center"/>
              <w:rPr>
                <w:rFonts w:cs="Times New Roman"/>
                <w:sz w:val="21"/>
              </w:rPr>
            </w:pPr>
            <w:r>
              <w:rPr>
                <w:rFonts w:cs="Times New Roman"/>
                <w:sz w:val="21"/>
                <w:lang w:eastAsia="zh-CN" w:bidi="ar"/>
              </w:rPr>
              <w:t>马尾松</w:t>
            </w:r>
          </w:p>
        </w:tc>
        <w:tc>
          <w:tcPr>
            <w:tcW w:w="336" w:type="pct"/>
            <w:shd w:val="clear" w:color="auto" w:fill="auto"/>
            <w:vAlign w:val="center"/>
          </w:tcPr>
          <w:p w14:paraId="2ECC2F65">
            <w:pPr>
              <w:spacing w:line="240" w:lineRule="auto"/>
              <w:ind w:firstLine="0" w:firstLineChars="0"/>
              <w:jc w:val="center"/>
              <w:textAlignment w:val="center"/>
              <w:rPr>
                <w:rFonts w:cs="Times New Roman"/>
                <w:sz w:val="21"/>
              </w:rPr>
            </w:pPr>
            <w:r>
              <w:rPr>
                <w:rFonts w:cs="Times New Roman"/>
                <w:sz w:val="21"/>
                <w:lang w:eastAsia="zh-CN" w:bidi="ar"/>
              </w:rPr>
              <w:t>467.47</w:t>
            </w:r>
          </w:p>
        </w:tc>
        <w:tc>
          <w:tcPr>
            <w:tcW w:w="416" w:type="pct"/>
            <w:shd w:val="clear" w:color="auto" w:fill="auto"/>
            <w:vAlign w:val="center"/>
          </w:tcPr>
          <w:p w14:paraId="6A42FF32">
            <w:pPr>
              <w:spacing w:line="240" w:lineRule="auto"/>
              <w:ind w:firstLine="0" w:firstLineChars="0"/>
              <w:jc w:val="center"/>
              <w:textAlignment w:val="center"/>
              <w:rPr>
                <w:rFonts w:cs="Times New Roman"/>
                <w:sz w:val="21"/>
              </w:rPr>
            </w:pPr>
            <w:r>
              <w:rPr>
                <w:rFonts w:cs="Times New Roman"/>
                <w:sz w:val="21"/>
                <w:lang w:eastAsia="zh-CN" w:bidi="ar"/>
              </w:rPr>
              <w:t>49087.10</w:t>
            </w:r>
          </w:p>
        </w:tc>
        <w:tc>
          <w:tcPr>
            <w:tcW w:w="296" w:type="pct"/>
            <w:shd w:val="clear" w:color="auto" w:fill="auto"/>
            <w:vAlign w:val="center"/>
          </w:tcPr>
          <w:p w14:paraId="27450246">
            <w:pPr>
              <w:spacing w:line="240" w:lineRule="auto"/>
              <w:ind w:firstLine="0" w:firstLineChars="0"/>
              <w:jc w:val="center"/>
              <w:textAlignment w:val="center"/>
              <w:rPr>
                <w:rFonts w:cs="Times New Roman"/>
                <w:sz w:val="21"/>
              </w:rPr>
            </w:pPr>
          </w:p>
        </w:tc>
        <w:tc>
          <w:tcPr>
            <w:tcW w:w="338" w:type="pct"/>
            <w:shd w:val="clear" w:color="auto" w:fill="auto"/>
            <w:vAlign w:val="center"/>
          </w:tcPr>
          <w:p w14:paraId="1D74FA7E">
            <w:pPr>
              <w:spacing w:line="240" w:lineRule="auto"/>
              <w:ind w:firstLine="0" w:firstLineChars="0"/>
              <w:jc w:val="center"/>
              <w:textAlignment w:val="center"/>
              <w:rPr>
                <w:rFonts w:cs="Times New Roman"/>
                <w:sz w:val="21"/>
              </w:rPr>
            </w:pPr>
          </w:p>
        </w:tc>
        <w:tc>
          <w:tcPr>
            <w:tcW w:w="336" w:type="pct"/>
            <w:shd w:val="clear" w:color="auto" w:fill="auto"/>
            <w:vAlign w:val="center"/>
          </w:tcPr>
          <w:p w14:paraId="2BBA7D0E">
            <w:pPr>
              <w:spacing w:line="240" w:lineRule="auto"/>
              <w:ind w:firstLine="0" w:firstLineChars="0"/>
              <w:jc w:val="center"/>
              <w:textAlignment w:val="center"/>
              <w:rPr>
                <w:rFonts w:cs="Times New Roman"/>
                <w:sz w:val="21"/>
              </w:rPr>
            </w:pPr>
            <w:r>
              <w:rPr>
                <w:rFonts w:cs="Times New Roman"/>
                <w:sz w:val="21"/>
                <w:lang w:eastAsia="zh-CN" w:bidi="ar"/>
              </w:rPr>
              <w:t>271.52</w:t>
            </w:r>
          </w:p>
        </w:tc>
        <w:tc>
          <w:tcPr>
            <w:tcW w:w="416" w:type="pct"/>
            <w:shd w:val="clear" w:color="auto" w:fill="auto"/>
            <w:vAlign w:val="center"/>
          </w:tcPr>
          <w:p w14:paraId="2C5C4E4A">
            <w:pPr>
              <w:spacing w:line="240" w:lineRule="auto"/>
              <w:ind w:firstLine="0" w:firstLineChars="0"/>
              <w:jc w:val="center"/>
              <w:textAlignment w:val="center"/>
              <w:rPr>
                <w:rFonts w:cs="Times New Roman"/>
                <w:sz w:val="21"/>
              </w:rPr>
            </w:pPr>
            <w:r>
              <w:rPr>
                <w:rFonts w:cs="Times New Roman"/>
                <w:sz w:val="21"/>
                <w:lang w:eastAsia="zh-CN" w:bidi="ar"/>
              </w:rPr>
              <w:t>21352.80</w:t>
            </w:r>
          </w:p>
        </w:tc>
        <w:tc>
          <w:tcPr>
            <w:tcW w:w="336" w:type="pct"/>
            <w:shd w:val="clear" w:color="auto" w:fill="auto"/>
            <w:vAlign w:val="center"/>
          </w:tcPr>
          <w:p w14:paraId="6C343C4E">
            <w:pPr>
              <w:spacing w:line="240" w:lineRule="auto"/>
              <w:ind w:firstLine="0" w:firstLineChars="0"/>
              <w:jc w:val="center"/>
              <w:textAlignment w:val="center"/>
              <w:rPr>
                <w:rFonts w:cs="Times New Roman"/>
                <w:sz w:val="21"/>
              </w:rPr>
            </w:pPr>
            <w:r>
              <w:rPr>
                <w:rFonts w:cs="Times New Roman"/>
                <w:sz w:val="21"/>
                <w:lang w:eastAsia="zh-CN" w:bidi="ar"/>
              </w:rPr>
              <w:t>19.80</w:t>
            </w:r>
          </w:p>
        </w:tc>
        <w:tc>
          <w:tcPr>
            <w:tcW w:w="416" w:type="pct"/>
            <w:shd w:val="clear" w:color="auto" w:fill="auto"/>
            <w:vAlign w:val="center"/>
          </w:tcPr>
          <w:p w14:paraId="2AFA6ADB">
            <w:pPr>
              <w:spacing w:line="240" w:lineRule="auto"/>
              <w:ind w:firstLine="0" w:firstLineChars="0"/>
              <w:jc w:val="center"/>
              <w:textAlignment w:val="center"/>
              <w:rPr>
                <w:rFonts w:cs="Times New Roman"/>
                <w:sz w:val="21"/>
              </w:rPr>
            </w:pPr>
            <w:r>
              <w:rPr>
                <w:rFonts w:cs="Times New Roman"/>
                <w:sz w:val="21"/>
                <w:lang w:eastAsia="zh-CN" w:bidi="ar"/>
              </w:rPr>
              <w:t>1704.80</w:t>
            </w:r>
          </w:p>
        </w:tc>
        <w:tc>
          <w:tcPr>
            <w:tcW w:w="296" w:type="pct"/>
            <w:shd w:val="clear" w:color="auto" w:fill="auto"/>
            <w:vAlign w:val="center"/>
          </w:tcPr>
          <w:p w14:paraId="63E22A66">
            <w:pPr>
              <w:spacing w:line="240" w:lineRule="auto"/>
              <w:ind w:firstLine="0" w:firstLineChars="0"/>
              <w:jc w:val="center"/>
              <w:textAlignment w:val="center"/>
              <w:rPr>
                <w:rFonts w:cs="Times New Roman"/>
                <w:sz w:val="21"/>
              </w:rPr>
            </w:pPr>
            <w:r>
              <w:rPr>
                <w:rFonts w:cs="Times New Roman"/>
                <w:sz w:val="21"/>
                <w:lang w:eastAsia="zh-CN" w:bidi="ar"/>
              </w:rPr>
              <w:t>25.53</w:t>
            </w:r>
          </w:p>
        </w:tc>
        <w:tc>
          <w:tcPr>
            <w:tcW w:w="377" w:type="pct"/>
            <w:shd w:val="clear" w:color="auto" w:fill="auto"/>
            <w:vAlign w:val="center"/>
          </w:tcPr>
          <w:p w14:paraId="768178E6">
            <w:pPr>
              <w:spacing w:line="240" w:lineRule="auto"/>
              <w:ind w:firstLine="0" w:firstLineChars="0"/>
              <w:jc w:val="center"/>
              <w:textAlignment w:val="center"/>
              <w:rPr>
                <w:rFonts w:cs="Times New Roman"/>
                <w:sz w:val="21"/>
              </w:rPr>
            </w:pPr>
            <w:r>
              <w:rPr>
                <w:rFonts w:cs="Times New Roman"/>
                <w:sz w:val="21"/>
                <w:lang w:eastAsia="zh-CN" w:bidi="ar"/>
              </w:rPr>
              <w:t>2507.00</w:t>
            </w:r>
          </w:p>
        </w:tc>
        <w:tc>
          <w:tcPr>
            <w:tcW w:w="296" w:type="pct"/>
            <w:shd w:val="clear" w:color="auto" w:fill="auto"/>
            <w:vAlign w:val="center"/>
          </w:tcPr>
          <w:p w14:paraId="6007F455">
            <w:pPr>
              <w:spacing w:line="240" w:lineRule="auto"/>
              <w:ind w:firstLine="0" w:firstLineChars="0"/>
              <w:jc w:val="center"/>
              <w:textAlignment w:val="center"/>
              <w:rPr>
                <w:rFonts w:cs="Times New Roman"/>
                <w:sz w:val="21"/>
              </w:rPr>
            </w:pPr>
            <w:r>
              <w:rPr>
                <w:rFonts w:cs="Times New Roman"/>
                <w:sz w:val="21"/>
                <w:lang w:eastAsia="zh-CN" w:bidi="ar"/>
              </w:rPr>
              <w:t>150.62</w:t>
            </w:r>
          </w:p>
        </w:tc>
        <w:tc>
          <w:tcPr>
            <w:tcW w:w="375" w:type="pct"/>
            <w:shd w:val="clear" w:color="auto" w:fill="auto"/>
            <w:vAlign w:val="center"/>
          </w:tcPr>
          <w:p w14:paraId="2C35468F">
            <w:pPr>
              <w:spacing w:line="240" w:lineRule="auto"/>
              <w:ind w:firstLine="0" w:firstLineChars="0"/>
              <w:jc w:val="center"/>
              <w:textAlignment w:val="center"/>
              <w:rPr>
                <w:rFonts w:cs="Times New Roman"/>
                <w:sz w:val="21"/>
              </w:rPr>
            </w:pPr>
            <w:r>
              <w:rPr>
                <w:rFonts w:cs="Times New Roman"/>
                <w:sz w:val="21"/>
                <w:lang w:eastAsia="zh-CN" w:bidi="ar"/>
              </w:rPr>
              <w:t>23522.50</w:t>
            </w:r>
          </w:p>
        </w:tc>
      </w:tr>
      <w:tr w14:paraId="26E3E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38" w:type="pct"/>
            <w:vMerge w:val="continue"/>
            <w:shd w:val="clear" w:color="auto" w:fill="auto"/>
            <w:vAlign w:val="center"/>
          </w:tcPr>
          <w:p w14:paraId="4EB6DA11">
            <w:pPr>
              <w:spacing w:line="240" w:lineRule="auto"/>
              <w:ind w:firstLine="0" w:firstLineChars="0"/>
              <w:jc w:val="center"/>
              <w:rPr>
                <w:rFonts w:cs="Times New Roman"/>
                <w:sz w:val="21"/>
              </w:rPr>
            </w:pPr>
          </w:p>
        </w:tc>
        <w:tc>
          <w:tcPr>
            <w:tcW w:w="528" w:type="pct"/>
            <w:shd w:val="clear" w:color="auto" w:fill="auto"/>
            <w:vAlign w:val="center"/>
          </w:tcPr>
          <w:p w14:paraId="57D8A13B">
            <w:pPr>
              <w:spacing w:line="240" w:lineRule="auto"/>
              <w:ind w:firstLine="0" w:firstLineChars="0"/>
              <w:jc w:val="center"/>
              <w:textAlignment w:val="center"/>
              <w:rPr>
                <w:rFonts w:cs="Times New Roman"/>
                <w:sz w:val="21"/>
              </w:rPr>
            </w:pPr>
            <w:r>
              <w:rPr>
                <w:rFonts w:cs="Times New Roman"/>
                <w:sz w:val="21"/>
                <w:lang w:eastAsia="zh-CN" w:bidi="ar"/>
              </w:rPr>
              <w:t>杉木</w:t>
            </w:r>
          </w:p>
        </w:tc>
        <w:tc>
          <w:tcPr>
            <w:tcW w:w="336" w:type="pct"/>
            <w:shd w:val="clear" w:color="auto" w:fill="auto"/>
            <w:vAlign w:val="center"/>
          </w:tcPr>
          <w:p w14:paraId="2CAE3338">
            <w:pPr>
              <w:spacing w:line="240" w:lineRule="auto"/>
              <w:ind w:firstLine="0" w:firstLineChars="0"/>
              <w:jc w:val="center"/>
              <w:textAlignment w:val="center"/>
              <w:rPr>
                <w:rFonts w:cs="Times New Roman"/>
                <w:sz w:val="21"/>
              </w:rPr>
            </w:pPr>
            <w:r>
              <w:rPr>
                <w:rFonts w:cs="Times New Roman"/>
                <w:sz w:val="21"/>
                <w:lang w:eastAsia="zh-CN" w:bidi="ar"/>
              </w:rPr>
              <w:t>1444.26</w:t>
            </w:r>
          </w:p>
        </w:tc>
        <w:tc>
          <w:tcPr>
            <w:tcW w:w="416" w:type="pct"/>
            <w:shd w:val="clear" w:color="auto" w:fill="auto"/>
            <w:vAlign w:val="center"/>
          </w:tcPr>
          <w:p w14:paraId="31EFBC91">
            <w:pPr>
              <w:spacing w:line="240" w:lineRule="auto"/>
              <w:ind w:firstLine="0" w:firstLineChars="0"/>
              <w:jc w:val="center"/>
              <w:textAlignment w:val="center"/>
              <w:rPr>
                <w:rFonts w:cs="Times New Roman"/>
                <w:sz w:val="21"/>
              </w:rPr>
            </w:pPr>
            <w:r>
              <w:rPr>
                <w:rFonts w:cs="Times New Roman"/>
                <w:sz w:val="21"/>
                <w:lang w:eastAsia="zh-CN" w:bidi="ar"/>
              </w:rPr>
              <w:t>222990.30</w:t>
            </w:r>
          </w:p>
        </w:tc>
        <w:tc>
          <w:tcPr>
            <w:tcW w:w="296" w:type="pct"/>
            <w:shd w:val="clear" w:color="auto" w:fill="auto"/>
            <w:vAlign w:val="center"/>
          </w:tcPr>
          <w:p w14:paraId="5521DC9E">
            <w:pPr>
              <w:spacing w:line="240" w:lineRule="auto"/>
              <w:ind w:firstLine="0" w:firstLineChars="0"/>
              <w:jc w:val="center"/>
              <w:textAlignment w:val="center"/>
              <w:rPr>
                <w:rFonts w:cs="Times New Roman"/>
                <w:sz w:val="21"/>
              </w:rPr>
            </w:pPr>
            <w:r>
              <w:rPr>
                <w:rFonts w:cs="Times New Roman"/>
                <w:sz w:val="21"/>
                <w:lang w:eastAsia="zh-CN" w:bidi="ar"/>
              </w:rPr>
              <w:t>161.37</w:t>
            </w:r>
          </w:p>
        </w:tc>
        <w:tc>
          <w:tcPr>
            <w:tcW w:w="338" w:type="pct"/>
            <w:shd w:val="clear" w:color="auto" w:fill="auto"/>
            <w:vAlign w:val="center"/>
          </w:tcPr>
          <w:p w14:paraId="0F19805A">
            <w:pPr>
              <w:spacing w:line="240" w:lineRule="auto"/>
              <w:ind w:firstLine="0" w:firstLineChars="0"/>
              <w:jc w:val="center"/>
              <w:textAlignment w:val="center"/>
              <w:rPr>
                <w:rFonts w:cs="Times New Roman"/>
                <w:sz w:val="21"/>
              </w:rPr>
            </w:pPr>
            <w:r>
              <w:rPr>
                <w:rFonts w:cs="Times New Roman"/>
                <w:sz w:val="21"/>
                <w:lang w:eastAsia="zh-CN" w:bidi="ar"/>
              </w:rPr>
              <w:t>5124.10</w:t>
            </w:r>
          </w:p>
        </w:tc>
        <w:tc>
          <w:tcPr>
            <w:tcW w:w="336" w:type="pct"/>
            <w:shd w:val="clear" w:color="auto" w:fill="auto"/>
            <w:vAlign w:val="center"/>
          </w:tcPr>
          <w:p w14:paraId="605DC633">
            <w:pPr>
              <w:spacing w:line="240" w:lineRule="auto"/>
              <w:ind w:firstLine="0" w:firstLineChars="0"/>
              <w:jc w:val="center"/>
              <w:textAlignment w:val="center"/>
              <w:rPr>
                <w:rFonts w:cs="Times New Roman"/>
                <w:sz w:val="21"/>
              </w:rPr>
            </w:pPr>
            <w:r>
              <w:rPr>
                <w:rFonts w:cs="Times New Roman"/>
                <w:sz w:val="21"/>
                <w:lang w:eastAsia="zh-CN" w:bidi="ar"/>
              </w:rPr>
              <w:t>926.32</w:t>
            </w:r>
          </w:p>
        </w:tc>
        <w:tc>
          <w:tcPr>
            <w:tcW w:w="416" w:type="pct"/>
            <w:shd w:val="clear" w:color="auto" w:fill="auto"/>
            <w:vAlign w:val="center"/>
          </w:tcPr>
          <w:p w14:paraId="088973A3">
            <w:pPr>
              <w:spacing w:line="240" w:lineRule="auto"/>
              <w:ind w:firstLine="0" w:firstLineChars="0"/>
              <w:jc w:val="center"/>
              <w:textAlignment w:val="center"/>
              <w:rPr>
                <w:rFonts w:cs="Times New Roman"/>
                <w:sz w:val="21"/>
              </w:rPr>
            </w:pPr>
            <w:r>
              <w:rPr>
                <w:rFonts w:cs="Times New Roman"/>
                <w:sz w:val="21"/>
                <w:lang w:eastAsia="zh-CN" w:bidi="ar"/>
              </w:rPr>
              <w:t>130536.20</w:t>
            </w:r>
          </w:p>
        </w:tc>
        <w:tc>
          <w:tcPr>
            <w:tcW w:w="336" w:type="pct"/>
            <w:shd w:val="clear" w:color="auto" w:fill="auto"/>
            <w:vAlign w:val="center"/>
          </w:tcPr>
          <w:p w14:paraId="1C25F747">
            <w:pPr>
              <w:spacing w:line="240" w:lineRule="auto"/>
              <w:ind w:firstLine="0" w:firstLineChars="0"/>
              <w:jc w:val="center"/>
              <w:textAlignment w:val="center"/>
              <w:rPr>
                <w:rFonts w:cs="Times New Roman"/>
                <w:sz w:val="21"/>
              </w:rPr>
            </w:pPr>
            <w:r>
              <w:rPr>
                <w:rFonts w:cs="Times New Roman"/>
                <w:sz w:val="21"/>
                <w:lang w:eastAsia="zh-CN" w:bidi="ar"/>
              </w:rPr>
              <w:t>343.36</w:t>
            </w:r>
          </w:p>
        </w:tc>
        <w:tc>
          <w:tcPr>
            <w:tcW w:w="416" w:type="pct"/>
            <w:shd w:val="clear" w:color="auto" w:fill="auto"/>
            <w:vAlign w:val="center"/>
          </w:tcPr>
          <w:p w14:paraId="778C2812">
            <w:pPr>
              <w:spacing w:line="240" w:lineRule="auto"/>
              <w:ind w:firstLine="0" w:firstLineChars="0"/>
              <w:jc w:val="center"/>
              <w:textAlignment w:val="center"/>
              <w:rPr>
                <w:rFonts w:cs="Times New Roman"/>
                <w:sz w:val="21"/>
              </w:rPr>
            </w:pPr>
            <w:r>
              <w:rPr>
                <w:rFonts w:cs="Times New Roman"/>
                <w:sz w:val="21"/>
                <w:lang w:eastAsia="zh-CN" w:bidi="ar"/>
              </w:rPr>
              <w:t>83428.20</w:t>
            </w:r>
          </w:p>
        </w:tc>
        <w:tc>
          <w:tcPr>
            <w:tcW w:w="296" w:type="pct"/>
            <w:shd w:val="clear" w:color="auto" w:fill="auto"/>
            <w:vAlign w:val="center"/>
          </w:tcPr>
          <w:p w14:paraId="56EA2D1A">
            <w:pPr>
              <w:spacing w:line="240" w:lineRule="auto"/>
              <w:ind w:firstLine="0" w:firstLineChars="0"/>
              <w:jc w:val="center"/>
              <w:textAlignment w:val="center"/>
              <w:rPr>
                <w:rFonts w:cs="Times New Roman"/>
                <w:sz w:val="21"/>
              </w:rPr>
            </w:pPr>
            <w:r>
              <w:rPr>
                <w:rFonts w:cs="Times New Roman"/>
                <w:sz w:val="21"/>
                <w:lang w:eastAsia="zh-CN" w:bidi="ar"/>
              </w:rPr>
              <w:t>13.20</w:t>
            </w:r>
          </w:p>
        </w:tc>
        <w:tc>
          <w:tcPr>
            <w:tcW w:w="377" w:type="pct"/>
            <w:shd w:val="clear" w:color="auto" w:fill="auto"/>
            <w:vAlign w:val="center"/>
          </w:tcPr>
          <w:p w14:paraId="70D1344E">
            <w:pPr>
              <w:spacing w:line="240" w:lineRule="auto"/>
              <w:ind w:firstLine="0" w:firstLineChars="0"/>
              <w:jc w:val="center"/>
              <w:textAlignment w:val="center"/>
              <w:rPr>
                <w:rFonts w:cs="Times New Roman"/>
                <w:sz w:val="21"/>
              </w:rPr>
            </w:pPr>
            <w:r>
              <w:rPr>
                <w:rFonts w:cs="Times New Roman"/>
                <w:sz w:val="21"/>
                <w:lang w:eastAsia="zh-CN" w:bidi="ar"/>
              </w:rPr>
              <w:t>3901.80</w:t>
            </w:r>
          </w:p>
        </w:tc>
        <w:tc>
          <w:tcPr>
            <w:tcW w:w="296" w:type="pct"/>
            <w:shd w:val="clear" w:color="auto" w:fill="auto"/>
            <w:vAlign w:val="center"/>
          </w:tcPr>
          <w:p w14:paraId="24D089D3">
            <w:pPr>
              <w:spacing w:line="240" w:lineRule="auto"/>
              <w:ind w:firstLine="0" w:firstLineChars="0"/>
              <w:jc w:val="center"/>
              <w:textAlignment w:val="center"/>
              <w:rPr>
                <w:rFonts w:cs="Times New Roman"/>
                <w:sz w:val="21"/>
              </w:rPr>
            </w:pPr>
          </w:p>
        </w:tc>
        <w:tc>
          <w:tcPr>
            <w:tcW w:w="375" w:type="pct"/>
            <w:shd w:val="clear" w:color="auto" w:fill="auto"/>
            <w:vAlign w:val="center"/>
          </w:tcPr>
          <w:p w14:paraId="6F44364C">
            <w:pPr>
              <w:spacing w:line="240" w:lineRule="auto"/>
              <w:ind w:firstLine="0" w:firstLineChars="0"/>
              <w:jc w:val="center"/>
              <w:textAlignment w:val="center"/>
              <w:rPr>
                <w:rFonts w:cs="Times New Roman"/>
                <w:sz w:val="21"/>
              </w:rPr>
            </w:pPr>
          </w:p>
        </w:tc>
      </w:tr>
      <w:tr w14:paraId="64736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38" w:type="pct"/>
            <w:vMerge w:val="continue"/>
            <w:shd w:val="clear" w:color="auto" w:fill="auto"/>
            <w:vAlign w:val="center"/>
          </w:tcPr>
          <w:p w14:paraId="10692574">
            <w:pPr>
              <w:spacing w:line="240" w:lineRule="auto"/>
              <w:ind w:firstLine="0" w:firstLineChars="0"/>
              <w:jc w:val="center"/>
              <w:rPr>
                <w:rFonts w:cs="Times New Roman"/>
                <w:sz w:val="21"/>
              </w:rPr>
            </w:pPr>
          </w:p>
        </w:tc>
        <w:tc>
          <w:tcPr>
            <w:tcW w:w="528" w:type="pct"/>
            <w:shd w:val="clear" w:color="auto" w:fill="auto"/>
            <w:vAlign w:val="center"/>
          </w:tcPr>
          <w:p w14:paraId="2CCE8B57">
            <w:pPr>
              <w:spacing w:line="240" w:lineRule="auto"/>
              <w:ind w:firstLine="0" w:firstLineChars="0"/>
              <w:jc w:val="center"/>
              <w:textAlignment w:val="center"/>
              <w:rPr>
                <w:rFonts w:cs="Times New Roman"/>
                <w:sz w:val="21"/>
              </w:rPr>
            </w:pPr>
            <w:r>
              <w:rPr>
                <w:rFonts w:cs="Times New Roman"/>
                <w:sz w:val="21"/>
                <w:lang w:eastAsia="zh-CN" w:bidi="ar"/>
              </w:rPr>
              <w:t>湿地松</w:t>
            </w:r>
          </w:p>
        </w:tc>
        <w:tc>
          <w:tcPr>
            <w:tcW w:w="336" w:type="pct"/>
            <w:shd w:val="clear" w:color="auto" w:fill="auto"/>
            <w:vAlign w:val="center"/>
          </w:tcPr>
          <w:p w14:paraId="0AC444ED">
            <w:pPr>
              <w:spacing w:line="240" w:lineRule="auto"/>
              <w:ind w:firstLine="0" w:firstLineChars="0"/>
              <w:jc w:val="center"/>
              <w:textAlignment w:val="center"/>
              <w:rPr>
                <w:rFonts w:cs="Times New Roman"/>
                <w:sz w:val="21"/>
              </w:rPr>
            </w:pPr>
            <w:r>
              <w:rPr>
                <w:rFonts w:cs="Times New Roman"/>
                <w:sz w:val="21"/>
                <w:lang w:eastAsia="zh-CN" w:bidi="ar"/>
              </w:rPr>
              <w:t>3.67</w:t>
            </w:r>
          </w:p>
        </w:tc>
        <w:tc>
          <w:tcPr>
            <w:tcW w:w="416" w:type="pct"/>
            <w:shd w:val="clear" w:color="auto" w:fill="auto"/>
            <w:vAlign w:val="center"/>
          </w:tcPr>
          <w:p w14:paraId="2694F40B">
            <w:pPr>
              <w:spacing w:line="240" w:lineRule="auto"/>
              <w:ind w:firstLine="0" w:firstLineChars="0"/>
              <w:jc w:val="center"/>
              <w:textAlignment w:val="center"/>
              <w:rPr>
                <w:rFonts w:cs="Times New Roman"/>
                <w:sz w:val="21"/>
              </w:rPr>
            </w:pPr>
            <w:r>
              <w:rPr>
                <w:rFonts w:cs="Times New Roman"/>
                <w:sz w:val="21"/>
                <w:lang w:eastAsia="zh-CN" w:bidi="ar"/>
              </w:rPr>
              <w:t>413.70</w:t>
            </w:r>
          </w:p>
        </w:tc>
        <w:tc>
          <w:tcPr>
            <w:tcW w:w="296" w:type="pct"/>
            <w:shd w:val="clear" w:color="auto" w:fill="auto"/>
            <w:vAlign w:val="center"/>
          </w:tcPr>
          <w:p w14:paraId="3B630976">
            <w:pPr>
              <w:spacing w:line="240" w:lineRule="auto"/>
              <w:ind w:firstLine="0" w:firstLineChars="0"/>
              <w:jc w:val="center"/>
              <w:textAlignment w:val="center"/>
              <w:rPr>
                <w:rFonts w:cs="Times New Roman"/>
                <w:sz w:val="21"/>
              </w:rPr>
            </w:pPr>
          </w:p>
        </w:tc>
        <w:tc>
          <w:tcPr>
            <w:tcW w:w="338" w:type="pct"/>
            <w:shd w:val="clear" w:color="auto" w:fill="auto"/>
            <w:vAlign w:val="center"/>
          </w:tcPr>
          <w:p w14:paraId="616EC7EF">
            <w:pPr>
              <w:spacing w:line="240" w:lineRule="auto"/>
              <w:ind w:firstLine="0" w:firstLineChars="0"/>
              <w:jc w:val="center"/>
              <w:textAlignment w:val="center"/>
              <w:rPr>
                <w:rFonts w:cs="Times New Roman"/>
                <w:sz w:val="21"/>
              </w:rPr>
            </w:pPr>
          </w:p>
        </w:tc>
        <w:tc>
          <w:tcPr>
            <w:tcW w:w="336" w:type="pct"/>
            <w:shd w:val="clear" w:color="auto" w:fill="auto"/>
            <w:vAlign w:val="center"/>
          </w:tcPr>
          <w:p w14:paraId="71F91462">
            <w:pPr>
              <w:spacing w:line="240" w:lineRule="auto"/>
              <w:ind w:firstLine="0" w:firstLineChars="0"/>
              <w:jc w:val="center"/>
              <w:textAlignment w:val="center"/>
              <w:rPr>
                <w:rFonts w:cs="Times New Roman"/>
                <w:sz w:val="21"/>
              </w:rPr>
            </w:pPr>
          </w:p>
        </w:tc>
        <w:tc>
          <w:tcPr>
            <w:tcW w:w="416" w:type="pct"/>
            <w:shd w:val="clear" w:color="auto" w:fill="auto"/>
            <w:vAlign w:val="center"/>
          </w:tcPr>
          <w:p w14:paraId="7B8FD767">
            <w:pPr>
              <w:spacing w:line="240" w:lineRule="auto"/>
              <w:ind w:firstLine="0" w:firstLineChars="0"/>
              <w:jc w:val="center"/>
              <w:textAlignment w:val="center"/>
              <w:rPr>
                <w:rFonts w:cs="Times New Roman"/>
                <w:sz w:val="21"/>
              </w:rPr>
            </w:pPr>
          </w:p>
        </w:tc>
        <w:tc>
          <w:tcPr>
            <w:tcW w:w="336" w:type="pct"/>
            <w:shd w:val="clear" w:color="auto" w:fill="auto"/>
            <w:vAlign w:val="center"/>
          </w:tcPr>
          <w:p w14:paraId="58478885">
            <w:pPr>
              <w:spacing w:line="240" w:lineRule="auto"/>
              <w:ind w:firstLine="0" w:firstLineChars="0"/>
              <w:jc w:val="center"/>
              <w:textAlignment w:val="center"/>
              <w:rPr>
                <w:rFonts w:cs="Times New Roman"/>
                <w:sz w:val="21"/>
              </w:rPr>
            </w:pPr>
          </w:p>
        </w:tc>
        <w:tc>
          <w:tcPr>
            <w:tcW w:w="416" w:type="pct"/>
            <w:shd w:val="clear" w:color="auto" w:fill="auto"/>
            <w:vAlign w:val="center"/>
          </w:tcPr>
          <w:p w14:paraId="4B4D4B21">
            <w:pPr>
              <w:spacing w:line="240" w:lineRule="auto"/>
              <w:ind w:firstLine="0" w:firstLineChars="0"/>
              <w:jc w:val="center"/>
              <w:textAlignment w:val="center"/>
              <w:rPr>
                <w:rFonts w:cs="Times New Roman"/>
                <w:sz w:val="21"/>
              </w:rPr>
            </w:pPr>
          </w:p>
        </w:tc>
        <w:tc>
          <w:tcPr>
            <w:tcW w:w="296" w:type="pct"/>
            <w:shd w:val="clear" w:color="auto" w:fill="auto"/>
            <w:vAlign w:val="center"/>
          </w:tcPr>
          <w:p w14:paraId="6F4811A5">
            <w:pPr>
              <w:spacing w:line="240" w:lineRule="auto"/>
              <w:ind w:firstLine="0" w:firstLineChars="0"/>
              <w:jc w:val="center"/>
              <w:textAlignment w:val="center"/>
              <w:rPr>
                <w:rFonts w:cs="Times New Roman"/>
                <w:sz w:val="21"/>
              </w:rPr>
            </w:pPr>
            <w:r>
              <w:rPr>
                <w:rFonts w:cs="Times New Roman"/>
                <w:sz w:val="21"/>
                <w:lang w:eastAsia="zh-CN" w:bidi="ar"/>
              </w:rPr>
              <w:t>3.67</w:t>
            </w:r>
          </w:p>
        </w:tc>
        <w:tc>
          <w:tcPr>
            <w:tcW w:w="377" w:type="pct"/>
            <w:shd w:val="clear" w:color="auto" w:fill="auto"/>
            <w:vAlign w:val="center"/>
          </w:tcPr>
          <w:p w14:paraId="3AD9CCEB">
            <w:pPr>
              <w:spacing w:line="240" w:lineRule="auto"/>
              <w:ind w:firstLine="0" w:firstLineChars="0"/>
              <w:jc w:val="center"/>
              <w:textAlignment w:val="center"/>
              <w:rPr>
                <w:rFonts w:cs="Times New Roman"/>
                <w:sz w:val="21"/>
              </w:rPr>
            </w:pPr>
            <w:r>
              <w:rPr>
                <w:rFonts w:cs="Times New Roman"/>
                <w:sz w:val="21"/>
                <w:lang w:eastAsia="zh-CN" w:bidi="ar"/>
              </w:rPr>
              <w:t>413.70</w:t>
            </w:r>
          </w:p>
        </w:tc>
        <w:tc>
          <w:tcPr>
            <w:tcW w:w="296" w:type="pct"/>
            <w:shd w:val="clear" w:color="auto" w:fill="auto"/>
            <w:vAlign w:val="center"/>
          </w:tcPr>
          <w:p w14:paraId="50973574">
            <w:pPr>
              <w:spacing w:line="240" w:lineRule="auto"/>
              <w:ind w:firstLine="0" w:firstLineChars="0"/>
              <w:jc w:val="center"/>
              <w:textAlignment w:val="center"/>
              <w:rPr>
                <w:rFonts w:cs="Times New Roman"/>
                <w:sz w:val="21"/>
              </w:rPr>
            </w:pPr>
          </w:p>
        </w:tc>
        <w:tc>
          <w:tcPr>
            <w:tcW w:w="375" w:type="pct"/>
            <w:shd w:val="clear" w:color="auto" w:fill="auto"/>
            <w:vAlign w:val="center"/>
          </w:tcPr>
          <w:p w14:paraId="53EA7410">
            <w:pPr>
              <w:spacing w:line="240" w:lineRule="auto"/>
              <w:ind w:firstLine="0" w:firstLineChars="0"/>
              <w:jc w:val="center"/>
              <w:textAlignment w:val="center"/>
              <w:rPr>
                <w:rFonts w:cs="Times New Roman"/>
                <w:sz w:val="21"/>
              </w:rPr>
            </w:pPr>
          </w:p>
        </w:tc>
      </w:tr>
      <w:tr w14:paraId="1A888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38" w:type="pct"/>
            <w:vMerge w:val="continue"/>
            <w:shd w:val="clear" w:color="auto" w:fill="auto"/>
            <w:vAlign w:val="center"/>
          </w:tcPr>
          <w:p w14:paraId="3ABFC3F6">
            <w:pPr>
              <w:spacing w:line="240" w:lineRule="auto"/>
              <w:ind w:firstLine="0" w:firstLineChars="0"/>
              <w:jc w:val="center"/>
              <w:rPr>
                <w:rFonts w:cs="Times New Roman"/>
                <w:sz w:val="21"/>
              </w:rPr>
            </w:pPr>
          </w:p>
        </w:tc>
        <w:tc>
          <w:tcPr>
            <w:tcW w:w="528" w:type="pct"/>
            <w:shd w:val="clear" w:color="auto" w:fill="auto"/>
            <w:vAlign w:val="center"/>
          </w:tcPr>
          <w:p w14:paraId="69CD7C5F">
            <w:pPr>
              <w:spacing w:line="240" w:lineRule="auto"/>
              <w:ind w:firstLine="0" w:firstLineChars="0"/>
              <w:jc w:val="center"/>
              <w:textAlignment w:val="center"/>
              <w:rPr>
                <w:rFonts w:cs="Times New Roman"/>
                <w:sz w:val="21"/>
              </w:rPr>
            </w:pPr>
            <w:r>
              <w:rPr>
                <w:rFonts w:cs="Times New Roman"/>
                <w:sz w:val="21"/>
                <w:lang w:eastAsia="zh-CN" w:bidi="ar"/>
              </w:rPr>
              <w:t>针叶混</w:t>
            </w:r>
          </w:p>
        </w:tc>
        <w:tc>
          <w:tcPr>
            <w:tcW w:w="336" w:type="pct"/>
            <w:shd w:val="clear" w:color="auto" w:fill="auto"/>
            <w:vAlign w:val="center"/>
          </w:tcPr>
          <w:p w14:paraId="0B2937B5">
            <w:pPr>
              <w:spacing w:line="240" w:lineRule="auto"/>
              <w:ind w:firstLine="0" w:firstLineChars="0"/>
              <w:jc w:val="center"/>
              <w:textAlignment w:val="center"/>
              <w:rPr>
                <w:rFonts w:cs="Times New Roman"/>
                <w:sz w:val="21"/>
              </w:rPr>
            </w:pPr>
            <w:r>
              <w:rPr>
                <w:rFonts w:cs="Times New Roman"/>
                <w:sz w:val="21"/>
                <w:lang w:eastAsia="zh-CN" w:bidi="ar"/>
              </w:rPr>
              <w:t>20.66</w:t>
            </w:r>
          </w:p>
        </w:tc>
        <w:tc>
          <w:tcPr>
            <w:tcW w:w="416" w:type="pct"/>
            <w:shd w:val="clear" w:color="auto" w:fill="auto"/>
            <w:vAlign w:val="center"/>
          </w:tcPr>
          <w:p w14:paraId="474AE382">
            <w:pPr>
              <w:spacing w:line="240" w:lineRule="auto"/>
              <w:ind w:firstLine="0" w:firstLineChars="0"/>
              <w:jc w:val="center"/>
              <w:textAlignment w:val="center"/>
              <w:rPr>
                <w:rFonts w:cs="Times New Roman"/>
                <w:sz w:val="21"/>
              </w:rPr>
            </w:pPr>
            <w:r>
              <w:rPr>
                <w:rFonts w:cs="Times New Roman"/>
                <w:sz w:val="21"/>
                <w:lang w:eastAsia="zh-CN" w:bidi="ar"/>
              </w:rPr>
              <w:t>0.00</w:t>
            </w:r>
          </w:p>
        </w:tc>
        <w:tc>
          <w:tcPr>
            <w:tcW w:w="296" w:type="pct"/>
            <w:shd w:val="clear" w:color="auto" w:fill="auto"/>
            <w:vAlign w:val="center"/>
          </w:tcPr>
          <w:p w14:paraId="1F06DA61">
            <w:pPr>
              <w:spacing w:line="240" w:lineRule="auto"/>
              <w:ind w:firstLine="0" w:firstLineChars="0"/>
              <w:jc w:val="center"/>
              <w:textAlignment w:val="center"/>
              <w:rPr>
                <w:rFonts w:cs="Times New Roman"/>
                <w:sz w:val="21"/>
              </w:rPr>
            </w:pPr>
            <w:r>
              <w:rPr>
                <w:rFonts w:cs="Times New Roman"/>
                <w:sz w:val="21"/>
                <w:lang w:eastAsia="zh-CN" w:bidi="ar"/>
              </w:rPr>
              <w:t>20.66</w:t>
            </w:r>
          </w:p>
        </w:tc>
        <w:tc>
          <w:tcPr>
            <w:tcW w:w="338" w:type="pct"/>
            <w:shd w:val="clear" w:color="auto" w:fill="auto"/>
            <w:vAlign w:val="center"/>
          </w:tcPr>
          <w:p w14:paraId="64F48125">
            <w:pPr>
              <w:spacing w:line="240" w:lineRule="auto"/>
              <w:ind w:firstLine="0" w:firstLineChars="0"/>
              <w:jc w:val="center"/>
              <w:textAlignment w:val="center"/>
              <w:rPr>
                <w:rFonts w:cs="Times New Roman"/>
                <w:sz w:val="21"/>
              </w:rPr>
            </w:pPr>
          </w:p>
        </w:tc>
        <w:tc>
          <w:tcPr>
            <w:tcW w:w="336" w:type="pct"/>
            <w:shd w:val="clear" w:color="auto" w:fill="auto"/>
            <w:vAlign w:val="center"/>
          </w:tcPr>
          <w:p w14:paraId="130B5457">
            <w:pPr>
              <w:spacing w:line="240" w:lineRule="auto"/>
              <w:ind w:firstLine="0" w:firstLineChars="0"/>
              <w:jc w:val="center"/>
              <w:textAlignment w:val="center"/>
              <w:rPr>
                <w:rFonts w:cs="Times New Roman"/>
                <w:sz w:val="21"/>
              </w:rPr>
            </w:pPr>
          </w:p>
        </w:tc>
        <w:tc>
          <w:tcPr>
            <w:tcW w:w="416" w:type="pct"/>
            <w:shd w:val="clear" w:color="auto" w:fill="auto"/>
            <w:vAlign w:val="center"/>
          </w:tcPr>
          <w:p w14:paraId="34AF56A9">
            <w:pPr>
              <w:spacing w:line="240" w:lineRule="auto"/>
              <w:ind w:firstLine="0" w:firstLineChars="0"/>
              <w:jc w:val="center"/>
              <w:textAlignment w:val="center"/>
              <w:rPr>
                <w:rFonts w:cs="Times New Roman"/>
                <w:sz w:val="21"/>
              </w:rPr>
            </w:pPr>
          </w:p>
        </w:tc>
        <w:tc>
          <w:tcPr>
            <w:tcW w:w="336" w:type="pct"/>
            <w:shd w:val="clear" w:color="auto" w:fill="auto"/>
            <w:vAlign w:val="center"/>
          </w:tcPr>
          <w:p w14:paraId="459C6F0E">
            <w:pPr>
              <w:spacing w:line="240" w:lineRule="auto"/>
              <w:ind w:firstLine="0" w:firstLineChars="0"/>
              <w:jc w:val="center"/>
              <w:textAlignment w:val="center"/>
              <w:rPr>
                <w:rFonts w:cs="Times New Roman"/>
                <w:sz w:val="21"/>
              </w:rPr>
            </w:pPr>
          </w:p>
        </w:tc>
        <w:tc>
          <w:tcPr>
            <w:tcW w:w="416" w:type="pct"/>
            <w:shd w:val="clear" w:color="auto" w:fill="auto"/>
            <w:vAlign w:val="center"/>
          </w:tcPr>
          <w:p w14:paraId="1D5D47E0">
            <w:pPr>
              <w:spacing w:line="240" w:lineRule="auto"/>
              <w:ind w:firstLine="0" w:firstLineChars="0"/>
              <w:jc w:val="center"/>
              <w:textAlignment w:val="center"/>
              <w:rPr>
                <w:rFonts w:cs="Times New Roman"/>
                <w:sz w:val="21"/>
              </w:rPr>
            </w:pPr>
          </w:p>
        </w:tc>
        <w:tc>
          <w:tcPr>
            <w:tcW w:w="296" w:type="pct"/>
            <w:shd w:val="clear" w:color="auto" w:fill="auto"/>
            <w:vAlign w:val="center"/>
          </w:tcPr>
          <w:p w14:paraId="1E9B2369">
            <w:pPr>
              <w:spacing w:line="240" w:lineRule="auto"/>
              <w:ind w:firstLine="0" w:firstLineChars="0"/>
              <w:jc w:val="center"/>
              <w:textAlignment w:val="center"/>
              <w:rPr>
                <w:rFonts w:cs="Times New Roman"/>
                <w:sz w:val="21"/>
              </w:rPr>
            </w:pPr>
          </w:p>
        </w:tc>
        <w:tc>
          <w:tcPr>
            <w:tcW w:w="377" w:type="pct"/>
            <w:shd w:val="clear" w:color="auto" w:fill="auto"/>
            <w:vAlign w:val="center"/>
          </w:tcPr>
          <w:p w14:paraId="40AA2E1D">
            <w:pPr>
              <w:spacing w:line="240" w:lineRule="auto"/>
              <w:ind w:firstLine="0" w:firstLineChars="0"/>
              <w:jc w:val="center"/>
              <w:textAlignment w:val="center"/>
              <w:rPr>
                <w:rFonts w:cs="Times New Roman"/>
                <w:sz w:val="21"/>
              </w:rPr>
            </w:pPr>
          </w:p>
        </w:tc>
        <w:tc>
          <w:tcPr>
            <w:tcW w:w="296" w:type="pct"/>
            <w:shd w:val="clear" w:color="auto" w:fill="auto"/>
            <w:vAlign w:val="center"/>
          </w:tcPr>
          <w:p w14:paraId="5BB7E680">
            <w:pPr>
              <w:spacing w:line="240" w:lineRule="auto"/>
              <w:ind w:firstLine="0" w:firstLineChars="0"/>
              <w:jc w:val="center"/>
              <w:textAlignment w:val="center"/>
              <w:rPr>
                <w:rFonts w:cs="Times New Roman"/>
                <w:sz w:val="21"/>
              </w:rPr>
            </w:pPr>
          </w:p>
        </w:tc>
        <w:tc>
          <w:tcPr>
            <w:tcW w:w="375" w:type="pct"/>
            <w:shd w:val="clear" w:color="auto" w:fill="auto"/>
            <w:vAlign w:val="center"/>
          </w:tcPr>
          <w:p w14:paraId="39129FC8">
            <w:pPr>
              <w:spacing w:line="240" w:lineRule="auto"/>
              <w:ind w:firstLine="0" w:firstLineChars="0"/>
              <w:jc w:val="center"/>
              <w:textAlignment w:val="center"/>
              <w:rPr>
                <w:rFonts w:cs="Times New Roman"/>
                <w:sz w:val="21"/>
              </w:rPr>
            </w:pPr>
          </w:p>
        </w:tc>
      </w:tr>
    </w:tbl>
    <w:p w14:paraId="02FBF069">
      <w:pPr>
        <w:pStyle w:val="7"/>
        <w:ind w:firstLine="480"/>
        <w:rPr>
          <w:rFonts w:cs="Times New Roman"/>
        </w:rPr>
      </w:pPr>
    </w:p>
    <w:p w14:paraId="7CFD7EE8">
      <w:pPr>
        <w:ind w:firstLine="480"/>
        <w:rPr>
          <w:rFonts w:cs="Times New Roman"/>
        </w:rPr>
        <w:sectPr>
          <w:headerReference r:id="rId20" w:type="default"/>
          <w:footerReference r:id="rId21" w:type="default"/>
          <w:pgSz w:w="16843" w:h="11905" w:orient="landscape"/>
          <w:pgMar w:top="1803" w:right="1440" w:bottom="1406" w:left="1440" w:header="873" w:footer="1276" w:gutter="0"/>
          <w:cols w:space="0" w:num="1"/>
          <w:rtlGutter w:val="0"/>
          <w:docGrid w:linePitch="326" w:charSpace="0"/>
        </w:sectPr>
      </w:pPr>
    </w:p>
    <w:p w14:paraId="14880D39">
      <w:pPr>
        <w:pStyle w:val="4"/>
      </w:pPr>
      <w:bookmarkStart w:id="20" w:name="_Toc15770"/>
      <w:r>
        <w:t>2.1.4林种面积蓄积</w:t>
      </w:r>
      <w:bookmarkEnd w:id="20"/>
    </w:p>
    <w:p w14:paraId="5FA67280">
      <w:pPr>
        <w:ind w:firstLine="480"/>
        <w:rPr>
          <w:highlight w:val="magenta"/>
          <w:lang w:eastAsia="zh-CN"/>
        </w:rPr>
      </w:pPr>
      <w:r>
        <w:rPr>
          <w:highlight w:val="magenta"/>
          <w:lang w:eastAsia="zh-CN"/>
        </w:rPr>
        <w:t>双牌县阳明山国有林场特种用途林面积</w:t>
      </w:r>
      <w:r>
        <w:rPr>
          <w:rFonts w:hint="eastAsia"/>
          <w:highlight w:val="magenta"/>
          <w:lang w:val="en-US" w:eastAsia="zh-CN"/>
        </w:rPr>
        <w:t>7699.17</w:t>
      </w:r>
      <w:r>
        <w:rPr>
          <w:rFonts w:hint="eastAsia"/>
          <w:highlight w:val="magenta"/>
          <w:lang w:val="zh-CN" w:eastAsia="zh-CN"/>
        </w:rPr>
        <w:t>hm</w:t>
      </w:r>
      <w:r>
        <w:rPr>
          <w:rFonts w:hint="eastAsia"/>
          <w:highlight w:val="magenta"/>
          <w:vertAlign w:val="superscript"/>
          <w:lang w:val="zh-CN" w:eastAsia="zh-CN"/>
        </w:rPr>
        <w:t>2</w:t>
      </w:r>
      <w:r>
        <w:rPr>
          <w:highlight w:val="magenta"/>
          <w:lang w:eastAsia="zh-CN"/>
        </w:rPr>
        <w:t>，林场特种用途林蓄积</w:t>
      </w:r>
      <w:r>
        <w:rPr>
          <w:rFonts w:hint="eastAsia"/>
          <w:highlight w:val="magenta"/>
          <w:lang w:val="en-US" w:eastAsia="zh-CN"/>
        </w:rPr>
        <w:t>581964</w:t>
      </w:r>
      <w:r>
        <w:rPr>
          <w:highlight w:val="magenta"/>
          <w:lang w:eastAsia="zh-CN"/>
        </w:rPr>
        <w:t>m</w:t>
      </w:r>
      <w:r>
        <w:rPr>
          <w:highlight w:val="magenta"/>
          <w:vertAlign w:val="superscript"/>
          <w:lang w:eastAsia="zh-CN"/>
        </w:rPr>
        <w:t>3</w:t>
      </w:r>
      <w:r>
        <w:rPr>
          <w:highlight w:val="magenta"/>
          <w:lang w:eastAsia="zh-CN"/>
        </w:rPr>
        <w:t>，详见表2-4。</w:t>
      </w:r>
    </w:p>
    <w:p w14:paraId="0F83744A">
      <w:pPr>
        <w:pStyle w:val="4"/>
      </w:pPr>
      <w:bookmarkStart w:id="21" w:name="_Toc27801"/>
      <w:r>
        <w:t>2.1.5森林资源结构分析</w:t>
      </w:r>
      <w:bookmarkEnd w:id="21"/>
    </w:p>
    <w:p w14:paraId="411101EA">
      <w:pPr>
        <w:ind w:firstLine="480"/>
        <w:rPr>
          <w:lang w:eastAsia="zh-CN"/>
        </w:rPr>
      </w:pPr>
      <w:r>
        <w:rPr>
          <w:lang w:eastAsia="zh-CN"/>
        </w:rPr>
        <w:t>双牌县阳明山国有林场林地按土地权属分国有土</w:t>
      </w:r>
      <w:r>
        <w:rPr>
          <w:highlight w:val="none"/>
          <w:lang w:eastAsia="zh-CN"/>
        </w:rPr>
        <w:t>地</w:t>
      </w:r>
      <w:r>
        <w:rPr>
          <w:rFonts w:hint="eastAsia"/>
          <w:highlight w:val="none"/>
          <w:lang w:val="en-US" w:eastAsia="zh-CN"/>
        </w:rPr>
        <w:t>7</w:t>
      </w:r>
      <w:r>
        <w:rPr>
          <w:rFonts w:hint="eastAsia"/>
          <w:highlight w:val="magenta"/>
          <w:lang w:val="en-US" w:eastAsia="zh-CN"/>
        </w:rPr>
        <w:t>699.17</w:t>
      </w:r>
      <w:r>
        <w:rPr>
          <w:rFonts w:hint="eastAsia"/>
          <w:highlight w:val="magenta"/>
          <w:lang w:val="zh-CN" w:eastAsia="zh-CN"/>
        </w:rPr>
        <w:t>hm</w:t>
      </w:r>
      <w:r>
        <w:rPr>
          <w:rFonts w:hint="eastAsia"/>
          <w:highlight w:val="magenta"/>
          <w:vertAlign w:val="superscript"/>
          <w:lang w:val="zh-CN" w:eastAsia="zh-CN"/>
        </w:rPr>
        <w:t>2</w:t>
      </w:r>
      <w:r>
        <w:rPr>
          <w:lang w:eastAsia="zh-CN"/>
        </w:rPr>
        <w:t>，占比</w:t>
      </w:r>
      <w:r>
        <w:rPr>
          <w:rFonts w:hint="eastAsia"/>
          <w:lang w:val="en-US" w:eastAsia="zh-CN"/>
        </w:rPr>
        <w:t>100</w:t>
      </w:r>
      <w:r>
        <w:rPr>
          <w:lang w:eastAsia="zh-CN"/>
        </w:rPr>
        <w:t>%。</w:t>
      </w:r>
    </w:p>
    <w:p w14:paraId="5A486E6D">
      <w:pPr>
        <w:ind w:firstLine="480"/>
        <w:rPr>
          <w:lang w:eastAsia="zh-CN"/>
        </w:rPr>
      </w:pPr>
      <w:r>
        <w:rPr>
          <w:lang w:eastAsia="zh-CN"/>
        </w:rPr>
        <w:t>林场按森林类别分公益林</w:t>
      </w:r>
      <w:r>
        <w:rPr>
          <w:rFonts w:hint="eastAsia"/>
          <w:lang w:val="en-US" w:eastAsia="zh-CN"/>
        </w:rPr>
        <w:t>7</w:t>
      </w:r>
      <w:r>
        <w:rPr>
          <w:rFonts w:hint="eastAsia"/>
          <w:highlight w:val="magenta"/>
          <w:lang w:val="en-US" w:eastAsia="zh-CN"/>
        </w:rPr>
        <w:t>699.17</w:t>
      </w:r>
      <w:r>
        <w:rPr>
          <w:rFonts w:hint="eastAsia"/>
          <w:highlight w:val="magenta"/>
          <w:lang w:val="zh-CN" w:eastAsia="zh-CN"/>
        </w:rPr>
        <w:t>hm</w:t>
      </w:r>
      <w:r>
        <w:rPr>
          <w:rFonts w:hint="eastAsia"/>
          <w:highlight w:val="magenta"/>
          <w:vertAlign w:val="superscript"/>
          <w:lang w:val="zh-CN" w:eastAsia="zh-CN"/>
        </w:rPr>
        <w:t>2</w:t>
      </w:r>
      <w:r>
        <w:rPr>
          <w:lang w:eastAsia="zh-CN"/>
        </w:rPr>
        <w:t>，占比</w:t>
      </w:r>
      <w:r>
        <w:rPr>
          <w:rFonts w:hint="eastAsia"/>
          <w:lang w:val="en-US" w:eastAsia="zh-CN"/>
        </w:rPr>
        <w:t>100</w:t>
      </w:r>
      <w:r>
        <w:rPr>
          <w:lang w:eastAsia="zh-CN"/>
        </w:rPr>
        <w:t>%；</w:t>
      </w:r>
    </w:p>
    <w:p w14:paraId="7C879491">
      <w:pPr>
        <w:ind w:firstLine="480"/>
        <w:rPr>
          <w:lang w:eastAsia="zh-CN"/>
        </w:rPr>
      </w:pPr>
      <w:r>
        <w:rPr>
          <w:lang w:eastAsia="zh-CN"/>
        </w:rPr>
        <w:t>林场乔木林按起源分，天然林总面积</w:t>
      </w:r>
      <w:r>
        <w:rPr>
          <w:rFonts w:hint="eastAsia"/>
          <w:highlight w:val="magenta"/>
          <w:lang w:val="en-US" w:eastAsia="zh-CN"/>
        </w:rPr>
        <w:t>35</w:t>
      </w:r>
      <w:r>
        <w:rPr>
          <w:rFonts w:hint="eastAsia"/>
          <w:highlight w:val="magenta"/>
          <w:lang w:eastAsia="zh-CN"/>
        </w:rPr>
        <w:t>26.21</w:t>
      </w:r>
      <w:r>
        <w:rPr>
          <w:highlight w:val="magenta"/>
          <w:lang w:eastAsia="zh-CN"/>
        </w:rPr>
        <w:t>hm</w:t>
      </w:r>
      <w:r>
        <w:rPr>
          <w:highlight w:val="magenta"/>
          <w:vertAlign w:val="superscript"/>
          <w:lang w:eastAsia="zh-CN"/>
        </w:rPr>
        <w:t>2</w:t>
      </w:r>
      <w:r>
        <w:rPr>
          <w:lang w:eastAsia="zh-CN"/>
        </w:rPr>
        <w:t>，占乔木林总面积</w:t>
      </w:r>
      <w:r>
        <w:rPr>
          <w:rFonts w:hint="eastAsia"/>
          <w:lang w:eastAsia="zh-CN"/>
        </w:rPr>
        <w:t>7</w:t>
      </w:r>
      <w:r>
        <w:rPr>
          <w:rFonts w:hint="eastAsia"/>
          <w:lang w:val="en-US" w:eastAsia="zh-CN"/>
        </w:rPr>
        <w:t>7</w:t>
      </w:r>
      <w:r>
        <w:rPr>
          <w:rFonts w:hint="eastAsia"/>
          <w:lang w:eastAsia="zh-CN"/>
        </w:rPr>
        <w:t>.05</w:t>
      </w:r>
      <w:r>
        <w:rPr>
          <w:lang w:eastAsia="zh-CN"/>
        </w:rPr>
        <w:t>%，蓄积</w:t>
      </w:r>
      <w:r>
        <w:rPr>
          <w:rFonts w:hint="eastAsia"/>
          <w:lang w:val="en-US" w:eastAsia="zh-CN"/>
        </w:rPr>
        <w:t>458439</w:t>
      </w:r>
      <w:r>
        <w:rPr>
          <w:lang w:eastAsia="zh-CN"/>
        </w:rPr>
        <w:t>m</w:t>
      </w:r>
      <w:r>
        <w:rPr>
          <w:vertAlign w:val="superscript"/>
          <w:lang w:eastAsia="zh-CN"/>
        </w:rPr>
        <w:t>3</w:t>
      </w:r>
      <w:r>
        <w:rPr>
          <w:lang w:eastAsia="zh-CN"/>
        </w:rPr>
        <w:t>，占乔木林总蓄积</w:t>
      </w:r>
      <w:r>
        <w:rPr>
          <w:rFonts w:hint="eastAsia"/>
          <w:lang w:val="en-US" w:eastAsia="zh-CN"/>
        </w:rPr>
        <w:t>78.7</w:t>
      </w:r>
      <w:r>
        <w:rPr>
          <w:lang w:eastAsia="zh-CN"/>
        </w:rPr>
        <w:t>%；人工林面积</w:t>
      </w:r>
      <w:r>
        <w:rPr>
          <w:rFonts w:hint="eastAsia"/>
          <w:highlight w:val="magenta"/>
          <w:lang w:eastAsia="zh-CN"/>
        </w:rPr>
        <w:t>1</w:t>
      </w:r>
      <w:r>
        <w:rPr>
          <w:rFonts w:hint="eastAsia"/>
          <w:highlight w:val="magenta"/>
          <w:lang w:val="en-US" w:eastAsia="zh-CN"/>
        </w:rPr>
        <w:t>050.16</w:t>
      </w:r>
      <w:r>
        <w:rPr>
          <w:highlight w:val="magenta"/>
          <w:lang w:eastAsia="zh-CN"/>
        </w:rPr>
        <w:t>hm</w:t>
      </w:r>
      <w:r>
        <w:rPr>
          <w:highlight w:val="magenta"/>
          <w:vertAlign w:val="superscript"/>
          <w:lang w:eastAsia="zh-CN"/>
        </w:rPr>
        <w:t>2</w:t>
      </w:r>
      <w:r>
        <w:rPr>
          <w:highlight w:val="magenta"/>
          <w:lang w:eastAsia="zh-CN"/>
        </w:rPr>
        <w:t>。</w:t>
      </w:r>
      <w:r>
        <w:rPr>
          <w:lang w:eastAsia="zh-CN"/>
        </w:rPr>
        <w:t>，占</w:t>
      </w:r>
      <w:r>
        <w:rPr>
          <w:rFonts w:hint="eastAsia"/>
          <w:lang w:eastAsia="zh-CN"/>
        </w:rPr>
        <w:t>2</w:t>
      </w:r>
      <w:r>
        <w:rPr>
          <w:rFonts w:hint="eastAsia"/>
          <w:lang w:val="en-US" w:eastAsia="zh-CN"/>
        </w:rPr>
        <w:t>9.78</w:t>
      </w:r>
      <w:r>
        <w:rPr>
          <w:lang w:eastAsia="zh-CN"/>
        </w:rPr>
        <w:t>%，</w:t>
      </w:r>
      <w:r>
        <w:rPr>
          <w:highlight w:val="magenta"/>
          <w:lang w:eastAsia="zh-CN"/>
        </w:rPr>
        <w:t>人工林蓄积</w:t>
      </w:r>
      <w:r>
        <w:rPr>
          <w:rFonts w:hint="eastAsia"/>
          <w:highlight w:val="magenta"/>
          <w:lang w:val="en-US" w:eastAsia="zh-CN"/>
        </w:rPr>
        <w:t>123</w:t>
      </w:r>
      <w:r>
        <w:rPr>
          <w:rFonts w:hint="eastAsia"/>
          <w:highlight w:val="magenta"/>
          <w:lang w:eastAsia="zh-CN"/>
        </w:rPr>
        <w:t>525</w:t>
      </w:r>
      <w:r>
        <w:rPr>
          <w:highlight w:val="magenta"/>
          <w:lang w:eastAsia="zh-CN"/>
        </w:rPr>
        <w:t>m</w:t>
      </w:r>
      <w:r>
        <w:rPr>
          <w:highlight w:val="magenta"/>
          <w:vertAlign w:val="superscript"/>
          <w:lang w:eastAsia="zh-CN"/>
        </w:rPr>
        <w:t>3</w:t>
      </w:r>
      <w:r>
        <w:rPr>
          <w:highlight w:val="magenta"/>
          <w:lang w:eastAsia="zh-CN"/>
        </w:rPr>
        <w:t>。</w:t>
      </w:r>
      <w:r>
        <w:rPr>
          <w:lang w:eastAsia="zh-CN"/>
        </w:rPr>
        <w:t>，</w:t>
      </w:r>
      <w:r>
        <w:rPr>
          <w:highlight w:val="magenta"/>
          <w:lang w:eastAsia="zh-CN"/>
        </w:rPr>
        <w:t>占</w:t>
      </w:r>
      <w:r>
        <w:rPr>
          <w:rFonts w:hint="eastAsia"/>
          <w:highlight w:val="magenta"/>
          <w:lang w:val="en-US" w:eastAsia="zh-CN"/>
        </w:rPr>
        <w:t>26.9</w:t>
      </w:r>
      <w:r>
        <w:rPr>
          <w:highlight w:val="magenta"/>
          <w:lang w:eastAsia="zh-CN"/>
        </w:rPr>
        <w:t>%。</w:t>
      </w:r>
    </w:p>
    <w:p w14:paraId="2EF8894B">
      <w:pPr>
        <w:spacing w:line="240" w:lineRule="auto"/>
        <w:ind w:firstLine="0" w:firstLineChars="0"/>
        <w:jc w:val="center"/>
        <w:rPr>
          <w:rFonts w:eastAsia="黑体" w:cs="Times New Roman"/>
          <w:b/>
          <w:bCs/>
          <w:szCs w:val="24"/>
          <w:lang w:eastAsia="zh-CN"/>
        </w:rPr>
      </w:pPr>
    </w:p>
    <w:p w14:paraId="37E146B4">
      <w:pPr>
        <w:spacing w:line="240" w:lineRule="auto"/>
        <w:ind w:firstLine="0" w:firstLineChars="0"/>
        <w:jc w:val="center"/>
        <w:rPr>
          <w:rFonts w:cs="Times New Roman"/>
          <w:b/>
          <w:bCs/>
          <w:szCs w:val="24"/>
          <w:lang w:eastAsia="zh-CN"/>
        </w:rPr>
      </w:pPr>
      <w:bookmarkStart w:id="164" w:name="_GoBack"/>
      <w:bookmarkEnd w:id="164"/>
      <w:r>
        <w:rPr>
          <w:rFonts w:eastAsia="黑体" w:cs="Times New Roman"/>
          <w:b/>
          <w:bCs/>
          <w:szCs w:val="24"/>
          <w:lang w:eastAsia="zh-CN"/>
        </w:rPr>
        <w:t>表2-4双牌县阳明山国有林场林种统计表</w:t>
      </w:r>
    </w:p>
    <w:p w14:paraId="5862414E">
      <w:pPr>
        <w:spacing w:line="240" w:lineRule="auto"/>
        <w:ind w:firstLine="0" w:firstLineChars="0"/>
        <w:jc w:val="right"/>
        <w:textAlignment w:val="center"/>
        <w:rPr>
          <w:rFonts w:cs="Times New Roman"/>
          <w:sz w:val="21"/>
          <w:lang w:eastAsia="zh-CN" w:bidi="ar"/>
        </w:rPr>
      </w:pPr>
      <w:r>
        <w:rPr>
          <w:rFonts w:cs="Times New Roman"/>
          <w:sz w:val="21"/>
          <w:lang w:eastAsia="zh-CN" w:bidi="ar"/>
        </w:rPr>
        <w:t>单位：hm</w:t>
      </w:r>
      <w:r>
        <w:rPr>
          <w:rFonts w:cs="Times New Roman"/>
          <w:sz w:val="21"/>
          <w:vertAlign w:val="superscript"/>
          <w:lang w:eastAsia="zh-CN" w:bidi="ar"/>
        </w:rPr>
        <w:t>2</w:t>
      </w:r>
      <w:r>
        <w:rPr>
          <w:rFonts w:cs="Times New Roman"/>
          <w:sz w:val="21"/>
          <w:lang w:eastAsia="zh-CN" w:bidi="ar"/>
        </w:rPr>
        <w:t>、m</w:t>
      </w:r>
      <w:r>
        <w:rPr>
          <w:rFonts w:cs="Times New Roman"/>
          <w:sz w:val="21"/>
          <w:vertAlign w:val="superscript"/>
          <w:lang w:eastAsia="zh-CN" w:bidi="ar"/>
        </w:rPr>
        <w:t>3</w:t>
      </w:r>
      <w:r>
        <w:rPr>
          <w:rFonts w:cs="Times New Roman"/>
          <w:sz w:val="21"/>
          <w:lang w:eastAsia="zh-CN" w:bidi="ar"/>
        </w:rPr>
        <w:t>、百株</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9"/>
        <w:gridCol w:w="756"/>
        <w:gridCol w:w="756"/>
        <w:gridCol w:w="756"/>
        <w:gridCol w:w="757"/>
        <w:gridCol w:w="685"/>
        <w:gridCol w:w="757"/>
        <w:gridCol w:w="612"/>
        <w:gridCol w:w="685"/>
        <w:gridCol w:w="685"/>
        <w:gridCol w:w="757"/>
        <w:gridCol w:w="685"/>
        <w:gridCol w:w="648"/>
        <w:gridCol w:w="612"/>
        <w:gridCol w:w="685"/>
        <w:gridCol w:w="612"/>
        <w:gridCol w:w="685"/>
        <w:gridCol w:w="685"/>
        <w:gridCol w:w="360"/>
        <w:gridCol w:w="612"/>
        <w:gridCol w:w="612"/>
        <w:gridCol w:w="418"/>
      </w:tblGrid>
      <w:tr w14:paraId="71B9E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351" w:type="dxa"/>
            <w:vMerge w:val="restart"/>
            <w:shd w:val="clear" w:color="auto" w:fill="auto"/>
            <w:vAlign w:val="center"/>
          </w:tcPr>
          <w:p w14:paraId="4C7025F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eastAsia" w:ascii="宋体" w:hAnsi="宋体" w:eastAsia="宋体" w:cs="宋体"/>
                <w:i w:val="0"/>
                <w:iCs w:val="0"/>
                <w:snapToGrid w:val="0"/>
                <w:color w:val="000000"/>
                <w:kern w:val="0"/>
                <w:sz w:val="21"/>
                <w:szCs w:val="21"/>
                <w:u w:val="none"/>
                <w:lang w:val="en-US" w:eastAsia="zh-CN" w:bidi="ar"/>
              </w:rPr>
              <w:t>林种</w:t>
            </w:r>
          </w:p>
        </w:tc>
        <w:tc>
          <w:tcPr>
            <w:tcW w:w="1513" w:type="dxa"/>
            <w:gridSpan w:val="2"/>
            <w:shd w:val="clear" w:color="auto" w:fill="auto"/>
            <w:vAlign w:val="center"/>
          </w:tcPr>
          <w:p w14:paraId="056DBD1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eastAsia" w:ascii="宋体" w:hAnsi="宋体" w:eastAsia="宋体" w:cs="宋体"/>
                <w:i w:val="0"/>
                <w:iCs w:val="0"/>
                <w:snapToGrid w:val="0"/>
                <w:color w:val="000000"/>
                <w:kern w:val="0"/>
                <w:sz w:val="21"/>
                <w:szCs w:val="21"/>
                <w:u w:val="none"/>
                <w:lang w:val="en-US" w:eastAsia="zh-CN" w:bidi="ar"/>
              </w:rPr>
              <w:t>合计</w:t>
            </w:r>
          </w:p>
        </w:tc>
        <w:tc>
          <w:tcPr>
            <w:tcW w:w="10787" w:type="dxa"/>
            <w:gridSpan w:val="16"/>
            <w:shd w:val="clear" w:color="auto" w:fill="auto"/>
            <w:vAlign w:val="center"/>
          </w:tcPr>
          <w:p w14:paraId="5DFBE9F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eastAsia" w:ascii="宋体" w:hAnsi="宋体" w:eastAsia="宋体" w:cs="宋体"/>
                <w:i w:val="0"/>
                <w:iCs w:val="0"/>
                <w:snapToGrid w:val="0"/>
                <w:color w:val="000000"/>
                <w:kern w:val="0"/>
                <w:sz w:val="21"/>
                <w:szCs w:val="21"/>
                <w:u w:val="none"/>
                <w:lang w:val="en-US" w:eastAsia="zh-CN" w:bidi="ar"/>
              </w:rPr>
              <w:t>有林地</w:t>
            </w:r>
          </w:p>
        </w:tc>
        <w:tc>
          <w:tcPr>
            <w:tcW w:w="1528" w:type="dxa"/>
            <w:gridSpan w:val="3"/>
            <w:shd w:val="clear" w:color="auto" w:fill="auto"/>
            <w:vAlign w:val="center"/>
          </w:tcPr>
          <w:p w14:paraId="244B243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eastAsia" w:ascii="宋体" w:hAnsi="宋体" w:eastAsia="宋体" w:cs="宋体"/>
                <w:i w:val="0"/>
                <w:iCs w:val="0"/>
                <w:snapToGrid w:val="0"/>
                <w:color w:val="000000"/>
                <w:kern w:val="0"/>
                <w:sz w:val="21"/>
                <w:szCs w:val="21"/>
                <w:u w:val="none"/>
                <w:lang w:val="en-US" w:eastAsia="zh-CN" w:bidi="ar"/>
              </w:rPr>
              <w:t>灌木林</w:t>
            </w:r>
          </w:p>
        </w:tc>
      </w:tr>
      <w:tr w14:paraId="11CCB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51" w:type="dxa"/>
            <w:vMerge w:val="continue"/>
            <w:shd w:val="clear" w:color="auto" w:fill="auto"/>
            <w:vAlign w:val="center"/>
          </w:tcPr>
          <w:p w14:paraId="0527172A">
            <w:pPr>
              <w:keepNext w:val="0"/>
              <w:keepLines w:val="0"/>
              <w:pageBreakBefore w:val="0"/>
              <w:widowControl/>
              <w:wordWrap/>
              <w:overflowPunct/>
              <w:topLinePunct w:val="0"/>
              <w:bidi w:val="0"/>
              <w:spacing w:line="240" w:lineRule="auto"/>
              <w:ind w:firstLine="0" w:firstLineChars="0"/>
              <w:jc w:val="center"/>
              <w:rPr>
                <w:rFonts w:cs="Times New Roman"/>
                <w:sz w:val="21"/>
              </w:rPr>
            </w:pPr>
          </w:p>
        </w:tc>
        <w:tc>
          <w:tcPr>
            <w:tcW w:w="756" w:type="dxa"/>
            <w:vMerge w:val="restart"/>
            <w:shd w:val="clear" w:color="auto" w:fill="auto"/>
            <w:vAlign w:val="center"/>
          </w:tcPr>
          <w:p w14:paraId="47B0695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eastAsia" w:ascii="宋体" w:hAnsi="宋体" w:eastAsia="宋体" w:cs="宋体"/>
                <w:i w:val="0"/>
                <w:iCs w:val="0"/>
                <w:snapToGrid w:val="0"/>
                <w:color w:val="000000"/>
                <w:kern w:val="0"/>
                <w:sz w:val="21"/>
                <w:szCs w:val="21"/>
                <w:u w:val="none"/>
                <w:lang w:val="en-US" w:eastAsia="zh-CN" w:bidi="ar"/>
              </w:rPr>
              <w:t>面积</w:t>
            </w:r>
          </w:p>
        </w:tc>
        <w:tc>
          <w:tcPr>
            <w:tcW w:w="757" w:type="dxa"/>
            <w:vMerge w:val="restart"/>
            <w:shd w:val="clear" w:color="auto" w:fill="auto"/>
            <w:vAlign w:val="center"/>
          </w:tcPr>
          <w:p w14:paraId="55C5381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eastAsia" w:ascii="宋体" w:hAnsi="宋体" w:eastAsia="宋体" w:cs="宋体"/>
                <w:i w:val="0"/>
                <w:iCs w:val="0"/>
                <w:snapToGrid w:val="0"/>
                <w:color w:val="000000"/>
                <w:kern w:val="0"/>
                <w:sz w:val="21"/>
                <w:szCs w:val="21"/>
                <w:u w:val="none"/>
                <w:lang w:val="en-US" w:eastAsia="zh-CN" w:bidi="ar"/>
              </w:rPr>
              <w:t>蓄积</w:t>
            </w:r>
          </w:p>
        </w:tc>
        <w:tc>
          <w:tcPr>
            <w:tcW w:w="1348" w:type="dxa"/>
            <w:gridSpan w:val="2"/>
            <w:vMerge w:val="restart"/>
            <w:shd w:val="clear" w:color="auto" w:fill="auto"/>
            <w:vAlign w:val="center"/>
          </w:tcPr>
          <w:p w14:paraId="0A04D6B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eastAsia" w:ascii="宋体" w:hAnsi="宋体" w:eastAsia="宋体" w:cs="宋体"/>
                <w:i w:val="0"/>
                <w:iCs w:val="0"/>
                <w:snapToGrid w:val="0"/>
                <w:color w:val="000000"/>
                <w:kern w:val="0"/>
                <w:sz w:val="21"/>
                <w:szCs w:val="21"/>
                <w:u w:val="none"/>
                <w:lang w:val="en-US" w:eastAsia="zh-CN" w:bidi="ar"/>
              </w:rPr>
              <w:t>小计</w:t>
            </w:r>
          </w:p>
        </w:tc>
        <w:tc>
          <w:tcPr>
            <w:tcW w:w="8090" w:type="dxa"/>
            <w:gridSpan w:val="12"/>
            <w:vMerge w:val="restart"/>
            <w:shd w:val="clear" w:color="auto" w:fill="auto"/>
            <w:vAlign w:val="center"/>
          </w:tcPr>
          <w:p w14:paraId="76AF067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eastAsia" w:ascii="宋体" w:hAnsi="宋体" w:eastAsia="宋体" w:cs="宋体"/>
                <w:i w:val="0"/>
                <w:iCs w:val="0"/>
                <w:snapToGrid w:val="0"/>
                <w:color w:val="000000"/>
                <w:kern w:val="0"/>
                <w:sz w:val="21"/>
                <w:szCs w:val="21"/>
                <w:u w:val="none"/>
                <w:lang w:val="en-US" w:eastAsia="zh-CN" w:bidi="ar"/>
              </w:rPr>
              <w:t>乔木林</w:t>
            </w:r>
          </w:p>
        </w:tc>
        <w:tc>
          <w:tcPr>
            <w:tcW w:w="674" w:type="dxa"/>
            <w:vMerge w:val="restart"/>
            <w:shd w:val="clear" w:color="auto" w:fill="auto"/>
            <w:vAlign w:val="center"/>
          </w:tcPr>
          <w:p w14:paraId="339731E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eastAsia" w:ascii="宋体" w:hAnsi="宋体" w:eastAsia="宋体" w:cs="宋体"/>
                <w:i w:val="0"/>
                <w:iCs w:val="0"/>
                <w:snapToGrid w:val="0"/>
                <w:color w:val="000000"/>
                <w:kern w:val="0"/>
                <w:sz w:val="21"/>
                <w:szCs w:val="21"/>
                <w:u w:val="none"/>
                <w:lang w:val="en-US" w:eastAsia="zh-CN" w:bidi="ar"/>
              </w:rPr>
              <w:t>竹林</w:t>
            </w:r>
          </w:p>
        </w:tc>
        <w:tc>
          <w:tcPr>
            <w:tcW w:w="675" w:type="dxa"/>
            <w:vMerge w:val="restart"/>
            <w:shd w:val="clear" w:color="auto" w:fill="auto"/>
            <w:vAlign w:val="center"/>
          </w:tcPr>
          <w:p w14:paraId="4A6374AA">
            <w:pPr>
              <w:keepNext w:val="0"/>
              <w:keepLines w:val="0"/>
              <w:pageBreakBefore w:val="0"/>
              <w:widowControl/>
              <w:wordWrap/>
              <w:overflowPunct/>
              <w:topLinePunct w:val="0"/>
              <w:bidi w:val="0"/>
              <w:spacing w:line="240" w:lineRule="auto"/>
              <w:ind w:firstLine="0" w:firstLineChars="0"/>
              <w:jc w:val="center"/>
              <w:rPr>
                <w:rFonts w:cs="Times New Roman"/>
                <w:sz w:val="21"/>
                <w:lang w:eastAsia="zh-CN" w:bidi="ar"/>
              </w:rPr>
            </w:pPr>
          </w:p>
        </w:tc>
        <w:tc>
          <w:tcPr>
            <w:tcW w:w="509" w:type="dxa"/>
            <w:vMerge w:val="restart"/>
            <w:shd w:val="clear" w:color="auto" w:fill="auto"/>
            <w:vAlign w:val="center"/>
          </w:tcPr>
          <w:p w14:paraId="647F8B9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eastAsia" w:ascii="宋体" w:hAnsi="宋体" w:eastAsia="宋体" w:cs="宋体"/>
                <w:i w:val="0"/>
                <w:iCs w:val="0"/>
                <w:snapToGrid w:val="0"/>
                <w:color w:val="000000"/>
                <w:kern w:val="0"/>
                <w:sz w:val="21"/>
                <w:szCs w:val="21"/>
                <w:u w:val="none"/>
                <w:lang w:val="en-US" w:eastAsia="zh-CN" w:bidi="ar"/>
              </w:rPr>
              <w:t>小计</w:t>
            </w:r>
          </w:p>
        </w:tc>
        <w:tc>
          <w:tcPr>
            <w:tcW w:w="509" w:type="dxa"/>
            <w:vMerge w:val="restart"/>
            <w:shd w:val="clear" w:color="auto" w:fill="auto"/>
            <w:vAlign w:val="center"/>
          </w:tcPr>
          <w:p w14:paraId="0C1B77B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eastAsia" w:ascii="宋体" w:hAnsi="宋体" w:eastAsia="宋体" w:cs="宋体"/>
                <w:i w:val="0"/>
                <w:iCs w:val="0"/>
                <w:snapToGrid w:val="0"/>
                <w:color w:val="000000"/>
                <w:kern w:val="0"/>
                <w:sz w:val="21"/>
                <w:szCs w:val="21"/>
                <w:u w:val="none"/>
                <w:lang w:val="en-US" w:eastAsia="zh-CN" w:bidi="ar"/>
              </w:rPr>
              <w:t>一般灌木林地</w:t>
            </w:r>
          </w:p>
        </w:tc>
        <w:tc>
          <w:tcPr>
            <w:tcW w:w="510" w:type="dxa"/>
            <w:vMerge w:val="restart"/>
            <w:shd w:val="clear" w:color="auto" w:fill="auto"/>
            <w:vAlign w:val="center"/>
          </w:tcPr>
          <w:p w14:paraId="14CCD9D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eastAsia" w:ascii="宋体" w:hAnsi="宋体" w:eastAsia="宋体" w:cs="宋体"/>
                <w:i w:val="0"/>
                <w:iCs w:val="0"/>
                <w:snapToGrid w:val="0"/>
                <w:color w:val="000000"/>
                <w:kern w:val="0"/>
                <w:sz w:val="21"/>
                <w:szCs w:val="21"/>
                <w:u w:val="none"/>
                <w:lang w:val="en-US" w:eastAsia="zh-CN" w:bidi="ar"/>
              </w:rPr>
              <w:t>其它灌木林</w:t>
            </w:r>
          </w:p>
        </w:tc>
      </w:tr>
      <w:tr w14:paraId="52826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25" w:type="pct"/>
            <w:vMerge w:val="continue"/>
            <w:shd w:val="clear" w:color="auto" w:fill="auto"/>
            <w:vAlign w:val="center"/>
          </w:tcPr>
          <w:p w14:paraId="76E42120">
            <w:pPr>
              <w:keepNext w:val="0"/>
              <w:keepLines w:val="0"/>
              <w:pageBreakBefore w:val="0"/>
              <w:widowControl/>
              <w:wordWrap/>
              <w:overflowPunct/>
              <w:topLinePunct w:val="0"/>
              <w:bidi w:val="0"/>
              <w:spacing w:line="240" w:lineRule="auto"/>
              <w:ind w:firstLine="0" w:firstLineChars="0"/>
              <w:jc w:val="center"/>
              <w:rPr>
                <w:rFonts w:cs="Times New Roman"/>
                <w:sz w:val="21"/>
              </w:rPr>
            </w:pPr>
          </w:p>
        </w:tc>
        <w:tc>
          <w:tcPr>
            <w:tcW w:w="0" w:type="auto"/>
            <w:vMerge w:val="continue"/>
            <w:shd w:val="clear" w:color="auto" w:fill="auto"/>
            <w:vAlign w:val="center"/>
          </w:tcPr>
          <w:p w14:paraId="28D7D1AC">
            <w:pPr>
              <w:keepNext w:val="0"/>
              <w:keepLines w:val="0"/>
              <w:pageBreakBefore w:val="0"/>
              <w:widowControl/>
              <w:wordWrap/>
              <w:overflowPunct/>
              <w:topLinePunct w:val="0"/>
              <w:bidi w:val="0"/>
              <w:spacing w:line="240" w:lineRule="auto"/>
              <w:ind w:firstLine="0" w:firstLineChars="0"/>
              <w:jc w:val="center"/>
              <w:rPr>
                <w:rFonts w:cs="Times New Roman"/>
                <w:sz w:val="21"/>
              </w:rPr>
            </w:pPr>
          </w:p>
        </w:tc>
        <w:tc>
          <w:tcPr>
            <w:tcW w:w="0" w:type="auto"/>
            <w:vMerge w:val="continue"/>
            <w:shd w:val="clear" w:color="auto" w:fill="auto"/>
            <w:vAlign w:val="center"/>
          </w:tcPr>
          <w:p w14:paraId="7A936F80">
            <w:pPr>
              <w:keepNext w:val="0"/>
              <w:keepLines w:val="0"/>
              <w:pageBreakBefore w:val="0"/>
              <w:widowControl/>
              <w:wordWrap/>
              <w:overflowPunct/>
              <w:topLinePunct w:val="0"/>
              <w:bidi w:val="0"/>
              <w:spacing w:line="240" w:lineRule="auto"/>
              <w:ind w:firstLine="0" w:firstLineChars="0"/>
              <w:jc w:val="center"/>
              <w:rPr>
                <w:rFonts w:cs="Times New Roman"/>
                <w:sz w:val="21"/>
              </w:rPr>
            </w:pPr>
          </w:p>
        </w:tc>
        <w:tc>
          <w:tcPr>
            <w:tcW w:w="0" w:type="auto"/>
            <w:gridSpan w:val="2"/>
            <w:vMerge w:val="continue"/>
            <w:shd w:val="clear" w:color="auto" w:fill="auto"/>
            <w:vAlign w:val="center"/>
          </w:tcPr>
          <w:p w14:paraId="05296E4D">
            <w:pPr>
              <w:keepNext w:val="0"/>
              <w:keepLines w:val="0"/>
              <w:pageBreakBefore w:val="0"/>
              <w:widowControl/>
              <w:wordWrap/>
              <w:overflowPunct/>
              <w:topLinePunct w:val="0"/>
              <w:bidi w:val="0"/>
              <w:spacing w:line="240" w:lineRule="auto"/>
              <w:ind w:firstLine="0" w:firstLineChars="0"/>
              <w:jc w:val="center"/>
              <w:rPr>
                <w:rFonts w:cs="Times New Roman"/>
                <w:sz w:val="21"/>
              </w:rPr>
            </w:pPr>
          </w:p>
        </w:tc>
        <w:tc>
          <w:tcPr>
            <w:tcW w:w="0" w:type="auto"/>
            <w:gridSpan w:val="12"/>
            <w:vMerge w:val="continue"/>
            <w:shd w:val="clear" w:color="auto" w:fill="auto"/>
            <w:vAlign w:val="center"/>
          </w:tcPr>
          <w:p w14:paraId="2179298F">
            <w:pPr>
              <w:keepNext w:val="0"/>
              <w:keepLines w:val="0"/>
              <w:pageBreakBefore w:val="0"/>
              <w:widowControl/>
              <w:wordWrap/>
              <w:overflowPunct/>
              <w:topLinePunct w:val="0"/>
              <w:bidi w:val="0"/>
              <w:spacing w:line="240" w:lineRule="auto"/>
              <w:ind w:firstLine="0" w:firstLineChars="0"/>
              <w:jc w:val="center"/>
              <w:rPr>
                <w:rFonts w:cs="Times New Roman"/>
                <w:sz w:val="21"/>
              </w:rPr>
            </w:pPr>
          </w:p>
        </w:tc>
        <w:tc>
          <w:tcPr>
            <w:tcW w:w="0" w:type="auto"/>
            <w:vMerge w:val="continue"/>
            <w:shd w:val="clear" w:color="auto" w:fill="auto"/>
            <w:vAlign w:val="center"/>
          </w:tcPr>
          <w:p w14:paraId="403C2585">
            <w:pPr>
              <w:keepNext w:val="0"/>
              <w:keepLines w:val="0"/>
              <w:pageBreakBefore w:val="0"/>
              <w:widowControl/>
              <w:wordWrap/>
              <w:overflowPunct/>
              <w:topLinePunct w:val="0"/>
              <w:bidi w:val="0"/>
              <w:spacing w:line="240" w:lineRule="auto"/>
              <w:ind w:firstLine="0" w:firstLineChars="0"/>
              <w:jc w:val="center"/>
              <w:rPr>
                <w:rFonts w:cs="Times New Roman"/>
                <w:sz w:val="21"/>
              </w:rPr>
            </w:pPr>
          </w:p>
        </w:tc>
        <w:tc>
          <w:tcPr>
            <w:tcW w:w="0" w:type="auto"/>
            <w:vMerge w:val="continue"/>
            <w:shd w:val="clear" w:color="auto" w:fill="auto"/>
            <w:vAlign w:val="center"/>
          </w:tcPr>
          <w:p w14:paraId="5E783F99">
            <w:pPr>
              <w:keepNext w:val="0"/>
              <w:keepLines w:val="0"/>
              <w:pageBreakBefore w:val="0"/>
              <w:widowControl/>
              <w:wordWrap/>
              <w:overflowPunct/>
              <w:topLinePunct w:val="0"/>
              <w:bidi w:val="0"/>
              <w:spacing w:line="240" w:lineRule="auto"/>
              <w:ind w:firstLine="0" w:firstLineChars="0"/>
              <w:jc w:val="center"/>
              <w:rPr>
                <w:rFonts w:cs="Times New Roman"/>
                <w:sz w:val="21"/>
              </w:rPr>
            </w:pPr>
          </w:p>
        </w:tc>
        <w:tc>
          <w:tcPr>
            <w:tcW w:w="0" w:type="auto"/>
            <w:vMerge w:val="continue"/>
            <w:shd w:val="clear" w:color="auto" w:fill="auto"/>
            <w:vAlign w:val="center"/>
          </w:tcPr>
          <w:p w14:paraId="462CBA15">
            <w:pPr>
              <w:keepNext w:val="0"/>
              <w:keepLines w:val="0"/>
              <w:pageBreakBefore w:val="0"/>
              <w:widowControl/>
              <w:wordWrap/>
              <w:overflowPunct/>
              <w:topLinePunct w:val="0"/>
              <w:bidi w:val="0"/>
              <w:spacing w:line="240" w:lineRule="auto"/>
              <w:ind w:firstLine="0" w:firstLineChars="0"/>
              <w:jc w:val="center"/>
              <w:rPr>
                <w:rFonts w:cs="Times New Roman"/>
                <w:sz w:val="21"/>
              </w:rPr>
            </w:pPr>
          </w:p>
        </w:tc>
        <w:tc>
          <w:tcPr>
            <w:tcW w:w="0" w:type="auto"/>
            <w:vMerge w:val="continue"/>
            <w:shd w:val="clear" w:color="auto" w:fill="auto"/>
            <w:vAlign w:val="center"/>
          </w:tcPr>
          <w:p w14:paraId="3CEB87E1">
            <w:pPr>
              <w:keepNext w:val="0"/>
              <w:keepLines w:val="0"/>
              <w:pageBreakBefore w:val="0"/>
              <w:widowControl/>
              <w:wordWrap/>
              <w:overflowPunct/>
              <w:topLinePunct w:val="0"/>
              <w:bidi w:val="0"/>
              <w:spacing w:line="240" w:lineRule="auto"/>
              <w:ind w:firstLine="0" w:firstLineChars="0"/>
              <w:jc w:val="center"/>
              <w:rPr>
                <w:rFonts w:cs="Times New Roman"/>
                <w:sz w:val="21"/>
              </w:rPr>
            </w:pPr>
          </w:p>
        </w:tc>
        <w:tc>
          <w:tcPr>
            <w:tcW w:w="0" w:type="auto"/>
            <w:vMerge w:val="continue"/>
            <w:shd w:val="clear" w:color="auto" w:fill="auto"/>
            <w:vAlign w:val="center"/>
          </w:tcPr>
          <w:p w14:paraId="32C88AD2">
            <w:pPr>
              <w:keepNext w:val="0"/>
              <w:keepLines w:val="0"/>
              <w:pageBreakBefore w:val="0"/>
              <w:widowControl/>
              <w:wordWrap/>
              <w:overflowPunct/>
              <w:topLinePunct w:val="0"/>
              <w:bidi w:val="0"/>
              <w:spacing w:line="240" w:lineRule="auto"/>
              <w:ind w:firstLine="0" w:firstLineChars="0"/>
              <w:jc w:val="center"/>
              <w:rPr>
                <w:rFonts w:cs="Times New Roman"/>
                <w:sz w:val="21"/>
              </w:rPr>
            </w:pPr>
          </w:p>
        </w:tc>
      </w:tr>
      <w:tr w14:paraId="121CE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351" w:type="dxa"/>
            <w:vMerge w:val="continue"/>
            <w:shd w:val="clear" w:color="auto" w:fill="auto"/>
            <w:vAlign w:val="center"/>
          </w:tcPr>
          <w:p w14:paraId="702CB8FD">
            <w:pPr>
              <w:keepNext w:val="0"/>
              <w:keepLines w:val="0"/>
              <w:pageBreakBefore w:val="0"/>
              <w:widowControl/>
              <w:wordWrap/>
              <w:overflowPunct/>
              <w:topLinePunct w:val="0"/>
              <w:bidi w:val="0"/>
              <w:spacing w:line="240" w:lineRule="auto"/>
              <w:ind w:firstLine="0" w:firstLineChars="0"/>
              <w:jc w:val="center"/>
              <w:rPr>
                <w:rFonts w:cs="Times New Roman"/>
                <w:sz w:val="21"/>
              </w:rPr>
            </w:pPr>
          </w:p>
        </w:tc>
        <w:tc>
          <w:tcPr>
            <w:tcW w:w="756" w:type="dxa"/>
            <w:vMerge w:val="continue"/>
            <w:shd w:val="clear" w:color="auto" w:fill="auto"/>
            <w:vAlign w:val="center"/>
          </w:tcPr>
          <w:p w14:paraId="7EC1AA6E">
            <w:pPr>
              <w:keepNext w:val="0"/>
              <w:keepLines w:val="0"/>
              <w:pageBreakBefore w:val="0"/>
              <w:widowControl/>
              <w:wordWrap/>
              <w:overflowPunct/>
              <w:topLinePunct w:val="0"/>
              <w:bidi w:val="0"/>
              <w:spacing w:line="240" w:lineRule="auto"/>
              <w:ind w:firstLine="0" w:firstLineChars="0"/>
              <w:jc w:val="center"/>
              <w:rPr>
                <w:rFonts w:cs="Times New Roman"/>
                <w:sz w:val="21"/>
              </w:rPr>
            </w:pPr>
          </w:p>
        </w:tc>
        <w:tc>
          <w:tcPr>
            <w:tcW w:w="757" w:type="dxa"/>
            <w:vMerge w:val="continue"/>
            <w:shd w:val="clear" w:color="auto" w:fill="auto"/>
            <w:vAlign w:val="center"/>
          </w:tcPr>
          <w:p w14:paraId="66B44D26">
            <w:pPr>
              <w:keepNext w:val="0"/>
              <w:keepLines w:val="0"/>
              <w:pageBreakBefore w:val="0"/>
              <w:widowControl/>
              <w:wordWrap/>
              <w:overflowPunct/>
              <w:topLinePunct w:val="0"/>
              <w:bidi w:val="0"/>
              <w:spacing w:line="240" w:lineRule="auto"/>
              <w:ind w:firstLine="0" w:firstLineChars="0"/>
              <w:jc w:val="center"/>
              <w:rPr>
                <w:rFonts w:cs="Times New Roman"/>
                <w:sz w:val="21"/>
              </w:rPr>
            </w:pPr>
          </w:p>
        </w:tc>
        <w:tc>
          <w:tcPr>
            <w:tcW w:w="674" w:type="dxa"/>
            <w:shd w:val="clear" w:color="auto" w:fill="auto"/>
            <w:vAlign w:val="center"/>
          </w:tcPr>
          <w:p w14:paraId="2E008924">
            <w:pPr>
              <w:keepNext w:val="0"/>
              <w:keepLines w:val="0"/>
              <w:pageBreakBefore w:val="0"/>
              <w:widowControl/>
              <w:wordWrap/>
              <w:overflowPunct/>
              <w:topLinePunct w:val="0"/>
              <w:bidi w:val="0"/>
              <w:spacing w:line="240" w:lineRule="auto"/>
              <w:ind w:firstLine="0" w:firstLineChars="0"/>
              <w:jc w:val="center"/>
              <w:rPr>
                <w:rFonts w:cs="Times New Roman"/>
                <w:sz w:val="21"/>
              </w:rPr>
            </w:pPr>
          </w:p>
        </w:tc>
        <w:tc>
          <w:tcPr>
            <w:tcW w:w="674" w:type="dxa"/>
            <w:shd w:val="clear" w:color="auto" w:fill="auto"/>
            <w:vAlign w:val="center"/>
          </w:tcPr>
          <w:p w14:paraId="6599F7DA">
            <w:pPr>
              <w:keepNext w:val="0"/>
              <w:keepLines w:val="0"/>
              <w:pageBreakBefore w:val="0"/>
              <w:widowControl/>
              <w:wordWrap/>
              <w:overflowPunct/>
              <w:topLinePunct w:val="0"/>
              <w:bidi w:val="0"/>
              <w:spacing w:line="240" w:lineRule="auto"/>
              <w:ind w:firstLine="0" w:firstLineChars="0"/>
              <w:jc w:val="center"/>
              <w:rPr>
                <w:rFonts w:cs="Times New Roman"/>
                <w:sz w:val="21"/>
              </w:rPr>
            </w:pPr>
          </w:p>
        </w:tc>
        <w:tc>
          <w:tcPr>
            <w:tcW w:w="1348" w:type="dxa"/>
            <w:gridSpan w:val="2"/>
            <w:shd w:val="clear" w:color="auto" w:fill="auto"/>
            <w:vAlign w:val="center"/>
          </w:tcPr>
          <w:p w14:paraId="5EC654D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eastAsia" w:ascii="宋体" w:hAnsi="宋体" w:eastAsia="宋体" w:cs="宋体"/>
                <w:i w:val="0"/>
                <w:iCs w:val="0"/>
                <w:snapToGrid w:val="0"/>
                <w:color w:val="000000"/>
                <w:kern w:val="0"/>
                <w:sz w:val="21"/>
                <w:szCs w:val="21"/>
                <w:u w:val="none"/>
                <w:lang w:val="en-US" w:eastAsia="zh-CN" w:bidi="ar"/>
              </w:rPr>
              <w:t>小计</w:t>
            </w:r>
          </w:p>
        </w:tc>
        <w:tc>
          <w:tcPr>
            <w:tcW w:w="1348" w:type="dxa"/>
            <w:gridSpan w:val="2"/>
            <w:shd w:val="clear" w:color="auto" w:fill="auto"/>
            <w:vAlign w:val="center"/>
          </w:tcPr>
          <w:p w14:paraId="79B286F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eastAsia" w:ascii="宋体" w:hAnsi="宋体" w:eastAsia="宋体" w:cs="宋体"/>
                <w:i w:val="0"/>
                <w:iCs w:val="0"/>
                <w:snapToGrid w:val="0"/>
                <w:color w:val="000000"/>
                <w:kern w:val="0"/>
                <w:sz w:val="21"/>
                <w:szCs w:val="21"/>
                <w:u w:val="none"/>
                <w:lang w:val="en-US" w:eastAsia="zh-CN" w:bidi="ar"/>
              </w:rPr>
              <w:t>幼龄林</w:t>
            </w:r>
          </w:p>
        </w:tc>
        <w:tc>
          <w:tcPr>
            <w:tcW w:w="1348" w:type="dxa"/>
            <w:gridSpan w:val="2"/>
            <w:shd w:val="clear" w:color="auto" w:fill="auto"/>
            <w:vAlign w:val="center"/>
          </w:tcPr>
          <w:p w14:paraId="50F1768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eastAsia" w:ascii="宋体" w:hAnsi="宋体" w:eastAsia="宋体" w:cs="宋体"/>
                <w:i w:val="0"/>
                <w:iCs w:val="0"/>
                <w:snapToGrid w:val="0"/>
                <w:color w:val="000000"/>
                <w:kern w:val="0"/>
                <w:sz w:val="21"/>
                <w:szCs w:val="21"/>
                <w:u w:val="none"/>
                <w:lang w:val="en-US" w:eastAsia="zh-CN" w:bidi="ar"/>
              </w:rPr>
              <w:t>中龄林</w:t>
            </w:r>
          </w:p>
        </w:tc>
        <w:tc>
          <w:tcPr>
            <w:tcW w:w="1348" w:type="dxa"/>
            <w:gridSpan w:val="2"/>
            <w:shd w:val="clear" w:color="auto" w:fill="auto"/>
            <w:vAlign w:val="center"/>
          </w:tcPr>
          <w:p w14:paraId="5A5D9C3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eastAsia" w:ascii="宋体" w:hAnsi="宋体" w:eastAsia="宋体" w:cs="宋体"/>
                <w:i w:val="0"/>
                <w:iCs w:val="0"/>
                <w:snapToGrid w:val="0"/>
                <w:color w:val="000000"/>
                <w:kern w:val="0"/>
                <w:sz w:val="21"/>
                <w:szCs w:val="21"/>
                <w:u w:val="none"/>
                <w:lang w:val="en-US" w:eastAsia="zh-CN" w:bidi="ar"/>
              </w:rPr>
              <w:t>近熟林</w:t>
            </w:r>
          </w:p>
        </w:tc>
        <w:tc>
          <w:tcPr>
            <w:tcW w:w="1349" w:type="dxa"/>
            <w:gridSpan w:val="2"/>
            <w:shd w:val="clear" w:color="auto" w:fill="auto"/>
            <w:vAlign w:val="center"/>
          </w:tcPr>
          <w:p w14:paraId="543EF57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eastAsia" w:ascii="宋体" w:hAnsi="宋体" w:eastAsia="宋体" w:cs="宋体"/>
                <w:i w:val="0"/>
                <w:iCs w:val="0"/>
                <w:snapToGrid w:val="0"/>
                <w:color w:val="000000"/>
                <w:kern w:val="0"/>
                <w:sz w:val="21"/>
                <w:szCs w:val="21"/>
                <w:u w:val="none"/>
                <w:lang w:val="en-US" w:eastAsia="zh-CN" w:bidi="ar"/>
              </w:rPr>
              <w:t>成熟林</w:t>
            </w:r>
          </w:p>
        </w:tc>
        <w:tc>
          <w:tcPr>
            <w:tcW w:w="1349" w:type="dxa"/>
            <w:gridSpan w:val="2"/>
            <w:shd w:val="clear" w:color="auto" w:fill="auto"/>
            <w:vAlign w:val="center"/>
          </w:tcPr>
          <w:p w14:paraId="0E5CEB3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eastAsia" w:ascii="宋体" w:hAnsi="宋体" w:eastAsia="宋体" w:cs="宋体"/>
                <w:i w:val="0"/>
                <w:iCs w:val="0"/>
                <w:snapToGrid w:val="0"/>
                <w:color w:val="000000"/>
                <w:kern w:val="0"/>
                <w:sz w:val="21"/>
                <w:szCs w:val="21"/>
                <w:u w:val="none"/>
                <w:lang w:val="en-US" w:eastAsia="zh-CN" w:bidi="ar"/>
              </w:rPr>
              <w:t>过熟林</w:t>
            </w:r>
          </w:p>
        </w:tc>
        <w:tc>
          <w:tcPr>
            <w:tcW w:w="674" w:type="dxa"/>
            <w:vMerge w:val="restart"/>
            <w:shd w:val="clear" w:color="auto" w:fill="auto"/>
            <w:vAlign w:val="center"/>
          </w:tcPr>
          <w:p w14:paraId="1DB8944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eastAsia" w:ascii="宋体" w:hAnsi="宋体" w:eastAsia="宋体" w:cs="宋体"/>
                <w:i w:val="0"/>
                <w:iCs w:val="0"/>
                <w:snapToGrid w:val="0"/>
                <w:color w:val="000000"/>
                <w:kern w:val="0"/>
                <w:sz w:val="21"/>
                <w:szCs w:val="21"/>
                <w:u w:val="none"/>
                <w:lang w:val="en-US" w:eastAsia="zh-CN" w:bidi="ar"/>
              </w:rPr>
              <w:t>面积</w:t>
            </w:r>
          </w:p>
        </w:tc>
        <w:tc>
          <w:tcPr>
            <w:tcW w:w="675" w:type="dxa"/>
            <w:vMerge w:val="restart"/>
            <w:shd w:val="clear" w:color="auto" w:fill="auto"/>
            <w:vAlign w:val="center"/>
          </w:tcPr>
          <w:p w14:paraId="4D1CD52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eastAsia" w:ascii="宋体" w:hAnsi="宋体" w:eastAsia="宋体" w:cs="宋体"/>
                <w:i w:val="0"/>
                <w:iCs w:val="0"/>
                <w:snapToGrid w:val="0"/>
                <w:color w:val="000000"/>
                <w:kern w:val="0"/>
                <w:sz w:val="21"/>
                <w:szCs w:val="21"/>
                <w:u w:val="none"/>
                <w:lang w:val="en-US" w:eastAsia="zh-CN" w:bidi="ar"/>
              </w:rPr>
              <w:t>株数</w:t>
            </w:r>
          </w:p>
        </w:tc>
        <w:tc>
          <w:tcPr>
            <w:tcW w:w="509" w:type="dxa"/>
            <w:vMerge w:val="continue"/>
            <w:shd w:val="clear" w:color="auto" w:fill="auto"/>
            <w:vAlign w:val="center"/>
          </w:tcPr>
          <w:p w14:paraId="662970C9">
            <w:pPr>
              <w:keepNext w:val="0"/>
              <w:keepLines w:val="0"/>
              <w:pageBreakBefore w:val="0"/>
              <w:widowControl/>
              <w:wordWrap/>
              <w:overflowPunct/>
              <w:topLinePunct w:val="0"/>
              <w:bidi w:val="0"/>
              <w:spacing w:line="240" w:lineRule="auto"/>
              <w:ind w:firstLine="0" w:firstLineChars="0"/>
              <w:jc w:val="center"/>
              <w:rPr>
                <w:rFonts w:cs="Times New Roman"/>
                <w:sz w:val="21"/>
              </w:rPr>
            </w:pPr>
          </w:p>
        </w:tc>
        <w:tc>
          <w:tcPr>
            <w:tcW w:w="509" w:type="dxa"/>
            <w:vMerge w:val="continue"/>
            <w:shd w:val="clear" w:color="auto" w:fill="auto"/>
            <w:vAlign w:val="center"/>
          </w:tcPr>
          <w:p w14:paraId="5ED8BD63">
            <w:pPr>
              <w:keepNext w:val="0"/>
              <w:keepLines w:val="0"/>
              <w:pageBreakBefore w:val="0"/>
              <w:widowControl/>
              <w:wordWrap/>
              <w:overflowPunct/>
              <w:topLinePunct w:val="0"/>
              <w:bidi w:val="0"/>
              <w:spacing w:line="240" w:lineRule="auto"/>
              <w:ind w:firstLine="0" w:firstLineChars="0"/>
              <w:jc w:val="center"/>
              <w:rPr>
                <w:rFonts w:cs="Times New Roman"/>
                <w:sz w:val="21"/>
              </w:rPr>
            </w:pPr>
          </w:p>
        </w:tc>
        <w:tc>
          <w:tcPr>
            <w:tcW w:w="510" w:type="dxa"/>
            <w:vMerge w:val="continue"/>
            <w:shd w:val="clear" w:color="auto" w:fill="auto"/>
            <w:vAlign w:val="center"/>
          </w:tcPr>
          <w:p w14:paraId="3BE66E29">
            <w:pPr>
              <w:keepNext w:val="0"/>
              <w:keepLines w:val="0"/>
              <w:pageBreakBefore w:val="0"/>
              <w:widowControl/>
              <w:wordWrap/>
              <w:overflowPunct/>
              <w:topLinePunct w:val="0"/>
              <w:bidi w:val="0"/>
              <w:spacing w:line="240" w:lineRule="auto"/>
              <w:ind w:firstLine="0" w:firstLineChars="0"/>
              <w:jc w:val="center"/>
              <w:rPr>
                <w:rFonts w:cs="Times New Roman"/>
                <w:sz w:val="21"/>
              </w:rPr>
            </w:pPr>
          </w:p>
        </w:tc>
      </w:tr>
      <w:tr w14:paraId="12842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351" w:type="dxa"/>
            <w:vMerge w:val="continue"/>
            <w:shd w:val="clear" w:color="auto" w:fill="auto"/>
            <w:vAlign w:val="center"/>
          </w:tcPr>
          <w:p w14:paraId="79563F74">
            <w:pPr>
              <w:keepNext w:val="0"/>
              <w:keepLines w:val="0"/>
              <w:pageBreakBefore w:val="0"/>
              <w:widowControl/>
              <w:wordWrap/>
              <w:overflowPunct/>
              <w:topLinePunct w:val="0"/>
              <w:bidi w:val="0"/>
              <w:spacing w:line="240" w:lineRule="auto"/>
              <w:ind w:firstLine="0" w:firstLineChars="0"/>
              <w:jc w:val="center"/>
              <w:rPr>
                <w:rFonts w:cs="Times New Roman"/>
                <w:sz w:val="21"/>
              </w:rPr>
            </w:pPr>
          </w:p>
        </w:tc>
        <w:tc>
          <w:tcPr>
            <w:tcW w:w="756" w:type="dxa"/>
            <w:vMerge w:val="continue"/>
            <w:shd w:val="clear" w:color="auto" w:fill="auto"/>
            <w:vAlign w:val="center"/>
          </w:tcPr>
          <w:p w14:paraId="7CCD3169">
            <w:pPr>
              <w:keepNext w:val="0"/>
              <w:keepLines w:val="0"/>
              <w:pageBreakBefore w:val="0"/>
              <w:widowControl/>
              <w:wordWrap/>
              <w:overflowPunct/>
              <w:topLinePunct w:val="0"/>
              <w:bidi w:val="0"/>
              <w:spacing w:line="240" w:lineRule="auto"/>
              <w:ind w:firstLine="0" w:firstLineChars="0"/>
              <w:jc w:val="center"/>
              <w:rPr>
                <w:rFonts w:cs="Times New Roman"/>
                <w:sz w:val="21"/>
              </w:rPr>
            </w:pPr>
          </w:p>
        </w:tc>
        <w:tc>
          <w:tcPr>
            <w:tcW w:w="757" w:type="dxa"/>
            <w:vMerge w:val="continue"/>
            <w:shd w:val="clear" w:color="auto" w:fill="auto"/>
            <w:vAlign w:val="center"/>
          </w:tcPr>
          <w:p w14:paraId="66ED751D">
            <w:pPr>
              <w:keepNext w:val="0"/>
              <w:keepLines w:val="0"/>
              <w:pageBreakBefore w:val="0"/>
              <w:widowControl/>
              <w:wordWrap/>
              <w:overflowPunct/>
              <w:topLinePunct w:val="0"/>
              <w:bidi w:val="0"/>
              <w:spacing w:line="240" w:lineRule="auto"/>
              <w:ind w:firstLine="0" w:firstLineChars="0"/>
              <w:jc w:val="center"/>
              <w:rPr>
                <w:rFonts w:cs="Times New Roman"/>
                <w:sz w:val="21"/>
              </w:rPr>
            </w:pPr>
          </w:p>
        </w:tc>
        <w:tc>
          <w:tcPr>
            <w:tcW w:w="674" w:type="dxa"/>
            <w:shd w:val="clear" w:color="auto" w:fill="auto"/>
            <w:vAlign w:val="center"/>
          </w:tcPr>
          <w:p w14:paraId="3EB2CFF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eastAsia" w:ascii="宋体" w:hAnsi="宋体" w:eastAsia="宋体" w:cs="宋体"/>
                <w:i w:val="0"/>
                <w:iCs w:val="0"/>
                <w:snapToGrid w:val="0"/>
                <w:color w:val="000000"/>
                <w:kern w:val="0"/>
                <w:sz w:val="21"/>
                <w:szCs w:val="21"/>
                <w:u w:val="none"/>
                <w:lang w:val="en-US" w:eastAsia="zh-CN" w:bidi="ar"/>
              </w:rPr>
              <w:t>面积</w:t>
            </w:r>
          </w:p>
        </w:tc>
        <w:tc>
          <w:tcPr>
            <w:tcW w:w="674" w:type="dxa"/>
            <w:shd w:val="clear" w:color="auto" w:fill="auto"/>
            <w:vAlign w:val="center"/>
          </w:tcPr>
          <w:p w14:paraId="6CE24A2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eastAsia" w:ascii="宋体" w:hAnsi="宋体" w:eastAsia="宋体" w:cs="宋体"/>
                <w:i w:val="0"/>
                <w:iCs w:val="0"/>
                <w:snapToGrid w:val="0"/>
                <w:color w:val="000000"/>
                <w:kern w:val="0"/>
                <w:sz w:val="21"/>
                <w:szCs w:val="21"/>
                <w:u w:val="none"/>
                <w:lang w:val="en-US" w:eastAsia="zh-CN" w:bidi="ar"/>
              </w:rPr>
              <w:t>蓄积</w:t>
            </w:r>
          </w:p>
        </w:tc>
        <w:tc>
          <w:tcPr>
            <w:tcW w:w="674" w:type="dxa"/>
            <w:shd w:val="clear" w:color="auto" w:fill="auto"/>
            <w:vAlign w:val="center"/>
          </w:tcPr>
          <w:p w14:paraId="4043457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eastAsia" w:ascii="宋体" w:hAnsi="宋体" w:eastAsia="宋体" w:cs="宋体"/>
                <w:i w:val="0"/>
                <w:iCs w:val="0"/>
                <w:snapToGrid w:val="0"/>
                <w:color w:val="000000"/>
                <w:kern w:val="0"/>
                <w:sz w:val="21"/>
                <w:szCs w:val="21"/>
                <w:u w:val="none"/>
                <w:lang w:val="en-US" w:eastAsia="zh-CN" w:bidi="ar"/>
              </w:rPr>
              <w:t>面积</w:t>
            </w:r>
          </w:p>
        </w:tc>
        <w:tc>
          <w:tcPr>
            <w:tcW w:w="674" w:type="dxa"/>
            <w:shd w:val="clear" w:color="auto" w:fill="auto"/>
            <w:vAlign w:val="center"/>
          </w:tcPr>
          <w:p w14:paraId="6FCD6A0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eastAsia" w:ascii="宋体" w:hAnsi="宋体" w:eastAsia="宋体" w:cs="宋体"/>
                <w:i w:val="0"/>
                <w:iCs w:val="0"/>
                <w:snapToGrid w:val="0"/>
                <w:color w:val="000000"/>
                <w:kern w:val="0"/>
                <w:sz w:val="21"/>
                <w:szCs w:val="21"/>
                <w:u w:val="none"/>
                <w:lang w:val="en-US" w:eastAsia="zh-CN" w:bidi="ar"/>
              </w:rPr>
              <w:t>蓄积</w:t>
            </w:r>
          </w:p>
        </w:tc>
        <w:tc>
          <w:tcPr>
            <w:tcW w:w="674" w:type="dxa"/>
            <w:shd w:val="clear" w:color="auto" w:fill="auto"/>
            <w:vAlign w:val="center"/>
          </w:tcPr>
          <w:p w14:paraId="36689EE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eastAsia" w:ascii="宋体" w:hAnsi="宋体" w:eastAsia="宋体" w:cs="宋体"/>
                <w:i w:val="0"/>
                <w:iCs w:val="0"/>
                <w:snapToGrid w:val="0"/>
                <w:color w:val="000000"/>
                <w:kern w:val="0"/>
                <w:sz w:val="21"/>
                <w:szCs w:val="21"/>
                <w:u w:val="none"/>
                <w:lang w:val="en-US" w:eastAsia="zh-CN" w:bidi="ar"/>
              </w:rPr>
              <w:t>面积</w:t>
            </w:r>
          </w:p>
        </w:tc>
        <w:tc>
          <w:tcPr>
            <w:tcW w:w="674" w:type="dxa"/>
            <w:shd w:val="clear" w:color="auto" w:fill="auto"/>
            <w:vAlign w:val="center"/>
          </w:tcPr>
          <w:p w14:paraId="66A4C52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eastAsia" w:ascii="宋体" w:hAnsi="宋体" w:eastAsia="宋体" w:cs="宋体"/>
                <w:i w:val="0"/>
                <w:iCs w:val="0"/>
                <w:snapToGrid w:val="0"/>
                <w:color w:val="000000"/>
                <w:kern w:val="0"/>
                <w:sz w:val="21"/>
                <w:szCs w:val="21"/>
                <w:u w:val="none"/>
                <w:lang w:val="en-US" w:eastAsia="zh-CN" w:bidi="ar"/>
              </w:rPr>
              <w:t>蓄积</w:t>
            </w:r>
          </w:p>
        </w:tc>
        <w:tc>
          <w:tcPr>
            <w:tcW w:w="674" w:type="dxa"/>
            <w:shd w:val="clear" w:color="auto" w:fill="auto"/>
            <w:vAlign w:val="center"/>
          </w:tcPr>
          <w:p w14:paraId="5A2D579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eastAsia" w:ascii="宋体" w:hAnsi="宋体" w:eastAsia="宋体" w:cs="宋体"/>
                <w:i w:val="0"/>
                <w:iCs w:val="0"/>
                <w:snapToGrid w:val="0"/>
                <w:color w:val="000000"/>
                <w:kern w:val="0"/>
                <w:sz w:val="21"/>
                <w:szCs w:val="21"/>
                <w:u w:val="none"/>
                <w:lang w:val="en-US" w:eastAsia="zh-CN" w:bidi="ar"/>
              </w:rPr>
              <w:t>面积</w:t>
            </w:r>
          </w:p>
        </w:tc>
        <w:tc>
          <w:tcPr>
            <w:tcW w:w="674" w:type="dxa"/>
            <w:shd w:val="clear" w:color="auto" w:fill="auto"/>
            <w:vAlign w:val="center"/>
          </w:tcPr>
          <w:p w14:paraId="1885380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eastAsia" w:ascii="宋体" w:hAnsi="宋体" w:eastAsia="宋体" w:cs="宋体"/>
                <w:i w:val="0"/>
                <w:iCs w:val="0"/>
                <w:snapToGrid w:val="0"/>
                <w:color w:val="000000"/>
                <w:kern w:val="0"/>
                <w:sz w:val="21"/>
                <w:szCs w:val="21"/>
                <w:u w:val="none"/>
                <w:lang w:val="en-US" w:eastAsia="zh-CN" w:bidi="ar"/>
              </w:rPr>
              <w:t>蓄积</w:t>
            </w:r>
          </w:p>
        </w:tc>
        <w:tc>
          <w:tcPr>
            <w:tcW w:w="674" w:type="dxa"/>
            <w:shd w:val="clear" w:color="auto" w:fill="auto"/>
            <w:vAlign w:val="center"/>
          </w:tcPr>
          <w:p w14:paraId="49C45DE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eastAsia" w:ascii="宋体" w:hAnsi="宋体" w:eastAsia="宋体" w:cs="宋体"/>
                <w:i w:val="0"/>
                <w:iCs w:val="0"/>
                <w:snapToGrid w:val="0"/>
                <w:color w:val="000000"/>
                <w:kern w:val="0"/>
                <w:sz w:val="21"/>
                <w:szCs w:val="21"/>
                <w:u w:val="none"/>
                <w:lang w:val="en-US" w:eastAsia="zh-CN" w:bidi="ar"/>
              </w:rPr>
              <w:t>面积</w:t>
            </w:r>
          </w:p>
        </w:tc>
        <w:tc>
          <w:tcPr>
            <w:tcW w:w="674" w:type="dxa"/>
            <w:shd w:val="clear" w:color="auto" w:fill="auto"/>
            <w:vAlign w:val="center"/>
          </w:tcPr>
          <w:p w14:paraId="0D52770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eastAsia" w:ascii="宋体" w:hAnsi="宋体" w:eastAsia="宋体" w:cs="宋体"/>
                <w:i w:val="0"/>
                <w:iCs w:val="0"/>
                <w:snapToGrid w:val="0"/>
                <w:color w:val="000000"/>
                <w:kern w:val="0"/>
                <w:sz w:val="21"/>
                <w:szCs w:val="21"/>
                <w:u w:val="none"/>
                <w:lang w:val="en-US" w:eastAsia="zh-CN" w:bidi="ar"/>
              </w:rPr>
              <w:t>蓄积</w:t>
            </w:r>
          </w:p>
        </w:tc>
        <w:tc>
          <w:tcPr>
            <w:tcW w:w="674" w:type="dxa"/>
            <w:shd w:val="clear" w:color="auto" w:fill="auto"/>
            <w:vAlign w:val="center"/>
          </w:tcPr>
          <w:p w14:paraId="2FAE004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eastAsia" w:ascii="宋体" w:hAnsi="宋体" w:eastAsia="宋体" w:cs="宋体"/>
                <w:i w:val="0"/>
                <w:iCs w:val="0"/>
                <w:snapToGrid w:val="0"/>
                <w:color w:val="000000"/>
                <w:kern w:val="0"/>
                <w:sz w:val="21"/>
                <w:szCs w:val="21"/>
                <w:u w:val="none"/>
                <w:lang w:val="en-US" w:eastAsia="zh-CN" w:bidi="ar"/>
              </w:rPr>
              <w:t>面积</w:t>
            </w:r>
          </w:p>
        </w:tc>
        <w:tc>
          <w:tcPr>
            <w:tcW w:w="675" w:type="dxa"/>
            <w:shd w:val="clear" w:color="auto" w:fill="auto"/>
            <w:vAlign w:val="center"/>
          </w:tcPr>
          <w:p w14:paraId="414E1D8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eastAsia" w:ascii="宋体" w:hAnsi="宋体" w:eastAsia="宋体" w:cs="宋体"/>
                <w:i w:val="0"/>
                <w:iCs w:val="0"/>
                <w:snapToGrid w:val="0"/>
                <w:color w:val="000000"/>
                <w:kern w:val="0"/>
                <w:sz w:val="21"/>
                <w:szCs w:val="21"/>
                <w:u w:val="none"/>
                <w:lang w:val="en-US" w:eastAsia="zh-CN" w:bidi="ar"/>
              </w:rPr>
              <w:t>蓄积</w:t>
            </w:r>
          </w:p>
        </w:tc>
        <w:tc>
          <w:tcPr>
            <w:tcW w:w="674" w:type="dxa"/>
            <w:shd w:val="clear" w:color="auto" w:fill="auto"/>
            <w:vAlign w:val="center"/>
          </w:tcPr>
          <w:p w14:paraId="6CCFAD8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eastAsia" w:ascii="宋体" w:hAnsi="宋体" w:eastAsia="宋体" w:cs="宋体"/>
                <w:i w:val="0"/>
                <w:iCs w:val="0"/>
                <w:snapToGrid w:val="0"/>
                <w:color w:val="000000"/>
                <w:kern w:val="0"/>
                <w:sz w:val="21"/>
                <w:szCs w:val="21"/>
                <w:u w:val="none"/>
                <w:lang w:val="en-US" w:eastAsia="zh-CN" w:bidi="ar"/>
              </w:rPr>
              <w:t>面积</w:t>
            </w:r>
          </w:p>
        </w:tc>
        <w:tc>
          <w:tcPr>
            <w:tcW w:w="675" w:type="dxa"/>
            <w:shd w:val="clear" w:color="auto" w:fill="auto"/>
            <w:vAlign w:val="center"/>
          </w:tcPr>
          <w:p w14:paraId="76417DB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eastAsia" w:ascii="宋体" w:hAnsi="宋体" w:eastAsia="宋体" w:cs="宋体"/>
                <w:i w:val="0"/>
                <w:iCs w:val="0"/>
                <w:snapToGrid w:val="0"/>
                <w:color w:val="000000"/>
                <w:kern w:val="0"/>
                <w:sz w:val="21"/>
                <w:szCs w:val="21"/>
                <w:u w:val="none"/>
                <w:lang w:val="en-US" w:eastAsia="zh-CN" w:bidi="ar"/>
              </w:rPr>
              <w:t>蓄积</w:t>
            </w:r>
          </w:p>
        </w:tc>
        <w:tc>
          <w:tcPr>
            <w:tcW w:w="674" w:type="dxa"/>
            <w:vMerge w:val="continue"/>
            <w:shd w:val="clear" w:color="auto" w:fill="auto"/>
            <w:vAlign w:val="center"/>
          </w:tcPr>
          <w:p w14:paraId="4981D08B">
            <w:pPr>
              <w:keepNext w:val="0"/>
              <w:keepLines w:val="0"/>
              <w:pageBreakBefore w:val="0"/>
              <w:widowControl/>
              <w:wordWrap/>
              <w:overflowPunct/>
              <w:topLinePunct w:val="0"/>
              <w:bidi w:val="0"/>
              <w:spacing w:line="240" w:lineRule="auto"/>
              <w:ind w:firstLine="0" w:firstLineChars="0"/>
              <w:jc w:val="center"/>
              <w:rPr>
                <w:rFonts w:cs="Times New Roman"/>
                <w:sz w:val="21"/>
              </w:rPr>
            </w:pPr>
          </w:p>
        </w:tc>
        <w:tc>
          <w:tcPr>
            <w:tcW w:w="675" w:type="dxa"/>
            <w:vMerge w:val="continue"/>
            <w:shd w:val="clear" w:color="auto" w:fill="auto"/>
            <w:vAlign w:val="center"/>
          </w:tcPr>
          <w:p w14:paraId="142A3B57">
            <w:pPr>
              <w:keepNext w:val="0"/>
              <w:keepLines w:val="0"/>
              <w:pageBreakBefore w:val="0"/>
              <w:widowControl/>
              <w:wordWrap/>
              <w:overflowPunct/>
              <w:topLinePunct w:val="0"/>
              <w:bidi w:val="0"/>
              <w:spacing w:line="240" w:lineRule="auto"/>
              <w:ind w:firstLine="0" w:firstLineChars="0"/>
              <w:jc w:val="center"/>
              <w:rPr>
                <w:rFonts w:cs="Times New Roman"/>
                <w:sz w:val="21"/>
              </w:rPr>
            </w:pPr>
          </w:p>
        </w:tc>
        <w:tc>
          <w:tcPr>
            <w:tcW w:w="509" w:type="dxa"/>
            <w:shd w:val="clear" w:color="auto" w:fill="auto"/>
            <w:vAlign w:val="center"/>
          </w:tcPr>
          <w:p w14:paraId="3333401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eastAsia" w:ascii="宋体" w:hAnsi="宋体" w:eastAsia="宋体" w:cs="宋体"/>
                <w:i w:val="0"/>
                <w:iCs w:val="0"/>
                <w:snapToGrid w:val="0"/>
                <w:color w:val="000000"/>
                <w:kern w:val="0"/>
                <w:sz w:val="21"/>
                <w:szCs w:val="21"/>
                <w:u w:val="none"/>
                <w:lang w:val="en-US" w:eastAsia="zh-CN" w:bidi="ar"/>
              </w:rPr>
              <w:t>面积</w:t>
            </w:r>
          </w:p>
        </w:tc>
        <w:tc>
          <w:tcPr>
            <w:tcW w:w="509" w:type="dxa"/>
            <w:shd w:val="clear" w:color="auto" w:fill="auto"/>
            <w:vAlign w:val="center"/>
          </w:tcPr>
          <w:p w14:paraId="502E70C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eastAsia" w:ascii="宋体" w:hAnsi="宋体" w:eastAsia="宋体" w:cs="宋体"/>
                <w:i w:val="0"/>
                <w:iCs w:val="0"/>
                <w:snapToGrid w:val="0"/>
                <w:color w:val="000000"/>
                <w:kern w:val="0"/>
                <w:sz w:val="21"/>
                <w:szCs w:val="21"/>
                <w:u w:val="none"/>
                <w:lang w:val="en-US" w:eastAsia="zh-CN" w:bidi="ar"/>
              </w:rPr>
              <w:t>面积</w:t>
            </w:r>
          </w:p>
        </w:tc>
        <w:tc>
          <w:tcPr>
            <w:tcW w:w="510" w:type="dxa"/>
            <w:shd w:val="clear" w:color="auto" w:fill="auto"/>
            <w:vAlign w:val="center"/>
          </w:tcPr>
          <w:p w14:paraId="20A91B2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eastAsia" w:ascii="宋体" w:hAnsi="宋体" w:eastAsia="宋体" w:cs="宋体"/>
                <w:i w:val="0"/>
                <w:iCs w:val="0"/>
                <w:snapToGrid w:val="0"/>
                <w:color w:val="000000"/>
                <w:kern w:val="0"/>
                <w:sz w:val="21"/>
                <w:szCs w:val="21"/>
                <w:u w:val="none"/>
                <w:lang w:val="en-US" w:eastAsia="zh-CN" w:bidi="ar"/>
              </w:rPr>
              <w:t>面积</w:t>
            </w:r>
          </w:p>
        </w:tc>
      </w:tr>
      <w:tr w14:paraId="590A1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351" w:type="dxa"/>
            <w:shd w:val="clear" w:color="auto" w:fill="auto"/>
            <w:vAlign w:val="center"/>
          </w:tcPr>
          <w:p w14:paraId="72B85E5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bCs/>
                <w:sz w:val="21"/>
              </w:rPr>
            </w:pPr>
            <w:r>
              <w:rPr>
                <w:rFonts w:hint="eastAsia" w:ascii="宋体" w:hAnsi="宋体" w:eastAsia="宋体" w:cs="宋体"/>
                <w:i w:val="0"/>
                <w:iCs w:val="0"/>
                <w:snapToGrid w:val="0"/>
                <w:color w:val="000000"/>
                <w:kern w:val="0"/>
                <w:sz w:val="21"/>
                <w:szCs w:val="21"/>
                <w:u w:val="none"/>
                <w:lang w:val="en-US" w:eastAsia="zh-CN" w:bidi="ar"/>
              </w:rPr>
              <w:t>合计</w:t>
            </w:r>
          </w:p>
        </w:tc>
        <w:tc>
          <w:tcPr>
            <w:tcW w:w="756" w:type="dxa"/>
            <w:shd w:val="clear" w:color="auto" w:fill="auto"/>
            <w:vAlign w:val="center"/>
          </w:tcPr>
          <w:p w14:paraId="2608F87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default" w:ascii="Times New Roman" w:hAnsi="Times New Roman" w:eastAsia="宋体" w:cs="Times New Roman"/>
                <w:i w:val="0"/>
                <w:iCs w:val="0"/>
                <w:snapToGrid w:val="0"/>
                <w:color w:val="000000"/>
                <w:kern w:val="0"/>
                <w:sz w:val="21"/>
                <w:szCs w:val="21"/>
                <w:u w:val="none"/>
                <w:lang w:val="en-US" w:eastAsia="zh-CN" w:bidi="ar"/>
              </w:rPr>
              <w:t>11033.86</w:t>
            </w:r>
          </w:p>
        </w:tc>
        <w:tc>
          <w:tcPr>
            <w:tcW w:w="757" w:type="dxa"/>
            <w:shd w:val="clear" w:color="auto" w:fill="auto"/>
            <w:vAlign w:val="center"/>
          </w:tcPr>
          <w:p w14:paraId="4130CF9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default" w:ascii="Times New Roman" w:hAnsi="Times New Roman" w:eastAsia="宋体" w:cs="Times New Roman"/>
                <w:i w:val="0"/>
                <w:iCs w:val="0"/>
                <w:snapToGrid w:val="0"/>
                <w:color w:val="000000"/>
                <w:kern w:val="0"/>
                <w:sz w:val="21"/>
                <w:szCs w:val="21"/>
                <w:u w:val="none"/>
                <w:lang w:val="en-US" w:eastAsia="zh-CN" w:bidi="ar"/>
              </w:rPr>
              <w:t>776132.2</w:t>
            </w:r>
          </w:p>
        </w:tc>
        <w:tc>
          <w:tcPr>
            <w:tcW w:w="674" w:type="dxa"/>
            <w:shd w:val="clear" w:color="auto" w:fill="auto"/>
            <w:vAlign w:val="center"/>
          </w:tcPr>
          <w:p w14:paraId="0899807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default" w:ascii="Times New Roman" w:hAnsi="Times New Roman" w:eastAsia="宋体" w:cs="Times New Roman"/>
                <w:i w:val="0"/>
                <w:iCs w:val="0"/>
                <w:snapToGrid w:val="0"/>
                <w:color w:val="000000"/>
                <w:kern w:val="0"/>
                <w:sz w:val="21"/>
                <w:szCs w:val="21"/>
                <w:u w:val="none"/>
                <w:lang w:val="en-US" w:eastAsia="zh-CN" w:bidi="ar"/>
              </w:rPr>
              <w:t>10905.36</w:t>
            </w:r>
          </w:p>
        </w:tc>
        <w:tc>
          <w:tcPr>
            <w:tcW w:w="674" w:type="dxa"/>
            <w:shd w:val="clear" w:color="auto" w:fill="auto"/>
            <w:vAlign w:val="center"/>
          </w:tcPr>
          <w:p w14:paraId="03E24B8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default" w:ascii="Times New Roman" w:hAnsi="Times New Roman" w:eastAsia="宋体" w:cs="Times New Roman"/>
                <w:i w:val="0"/>
                <w:iCs w:val="0"/>
                <w:snapToGrid w:val="0"/>
                <w:color w:val="000000"/>
                <w:kern w:val="0"/>
                <w:sz w:val="21"/>
                <w:szCs w:val="21"/>
                <w:u w:val="none"/>
                <w:lang w:val="en-US" w:eastAsia="zh-CN" w:bidi="ar"/>
              </w:rPr>
              <w:t>776132.2</w:t>
            </w:r>
          </w:p>
        </w:tc>
        <w:tc>
          <w:tcPr>
            <w:tcW w:w="674" w:type="dxa"/>
            <w:shd w:val="clear" w:color="auto" w:fill="auto"/>
            <w:vAlign w:val="center"/>
          </w:tcPr>
          <w:p w14:paraId="1B78E61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default" w:ascii="Times New Roman" w:hAnsi="Times New Roman" w:eastAsia="宋体" w:cs="Times New Roman"/>
                <w:i w:val="0"/>
                <w:iCs w:val="0"/>
                <w:snapToGrid w:val="0"/>
                <w:color w:val="000000"/>
                <w:kern w:val="0"/>
                <w:sz w:val="21"/>
                <w:szCs w:val="21"/>
                <w:u w:val="none"/>
                <w:lang w:val="en-US" w:eastAsia="zh-CN" w:bidi="ar"/>
              </w:rPr>
              <w:t>6976.37</w:t>
            </w:r>
          </w:p>
        </w:tc>
        <w:tc>
          <w:tcPr>
            <w:tcW w:w="674" w:type="dxa"/>
            <w:shd w:val="clear" w:color="auto" w:fill="auto"/>
            <w:vAlign w:val="center"/>
          </w:tcPr>
          <w:p w14:paraId="081EFA7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default" w:ascii="Times New Roman" w:hAnsi="Times New Roman" w:eastAsia="宋体" w:cs="Times New Roman"/>
                <w:i w:val="0"/>
                <w:iCs w:val="0"/>
                <w:snapToGrid w:val="0"/>
                <w:color w:val="000000"/>
                <w:kern w:val="0"/>
                <w:sz w:val="21"/>
                <w:szCs w:val="21"/>
                <w:u w:val="none"/>
                <w:lang w:val="en-US" w:eastAsia="zh-CN" w:bidi="ar"/>
              </w:rPr>
              <w:t>776132.2</w:t>
            </w:r>
          </w:p>
        </w:tc>
        <w:tc>
          <w:tcPr>
            <w:tcW w:w="674" w:type="dxa"/>
            <w:shd w:val="clear" w:color="auto" w:fill="auto"/>
            <w:vAlign w:val="center"/>
          </w:tcPr>
          <w:p w14:paraId="277B440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default" w:ascii="Times New Roman" w:hAnsi="Times New Roman" w:eastAsia="宋体" w:cs="Times New Roman"/>
                <w:i w:val="0"/>
                <w:iCs w:val="0"/>
                <w:snapToGrid w:val="0"/>
                <w:color w:val="000000"/>
                <w:kern w:val="0"/>
                <w:sz w:val="21"/>
                <w:szCs w:val="21"/>
                <w:u w:val="none"/>
                <w:lang w:val="en-US" w:eastAsia="zh-CN" w:bidi="ar"/>
              </w:rPr>
              <w:t>700.35</w:t>
            </w:r>
          </w:p>
        </w:tc>
        <w:tc>
          <w:tcPr>
            <w:tcW w:w="674" w:type="dxa"/>
            <w:shd w:val="clear" w:color="auto" w:fill="auto"/>
            <w:vAlign w:val="center"/>
          </w:tcPr>
          <w:p w14:paraId="3EECAA9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default" w:ascii="Times New Roman" w:hAnsi="Times New Roman" w:eastAsia="宋体" w:cs="Times New Roman"/>
                <w:i w:val="0"/>
                <w:iCs w:val="0"/>
                <w:snapToGrid w:val="0"/>
                <w:color w:val="000000"/>
                <w:kern w:val="0"/>
                <w:sz w:val="21"/>
                <w:szCs w:val="21"/>
                <w:u w:val="none"/>
                <w:lang w:val="en-US" w:eastAsia="zh-CN" w:bidi="ar"/>
              </w:rPr>
              <w:t>14580.1</w:t>
            </w:r>
          </w:p>
        </w:tc>
        <w:tc>
          <w:tcPr>
            <w:tcW w:w="674" w:type="dxa"/>
            <w:shd w:val="clear" w:color="auto" w:fill="auto"/>
            <w:vAlign w:val="center"/>
          </w:tcPr>
          <w:p w14:paraId="185A111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default" w:ascii="Times New Roman" w:hAnsi="Times New Roman" w:eastAsia="宋体" w:cs="Times New Roman"/>
                <w:i w:val="0"/>
                <w:iCs w:val="0"/>
                <w:snapToGrid w:val="0"/>
                <w:color w:val="000000"/>
                <w:kern w:val="0"/>
                <w:sz w:val="21"/>
                <w:szCs w:val="21"/>
                <w:u w:val="none"/>
                <w:lang w:val="en-US" w:eastAsia="zh-CN" w:bidi="ar"/>
              </w:rPr>
              <w:t>2845.71</w:t>
            </w:r>
          </w:p>
        </w:tc>
        <w:tc>
          <w:tcPr>
            <w:tcW w:w="674" w:type="dxa"/>
            <w:shd w:val="clear" w:color="auto" w:fill="auto"/>
            <w:vAlign w:val="center"/>
          </w:tcPr>
          <w:p w14:paraId="524F7BB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default" w:ascii="Times New Roman" w:hAnsi="Times New Roman" w:eastAsia="宋体" w:cs="Times New Roman"/>
                <w:i w:val="0"/>
                <w:iCs w:val="0"/>
                <w:snapToGrid w:val="0"/>
                <w:color w:val="000000"/>
                <w:kern w:val="0"/>
                <w:sz w:val="21"/>
                <w:szCs w:val="21"/>
                <w:u w:val="none"/>
                <w:lang w:val="en-US" w:eastAsia="zh-CN" w:bidi="ar"/>
              </w:rPr>
              <w:t>277599.3</w:t>
            </w:r>
          </w:p>
        </w:tc>
        <w:tc>
          <w:tcPr>
            <w:tcW w:w="674" w:type="dxa"/>
            <w:shd w:val="clear" w:color="auto" w:fill="auto"/>
            <w:vAlign w:val="center"/>
          </w:tcPr>
          <w:p w14:paraId="4E4946A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default" w:ascii="Times New Roman" w:hAnsi="Times New Roman" w:eastAsia="宋体" w:cs="Times New Roman"/>
                <w:i w:val="0"/>
                <w:iCs w:val="0"/>
                <w:snapToGrid w:val="0"/>
                <w:color w:val="000000"/>
                <w:kern w:val="0"/>
                <w:sz w:val="21"/>
                <w:szCs w:val="21"/>
                <w:u w:val="none"/>
                <w:lang w:val="en-US" w:eastAsia="zh-CN" w:bidi="ar"/>
              </w:rPr>
              <w:t>3012.53</w:t>
            </w:r>
          </w:p>
        </w:tc>
        <w:tc>
          <w:tcPr>
            <w:tcW w:w="674" w:type="dxa"/>
            <w:shd w:val="clear" w:color="auto" w:fill="auto"/>
            <w:vAlign w:val="center"/>
          </w:tcPr>
          <w:p w14:paraId="6C28A9E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default" w:ascii="Times New Roman" w:hAnsi="Times New Roman" w:eastAsia="宋体" w:cs="Times New Roman"/>
                <w:i w:val="0"/>
                <w:iCs w:val="0"/>
                <w:snapToGrid w:val="0"/>
                <w:color w:val="000000"/>
                <w:kern w:val="0"/>
                <w:sz w:val="21"/>
                <w:szCs w:val="21"/>
                <w:u w:val="none"/>
                <w:lang w:val="en-US" w:eastAsia="zh-CN" w:bidi="ar"/>
              </w:rPr>
              <w:t>423881</w:t>
            </w:r>
          </w:p>
        </w:tc>
        <w:tc>
          <w:tcPr>
            <w:tcW w:w="674" w:type="dxa"/>
            <w:shd w:val="clear" w:color="auto" w:fill="auto"/>
            <w:vAlign w:val="center"/>
          </w:tcPr>
          <w:p w14:paraId="6F0B851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default" w:ascii="Times New Roman" w:hAnsi="Times New Roman" w:eastAsia="宋体" w:cs="Times New Roman"/>
                <w:i w:val="0"/>
                <w:iCs w:val="0"/>
                <w:snapToGrid w:val="0"/>
                <w:color w:val="000000"/>
                <w:kern w:val="0"/>
                <w:sz w:val="21"/>
                <w:szCs w:val="21"/>
                <w:u w:val="none"/>
                <w:lang w:val="en-US" w:eastAsia="zh-CN" w:bidi="ar"/>
              </w:rPr>
              <w:t>229.6</w:t>
            </w:r>
          </w:p>
        </w:tc>
        <w:tc>
          <w:tcPr>
            <w:tcW w:w="675" w:type="dxa"/>
            <w:shd w:val="clear" w:color="auto" w:fill="auto"/>
            <w:vAlign w:val="center"/>
          </w:tcPr>
          <w:p w14:paraId="27FECDB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default" w:ascii="Times New Roman" w:hAnsi="Times New Roman" w:eastAsia="宋体" w:cs="Times New Roman"/>
                <w:i w:val="0"/>
                <w:iCs w:val="0"/>
                <w:snapToGrid w:val="0"/>
                <w:color w:val="000000"/>
                <w:kern w:val="0"/>
                <w:sz w:val="21"/>
                <w:szCs w:val="21"/>
                <w:u w:val="none"/>
                <w:lang w:val="en-US" w:eastAsia="zh-CN" w:bidi="ar"/>
              </w:rPr>
              <w:t>30349.7</w:t>
            </w:r>
          </w:p>
        </w:tc>
        <w:tc>
          <w:tcPr>
            <w:tcW w:w="674" w:type="dxa"/>
            <w:shd w:val="clear" w:color="auto" w:fill="auto"/>
            <w:vAlign w:val="center"/>
          </w:tcPr>
          <w:p w14:paraId="75264B5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default" w:ascii="Times New Roman" w:hAnsi="Times New Roman" w:eastAsia="宋体" w:cs="Times New Roman"/>
                <w:i w:val="0"/>
                <w:iCs w:val="0"/>
                <w:snapToGrid w:val="0"/>
                <w:color w:val="000000"/>
                <w:kern w:val="0"/>
                <w:sz w:val="21"/>
                <w:szCs w:val="21"/>
                <w:u w:val="none"/>
                <w:lang w:val="en-US" w:eastAsia="zh-CN" w:bidi="ar"/>
              </w:rPr>
              <w:t>188.17</w:t>
            </w:r>
          </w:p>
        </w:tc>
        <w:tc>
          <w:tcPr>
            <w:tcW w:w="675" w:type="dxa"/>
            <w:shd w:val="clear" w:color="auto" w:fill="auto"/>
            <w:vAlign w:val="center"/>
          </w:tcPr>
          <w:p w14:paraId="5924C6A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default" w:ascii="Times New Roman" w:hAnsi="Times New Roman" w:eastAsia="宋体" w:cs="Times New Roman"/>
                <w:i w:val="0"/>
                <w:iCs w:val="0"/>
                <w:snapToGrid w:val="0"/>
                <w:color w:val="000000"/>
                <w:kern w:val="0"/>
                <w:sz w:val="21"/>
                <w:szCs w:val="21"/>
                <w:u w:val="none"/>
                <w:lang w:val="en-US" w:eastAsia="zh-CN" w:bidi="ar"/>
              </w:rPr>
              <w:t>29722.1</w:t>
            </w:r>
          </w:p>
        </w:tc>
        <w:tc>
          <w:tcPr>
            <w:tcW w:w="674" w:type="dxa"/>
            <w:shd w:val="clear" w:color="auto" w:fill="auto"/>
            <w:vAlign w:val="center"/>
          </w:tcPr>
          <w:p w14:paraId="72E5FFA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default" w:ascii="Times New Roman" w:hAnsi="Times New Roman" w:eastAsia="宋体" w:cs="Times New Roman"/>
                <w:i w:val="0"/>
                <w:iCs w:val="0"/>
                <w:snapToGrid w:val="0"/>
                <w:color w:val="000000"/>
                <w:kern w:val="0"/>
                <w:sz w:val="21"/>
                <w:szCs w:val="21"/>
                <w:u w:val="none"/>
                <w:lang w:val="en-US" w:eastAsia="zh-CN" w:bidi="ar"/>
              </w:rPr>
              <w:t>3928.99</w:t>
            </w:r>
          </w:p>
        </w:tc>
        <w:tc>
          <w:tcPr>
            <w:tcW w:w="675" w:type="dxa"/>
            <w:shd w:val="clear" w:color="auto" w:fill="auto"/>
            <w:vAlign w:val="center"/>
          </w:tcPr>
          <w:p w14:paraId="7C8DCE0F">
            <w:pPr>
              <w:keepNext w:val="0"/>
              <w:keepLines w:val="0"/>
              <w:pageBreakBefore w:val="0"/>
              <w:widowControl/>
              <w:wordWrap/>
              <w:overflowPunct/>
              <w:topLinePunct w:val="0"/>
              <w:bidi w:val="0"/>
              <w:spacing w:line="240" w:lineRule="auto"/>
              <w:ind w:firstLine="0" w:firstLineChars="0"/>
              <w:jc w:val="center"/>
              <w:rPr>
                <w:rFonts w:cs="Times New Roman"/>
                <w:sz w:val="21"/>
              </w:rPr>
            </w:pPr>
          </w:p>
        </w:tc>
        <w:tc>
          <w:tcPr>
            <w:tcW w:w="509" w:type="dxa"/>
            <w:shd w:val="clear" w:color="auto" w:fill="auto"/>
            <w:vAlign w:val="center"/>
          </w:tcPr>
          <w:p w14:paraId="6727035E">
            <w:pPr>
              <w:keepNext w:val="0"/>
              <w:keepLines w:val="0"/>
              <w:pageBreakBefore w:val="0"/>
              <w:widowControl/>
              <w:wordWrap/>
              <w:overflowPunct/>
              <w:topLinePunct w:val="0"/>
              <w:bidi w:val="0"/>
              <w:spacing w:line="240" w:lineRule="auto"/>
              <w:ind w:firstLine="0" w:firstLineChars="0"/>
              <w:jc w:val="center"/>
              <w:rPr>
                <w:rFonts w:cs="Times New Roman"/>
                <w:sz w:val="21"/>
              </w:rPr>
            </w:pPr>
          </w:p>
        </w:tc>
        <w:tc>
          <w:tcPr>
            <w:tcW w:w="509" w:type="dxa"/>
            <w:shd w:val="clear" w:color="auto" w:fill="auto"/>
            <w:vAlign w:val="center"/>
          </w:tcPr>
          <w:p w14:paraId="5EB918F8">
            <w:pPr>
              <w:keepNext w:val="0"/>
              <w:keepLines w:val="0"/>
              <w:pageBreakBefore w:val="0"/>
              <w:widowControl/>
              <w:wordWrap/>
              <w:overflowPunct/>
              <w:topLinePunct w:val="0"/>
              <w:bidi w:val="0"/>
              <w:spacing w:line="240" w:lineRule="auto"/>
              <w:ind w:firstLine="0" w:firstLineChars="0"/>
              <w:jc w:val="center"/>
              <w:rPr>
                <w:rFonts w:cs="Times New Roman"/>
                <w:sz w:val="21"/>
              </w:rPr>
            </w:pPr>
          </w:p>
        </w:tc>
        <w:tc>
          <w:tcPr>
            <w:tcW w:w="510" w:type="dxa"/>
            <w:shd w:val="clear" w:color="auto" w:fill="auto"/>
            <w:vAlign w:val="center"/>
          </w:tcPr>
          <w:p w14:paraId="7DFFCA8A">
            <w:pPr>
              <w:keepNext w:val="0"/>
              <w:keepLines w:val="0"/>
              <w:pageBreakBefore w:val="0"/>
              <w:widowControl/>
              <w:wordWrap/>
              <w:overflowPunct/>
              <w:topLinePunct w:val="0"/>
              <w:bidi w:val="0"/>
              <w:spacing w:line="240" w:lineRule="auto"/>
              <w:ind w:firstLine="0" w:firstLineChars="0"/>
              <w:jc w:val="center"/>
              <w:rPr>
                <w:rFonts w:cs="Times New Roman"/>
                <w:sz w:val="21"/>
              </w:rPr>
            </w:pPr>
          </w:p>
        </w:tc>
      </w:tr>
      <w:tr w14:paraId="7E5DB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351" w:type="dxa"/>
            <w:shd w:val="clear" w:color="auto" w:fill="auto"/>
            <w:vAlign w:val="center"/>
          </w:tcPr>
          <w:p w14:paraId="7352374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eastAsia" w:ascii="宋体" w:hAnsi="宋体" w:eastAsia="宋体" w:cs="宋体"/>
                <w:i w:val="0"/>
                <w:iCs w:val="0"/>
                <w:snapToGrid w:val="0"/>
                <w:color w:val="000000"/>
                <w:kern w:val="0"/>
                <w:sz w:val="21"/>
                <w:szCs w:val="21"/>
                <w:u w:val="none"/>
                <w:lang w:val="en-US" w:eastAsia="zh-CN" w:bidi="ar"/>
              </w:rPr>
              <w:t>防护林</w:t>
            </w:r>
          </w:p>
        </w:tc>
        <w:tc>
          <w:tcPr>
            <w:tcW w:w="756" w:type="dxa"/>
            <w:shd w:val="clear" w:color="auto" w:fill="auto"/>
            <w:vAlign w:val="center"/>
          </w:tcPr>
          <w:p w14:paraId="341F96A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cs="Times New Roman"/>
                <w:sz w:val="21"/>
                <w:lang w:val="en-US"/>
              </w:rPr>
            </w:pPr>
            <w:r>
              <w:rPr>
                <w:rFonts w:hint="default" w:ascii="Times New Roman" w:hAnsi="Times New Roman" w:eastAsia="宋体" w:cs="Times New Roman"/>
                <w:i w:val="0"/>
                <w:iCs w:val="0"/>
                <w:snapToGrid w:val="0"/>
                <w:color w:val="000000"/>
                <w:kern w:val="0"/>
                <w:sz w:val="21"/>
                <w:szCs w:val="21"/>
                <w:u w:val="none"/>
                <w:lang w:val="en-US" w:eastAsia="zh-CN" w:bidi="ar"/>
              </w:rPr>
              <w:t>1338.27</w:t>
            </w:r>
          </w:p>
        </w:tc>
        <w:tc>
          <w:tcPr>
            <w:tcW w:w="757" w:type="dxa"/>
            <w:shd w:val="clear" w:color="auto" w:fill="auto"/>
            <w:vAlign w:val="center"/>
          </w:tcPr>
          <w:p w14:paraId="3AE45CA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cs="Times New Roman"/>
                <w:sz w:val="21"/>
                <w:lang w:val="en-US"/>
              </w:rPr>
            </w:pPr>
            <w:r>
              <w:rPr>
                <w:rFonts w:hint="default" w:ascii="Times New Roman" w:hAnsi="Times New Roman" w:eastAsia="宋体" w:cs="Times New Roman"/>
                <w:i w:val="0"/>
                <w:iCs w:val="0"/>
                <w:snapToGrid w:val="0"/>
                <w:color w:val="000000"/>
                <w:kern w:val="0"/>
                <w:sz w:val="21"/>
                <w:szCs w:val="21"/>
                <w:u w:val="none"/>
                <w:lang w:val="en-US" w:eastAsia="zh-CN" w:bidi="ar"/>
              </w:rPr>
              <w:t>98045.7</w:t>
            </w:r>
          </w:p>
        </w:tc>
        <w:tc>
          <w:tcPr>
            <w:tcW w:w="674" w:type="dxa"/>
            <w:shd w:val="clear" w:color="auto" w:fill="auto"/>
            <w:vAlign w:val="center"/>
          </w:tcPr>
          <w:p w14:paraId="65C3BC3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default" w:ascii="Times New Roman" w:hAnsi="Times New Roman" w:eastAsia="宋体" w:cs="Times New Roman"/>
                <w:i w:val="0"/>
                <w:iCs w:val="0"/>
                <w:snapToGrid w:val="0"/>
                <w:color w:val="000000"/>
                <w:kern w:val="0"/>
                <w:sz w:val="21"/>
                <w:szCs w:val="21"/>
                <w:u w:val="none"/>
                <w:lang w:val="en-US" w:eastAsia="zh-CN" w:bidi="ar"/>
              </w:rPr>
              <w:t>1338.27</w:t>
            </w:r>
          </w:p>
        </w:tc>
        <w:tc>
          <w:tcPr>
            <w:tcW w:w="674" w:type="dxa"/>
            <w:shd w:val="clear" w:color="auto" w:fill="auto"/>
            <w:vAlign w:val="center"/>
          </w:tcPr>
          <w:p w14:paraId="2118C81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default" w:ascii="Times New Roman" w:hAnsi="Times New Roman" w:eastAsia="宋体" w:cs="Times New Roman"/>
                <w:i w:val="0"/>
                <w:iCs w:val="0"/>
                <w:snapToGrid w:val="0"/>
                <w:color w:val="000000"/>
                <w:kern w:val="0"/>
                <w:sz w:val="21"/>
                <w:szCs w:val="21"/>
                <w:u w:val="none"/>
                <w:lang w:val="en-US" w:eastAsia="zh-CN" w:bidi="ar"/>
              </w:rPr>
              <w:t>98045.7</w:t>
            </w:r>
          </w:p>
        </w:tc>
        <w:tc>
          <w:tcPr>
            <w:tcW w:w="674" w:type="dxa"/>
            <w:shd w:val="clear" w:color="auto" w:fill="auto"/>
            <w:vAlign w:val="center"/>
          </w:tcPr>
          <w:p w14:paraId="4EC053E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cs="Times New Roman"/>
                <w:sz w:val="21"/>
                <w:lang w:val="en-US"/>
              </w:rPr>
            </w:pPr>
            <w:r>
              <w:rPr>
                <w:rFonts w:hint="default" w:ascii="Times New Roman" w:hAnsi="Times New Roman" w:eastAsia="宋体" w:cs="Times New Roman"/>
                <w:i w:val="0"/>
                <w:iCs w:val="0"/>
                <w:snapToGrid w:val="0"/>
                <w:color w:val="000000"/>
                <w:kern w:val="0"/>
                <w:sz w:val="21"/>
                <w:szCs w:val="21"/>
                <w:u w:val="none"/>
                <w:lang w:val="en-US" w:eastAsia="zh-CN" w:bidi="ar"/>
              </w:rPr>
              <w:t>1196.36</w:t>
            </w:r>
          </w:p>
        </w:tc>
        <w:tc>
          <w:tcPr>
            <w:tcW w:w="674" w:type="dxa"/>
            <w:shd w:val="clear" w:color="auto" w:fill="auto"/>
            <w:vAlign w:val="center"/>
          </w:tcPr>
          <w:p w14:paraId="4360687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default" w:ascii="Times New Roman" w:hAnsi="Times New Roman" w:eastAsia="宋体" w:cs="Times New Roman"/>
                <w:i w:val="0"/>
                <w:iCs w:val="0"/>
                <w:snapToGrid w:val="0"/>
                <w:color w:val="000000"/>
                <w:kern w:val="0"/>
                <w:sz w:val="21"/>
                <w:szCs w:val="21"/>
                <w:u w:val="none"/>
                <w:lang w:val="en-US" w:eastAsia="zh-CN" w:bidi="ar"/>
              </w:rPr>
              <w:t>98045.7</w:t>
            </w:r>
          </w:p>
        </w:tc>
        <w:tc>
          <w:tcPr>
            <w:tcW w:w="674" w:type="dxa"/>
            <w:shd w:val="clear" w:color="auto" w:fill="auto"/>
            <w:vAlign w:val="center"/>
          </w:tcPr>
          <w:p w14:paraId="64946E0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default" w:ascii="Times New Roman" w:hAnsi="Times New Roman" w:eastAsia="宋体" w:cs="Times New Roman"/>
                <w:i w:val="0"/>
                <w:iCs w:val="0"/>
                <w:snapToGrid w:val="0"/>
                <w:color w:val="000000"/>
                <w:kern w:val="0"/>
                <w:sz w:val="21"/>
                <w:szCs w:val="21"/>
                <w:u w:val="none"/>
                <w:lang w:val="en-US" w:eastAsia="zh-CN" w:bidi="ar"/>
              </w:rPr>
              <w:t>87.72</w:t>
            </w:r>
          </w:p>
        </w:tc>
        <w:tc>
          <w:tcPr>
            <w:tcW w:w="674" w:type="dxa"/>
            <w:shd w:val="clear" w:color="auto" w:fill="auto"/>
            <w:vAlign w:val="center"/>
          </w:tcPr>
          <w:p w14:paraId="2D4CEED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default" w:ascii="Times New Roman" w:hAnsi="Times New Roman" w:eastAsia="宋体" w:cs="Times New Roman"/>
                <w:i w:val="0"/>
                <w:iCs w:val="0"/>
                <w:snapToGrid w:val="0"/>
                <w:color w:val="000000"/>
                <w:kern w:val="0"/>
                <w:sz w:val="21"/>
                <w:szCs w:val="21"/>
                <w:u w:val="none"/>
                <w:lang w:val="en-US" w:eastAsia="zh-CN" w:bidi="ar"/>
              </w:rPr>
              <w:t>1503.8</w:t>
            </w:r>
          </w:p>
        </w:tc>
        <w:tc>
          <w:tcPr>
            <w:tcW w:w="674" w:type="dxa"/>
            <w:shd w:val="clear" w:color="auto" w:fill="auto"/>
            <w:vAlign w:val="center"/>
          </w:tcPr>
          <w:p w14:paraId="7B74473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default" w:ascii="Times New Roman" w:hAnsi="Times New Roman" w:eastAsia="宋体" w:cs="Times New Roman"/>
                <w:i w:val="0"/>
                <w:iCs w:val="0"/>
                <w:snapToGrid w:val="0"/>
                <w:color w:val="000000"/>
                <w:kern w:val="0"/>
                <w:sz w:val="21"/>
                <w:szCs w:val="21"/>
                <w:u w:val="none"/>
                <w:lang w:val="en-US" w:eastAsia="zh-CN" w:bidi="ar"/>
              </w:rPr>
              <w:t>1030</w:t>
            </w:r>
          </w:p>
        </w:tc>
        <w:tc>
          <w:tcPr>
            <w:tcW w:w="674" w:type="dxa"/>
            <w:shd w:val="clear" w:color="auto" w:fill="auto"/>
            <w:vAlign w:val="center"/>
          </w:tcPr>
          <w:p w14:paraId="36DDB66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default" w:ascii="Times New Roman" w:hAnsi="Times New Roman" w:eastAsia="宋体" w:cs="Times New Roman"/>
                <w:i w:val="0"/>
                <w:iCs w:val="0"/>
                <w:snapToGrid w:val="0"/>
                <w:color w:val="000000"/>
                <w:kern w:val="0"/>
                <w:sz w:val="21"/>
                <w:szCs w:val="21"/>
                <w:u w:val="none"/>
                <w:lang w:val="en-US" w:eastAsia="zh-CN" w:bidi="ar"/>
              </w:rPr>
              <w:t>90315.4</w:t>
            </w:r>
          </w:p>
        </w:tc>
        <w:tc>
          <w:tcPr>
            <w:tcW w:w="674" w:type="dxa"/>
            <w:shd w:val="clear" w:color="auto" w:fill="auto"/>
            <w:vAlign w:val="center"/>
          </w:tcPr>
          <w:p w14:paraId="72ABF6D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default" w:ascii="Times New Roman" w:hAnsi="Times New Roman" w:eastAsia="宋体" w:cs="Times New Roman"/>
                <w:i w:val="0"/>
                <w:iCs w:val="0"/>
                <w:snapToGrid w:val="0"/>
                <w:color w:val="000000"/>
                <w:kern w:val="0"/>
                <w:sz w:val="21"/>
                <w:szCs w:val="21"/>
                <w:u w:val="none"/>
                <w:lang w:val="en-US" w:eastAsia="zh-CN" w:bidi="ar"/>
              </w:rPr>
              <w:t>69.62</w:t>
            </w:r>
          </w:p>
        </w:tc>
        <w:tc>
          <w:tcPr>
            <w:tcW w:w="674" w:type="dxa"/>
            <w:shd w:val="clear" w:color="auto" w:fill="auto"/>
            <w:vAlign w:val="center"/>
          </w:tcPr>
          <w:p w14:paraId="4A28A8D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default" w:ascii="Times New Roman" w:hAnsi="Times New Roman" w:eastAsia="宋体" w:cs="Times New Roman"/>
                <w:i w:val="0"/>
                <w:iCs w:val="0"/>
                <w:snapToGrid w:val="0"/>
                <w:color w:val="000000"/>
                <w:kern w:val="0"/>
                <w:sz w:val="21"/>
                <w:szCs w:val="21"/>
                <w:u w:val="none"/>
                <w:lang w:val="en-US" w:eastAsia="zh-CN" w:bidi="ar"/>
              </w:rPr>
              <w:t>5135</w:t>
            </w:r>
          </w:p>
        </w:tc>
        <w:tc>
          <w:tcPr>
            <w:tcW w:w="674" w:type="dxa"/>
            <w:shd w:val="clear" w:color="auto" w:fill="auto"/>
            <w:vAlign w:val="center"/>
          </w:tcPr>
          <w:p w14:paraId="14E2E05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default" w:ascii="Times New Roman" w:hAnsi="Times New Roman" w:eastAsia="宋体" w:cs="Times New Roman"/>
                <w:i w:val="0"/>
                <w:iCs w:val="0"/>
                <w:snapToGrid w:val="0"/>
                <w:color w:val="000000"/>
                <w:kern w:val="0"/>
                <w:sz w:val="21"/>
                <w:szCs w:val="21"/>
                <w:u w:val="none"/>
                <w:lang w:val="en-US" w:eastAsia="zh-CN" w:bidi="ar"/>
              </w:rPr>
              <w:t>5.72</w:t>
            </w:r>
          </w:p>
        </w:tc>
        <w:tc>
          <w:tcPr>
            <w:tcW w:w="675" w:type="dxa"/>
            <w:shd w:val="clear" w:color="auto" w:fill="auto"/>
            <w:vAlign w:val="center"/>
          </w:tcPr>
          <w:p w14:paraId="5EC5D42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default" w:ascii="Times New Roman" w:hAnsi="Times New Roman" w:eastAsia="宋体" w:cs="Times New Roman"/>
                <w:i w:val="0"/>
                <w:iCs w:val="0"/>
                <w:snapToGrid w:val="0"/>
                <w:color w:val="000000"/>
                <w:kern w:val="0"/>
                <w:sz w:val="21"/>
                <w:szCs w:val="21"/>
                <w:u w:val="none"/>
                <w:lang w:val="en-US" w:eastAsia="zh-CN" w:bidi="ar"/>
              </w:rPr>
              <w:t>534.5</w:t>
            </w:r>
          </w:p>
        </w:tc>
        <w:tc>
          <w:tcPr>
            <w:tcW w:w="674" w:type="dxa"/>
            <w:shd w:val="clear" w:color="auto" w:fill="auto"/>
            <w:vAlign w:val="center"/>
          </w:tcPr>
          <w:p w14:paraId="6667E45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default" w:ascii="Times New Roman" w:hAnsi="Times New Roman" w:eastAsia="宋体" w:cs="Times New Roman"/>
                <w:i w:val="0"/>
                <w:iCs w:val="0"/>
                <w:snapToGrid w:val="0"/>
                <w:color w:val="000000"/>
                <w:kern w:val="0"/>
                <w:sz w:val="21"/>
                <w:szCs w:val="21"/>
                <w:u w:val="none"/>
                <w:lang w:val="en-US" w:eastAsia="zh-CN" w:bidi="ar"/>
              </w:rPr>
              <w:t>3.31</w:t>
            </w:r>
          </w:p>
        </w:tc>
        <w:tc>
          <w:tcPr>
            <w:tcW w:w="675" w:type="dxa"/>
            <w:shd w:val="clear" w:color="auto" w:fill="auto"/>
            <w:vAlign w:val="center"/>
          </w:tcPr>
          <w:p w14:paraId="3AB0664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default" w:ascii="Times New Roman" w:hAnsi="Times New Roman" w:eastAsia="宋体" w:cs="Times New Roman"/>
                <w:i w:val="0"/>
                <w:iCs w:val="0"/>
                <w:snapToGrid w:val="0"/>
                <w:color w:val="000000"/>
                <w:kern w:val="0"/>
                <w:sz w:val="21"/>
                <w:szCs w:val="21"/>
                <w:u w:val="none"/>
                <w:lang w:val="en-US" w:eastAsia="zh-CN" w:bidi="ar"/>
              </w:rPr>
              <w:t>557</w:t>
            </w:r>
          </w:p>
        </w:tc>
        <w:tc>
          <w:tcPr>
            <w:tcW w:w="674" w:type="dxa"/>
            <w:shd w:val="clear" w:color="auto" w:fill="auto"/>
            <w:vAlign w:val="center"/>
          </w:tcPr>
          <w:p w14:paraId="1C4F945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default" w:ascii="Times New Roman" w:hAnsi="Times New Roman" w:eastAsia="宋体" w:cs="Times New Roman"/>
                <w:i w:val="0"/>
                <w:iCs w:val="0"/>
                <w:snapToGrid w:val="0"/>
                <w:color w:val="000000"/>
                <w:kern w:val="0"/>
                <w:sz w:val="21"/>
                <w:szCs w:val="21"/>
                <w:u w:val="none"/>
                <w:lang w:val="en-US" w:eastAsia="zh-CN" w:bidi="ar"/>
              </w:rPr>
              <w:t>130</w:t>
            </w:r>
          </w:p>
        </w:tc>
        <w:tc>
          <w:tcPr>
            <w:tcW w:w="675" w:type="dxa"/>
            <w:shd w:val="clear" w:color="auto" w:fill="auto"/>
            <w:vAlign w:val="center"/>
          </w:tcPr>
          <w:p w14:paraId="33FBC24D">
            <w:pPr>
              <w:keepNext w:val="0"/>
              <w:keepLines w:val="0"/>
              <w:pageBreakBefore w:val="0"/>
              <w:widowControl/>
              <w:wordWrap/>
              <w:overflowPunct/>
              <w:topLinePunct w:val="0"/>
              <w:bidi w:val="0"/>
              <w:spacing w:line="240" w:lineRule="auto"/>
              <w:ind w:firstLine="0" w:firstLineChars="0"/>
              <w:jc w:val="center"/>
              <w:rPr>
                <w:rFonts w:cs="Times New Roman"/>
                <w:sz w:val="21"/>
              </w:rPr>
            </w:pPr>
          </w:p>
        </w:tc>
        <w:tc>
          <w:tcPr>
            <w:tcW w:w="509" w:type="dxa"/>
            <w:shd w:val="clear" w:color="auto" w:fill="auto"/>
            <w:vAlign w:val="center"/>
          </w:tcPr>
          <w:p w14:paraId="5C59C9E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default" w:ascii="Times New Roman" w:hAnsi="Times New Roman" w:eastAsia="宋体" w:cs="Times New Roman"/>
                <w:i w:val="0"/>
                <w:iCs w:val="0"/>
                <w:snapToGrid w:val="0"/>
                <w:color w:val="000000"/>
                <w:kern w:val="0"/>
                <w:sz w:val="21"/>
                <w:szCs w:val="21"/>
                <w:u w:val="none"/>
                <w:lang w:val="en-US" w:eastAsia="zh-CN" w:bidi="ar"/>
              </w:rPr>
              <w:t>11.92</w:t>
            </w:r>
          </w:p>
        </w:tc>
        <w:tc>
          <w:tcPr>
            <w:tcW w:w="509" w:type="dxa"/>
            <w:shd w:val="clear" w:color="auto" w:fill="auto"/>
            <w:vAlign w:val="center"/>
          </w:tcPr>
          <w:p w14:paraId="7BA2A8A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default" w:ascii="Times New Roman" w:hAnsi="Times New Roman" w:eastAsia="宋体" w:cs="Times New Roman"/>
                <w:i w:val="0"/>
                <w:iCs w:val="0"/>
                <w:snapToGrid w:val="0"/>
                <w:color w:val="000000"/>
                <w:kern w:val="0"/>
                <w:sz w:val="21"/>
                <w:szCs w:val="21"/>
                <w:u w:val="none"/>
                <w:lang w:val="en-US" w:eastAsia="zh-CN" w:bidi="ar"/>
              </w:rPr>
              <w:t>11.92</w:t>
            </w:r>
          </w:p>
        </w:tc>
        <w:tc>
          <w:tcPr>
            <w:tcW w:w="510" w:type="dxa"/>
            <w:shd w:val="clear" w:color="auto" w:fill="auto"/>
            <w:vAlign w:val="center"/>
          </w:tcPr>
          <w:p w14:paraId="2A2C3E46">
            <w:pPr>
              <w:keepNext w:val="0"/>
              <w:keepLines w:val="0"/>
              <w:pageBreakBefore w:val="0"/>
              <w:widowControl/>
              <w:wordWrap/>
              <w:overflowPunct/>
              <w:topLinePunct w:val="0"/>
              <w:bidi w:val="0"/>
              <w:spacing w:line="240" w:lineRule="auto"/>
              <w:ind w:firstLine="0" w:firstLineChars="0"/>
              <w:jc w:val="center"/>
              <w:rPr>
                <w:rFonts w:cs="Times New Roman"/>
                <w:sz w:val="21"/>
              </w:rPr>
            </w:pPr>
          </w:p>
        </w:tc>
      </w:tr>
      <w:tr w14:paraId="20CB0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351" w:type="dxa"/>
            <w:shd w:val="clear" w:color="auto" w:fill="auto"/>
            <w:vAlign w:val="center"/>
          </w:tcPr>
          <w:p w14:paraId="6CD42D3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eastAsia" w:ascii="宋体" w:hAnsi="宋体" w:eastAsia="宋体" w:cs="宋体"/>
                <w:i w:val="0"/>
                <w:iCs w:val="0"/>
                <w:snapToGrid w:val="0"/>
                <w:color w:val="000000"/>
                <w:kern w:val="0"/>
                <w:sz w:val="21"/>
                <w:szCs w:val="21"/>
                <w:u w:val="none"/>
                <w:lang w:val="en-US" w:eastAsia="zh-CN" w:bidi="ar"/>
              </w:rPr>
              <w:t>特用林</w:t>
            </w:r>
          </w:p>
        </w:tc>
        <w:tc>
          <w:tcPr>
            <w:tcW w:w="756" w:type="dxa"/>
            <w:shd w:val="clear" w:color="auto" w:fill="auto"/>
            <w:vAlign w:val="center"/>
          </w:tcPr>
          <w:p w14:paraId="22D7F37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default" w:ascii="Times New Roman" w:hAnsi="Times New Roman" w:eastAsia="宋体" w:cs="Times New Roman"/>
                <w:i w:val="0"/>
                <w:iCs w:val="0"/>
                <w:snapToGrid w:val="0"/>
                <w:color w:val="000000"/>
                <w:kern w:val="0"/>
                <w:sz w:val="21"/>
                <w:szCs w:val="21"/>
                <w:u w:val="none"/>
                <w:lang w:val="en-US" w:eastAsia="zh-CN" w:bidi="ar"/>
              </w:rPr>
              <w:t>9695.6</w:t>
            </w:r>
          </w:p>
        </w:tc>
        <w:tc>
          <w:tcPr>
            <w:tcW w:w="757" w:type="dxa"/>
            <w:shd w:val="clear" w:color="auto" w:fill="auto"/>
            <w:vAlign w:val="center"/>
          </w:tcPr>
          <w:p w14:paraId="51A5187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default" w:ascii="Times New Roman" w:hAnsi="Times New Roman" w:eastAsia="宋体" w:cs="Times New Roman"/>
                <w:i w:val="0"/>
                <w:iCs w:val="0"/>
                <w:snapToGrid w:val="0"/>
                <w:color w:val="000000"/>
                <w:kern w:val="0"/>
                <w:sz w:val="21"/>
                <w:szCs w:val="21"/>
                <w:u w:val="none"/>
                <w:lang w:val="en-US" w:eastAsia="zh-CN" w:bidi="ar"/>
              </w:rPr>
              <w:t>678086.5</w:t>
            </w:r>
          </w:p>
        </w:tc>
        <w:tc>
          <w:tcPr>
            <w:tcW w:w="674" w:type="dxa"/>
            <w:shd w:val="clear" w:color="auto" w:fill="auto"/>
            <w:vAlign w:val="center"/>
          </w:tcPr>
          <w:p w14:paraId="45A96CF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default" w:ascii="Times New Roman" w:hAnsi="Times New Roman" w:eastAsia="宋体" w:cs="Times New Roman"/>
                <w:i w:val="0"/>
                <w:iCs w:val="0"/>
                <w:snapToGrid w:val="0"/>
                <w:color w:val="000000"/>
                <w:kern w:val="0"/>
                <w:sz w:val="21"/>
                <w:szCs w:val="21"/>
                <w:u w:val="none"/>
                <w:lang w:val="en-US" w:eastAsia="zh-CN" w:bidi="ar"/>
              </w:rPr>
              <w:t>9579.01</w:t>
            </w:r>
          </w:p>
        </w:tc>
        <w:tc>
          <w:tcPr>
            <w:tcW w:w="674" w:type="dxa"/>
            <w:shd w:val="clear" w:color="auto" w:fill="auto"/>
            <w:vAlign w:val="center"/>
          </w:tcPr>
          <w:p w14:paraId="0FC54B3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default" w:ascii="Times New Roman" w:hAnsi="Times New Roman" w:eastAsia="宋体" w:cs="Times New Roman"/>
                <w:i w:val="0"/>
                <w:iCs w:val="0"/>
                <w:snapToGrid w:val="0"/>
                <w:color w:val="000000"/>
                <w:kern w:val="0"/>
                <w:sz w:val="21"/>
                <w:szCs w:val="21"/>
                <w:u w:val="none"/>
                <w:lang w:val="en-US" w:eastAsia="zh-CN" w:bidi="ar"/>
              </w:rPr>
              <w:t>678086.5</w:t>
            </w:r>
          </w:p>
        </w:tc>
        <w:tc>
          <w:tcPr>
            <w:tcW w:w="674" w:type="dxa"/>
            <w:shd w:val="clear" w:color="auto" w:fill="auto"/>
            <w:vAlign w:val="center"/>
          </w:tcPr>
          <w:p w14:paraId="1EE36BE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default" w:ascii="Times New Roman" w:hAnsi="Times New Roman" w:eastAsia="宋体" w:cs="Times New Roman"/>
                <w:i w:val="0"/>
                <w:iCs w:val="0"/>
                <w:snapToGrid w:val="0"/>
                <w:color w:val="000000"/>
                <w:kern w:val="0"/>
                <w:sz w:val="21"/>
                <w:szCs w:val="21"/>
                <w:u w:val="none"/>
                <w:lang w:val="en-US" w:eastAsia="zh-CN" w:bidi="ar"/>
              </w:rPr>
              <w:t>5780.01</w:t>
            </w:r>
          </w:p>
        </w:tc>
        <w:tc>
          <w:tcPr>
            <w:tcW w:w="674" w:type="dxa"/>
            <w:shd w:val="clear" w:color="auto" w:fill="auto"/>
            <w:vAlign w:val="center"/>
          </w:tcPr>
          <w:p w14:paraId="15AE43A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default" w:ascii="Times New Roman" w:hAnsi="Times New Roman" w:eastAsia="宋体" w:cs="Times New Roman"/>
                <w:i w:val="0"/>
                <w:iCs w:val="0"/>
                <w:snapToGrid w:val="0"/>
                <w:color w:val="000000"/>
                <w:kern w:val="0"/>
                <w:sz w:val="21"/>
                <w:szCs w:val="21"/>
                <w:u w:val="none"/>
                <w:lang w:val="en-US" w:eastAsia="zh-CN" w:bidi="ar"/>
              </w:rPr>
              <w:t>678086.5</w:t>
            </w:r>
          </w:p>
        </w:tc>
        <w:tc>
          <w:tcPr>
            <w:tcW w:w="674" w:type="dxa"/>
            <w:shd w:val="clear" w:color="auto" w:fill="auto"/>
            <w:vAlign w:val="center"/>
          </w:tcPr>
          <w:p w14:paraId="5964FD0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default" w:ascii="Times New Roman" w:hAnsi="Times New Roman" w:eastAsia="宋体" w:cs="Times New Roman"/>
                <w:i w:val="0"/>
                <w:iCs w:val="0"/>
                <w:snapToGrid w:val="0"/>
                <w:color w:val="000000"/>
                <w:kern w:val="0"/>
                <w:sz w:val="21"/>
                <w:szCs w:val="21"/>
                <w:u w:val="none"/>
                <w:lang w:val="en-US" w:eastAsia="zh-CN" w:bidi="ar"/>
              </w:rPr>
              <w:t>612.63</w:t>
            </w:r>
          </w:p>
        </w:tc>
        <w:tc>
          <w:tcPr>
            <w:tcW w:w="674" w:type="dxa"/>
            <w:shd w:val="clear" w:color="auto" w:fill="auto"/>
            <w:vAlign w:val="center"/>
          </w:tcPr>
          <w:p w14:paraId="124C06A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default" w:ascii="Times New Roman" w:hAnsi="Times New Roman" w:eastAsia="宋体" w:cs="Times New Roman"/>
                <w:i w:val="0"/>
                <w:iCs w:val="0"/>
                <w:snapToGrid w:val="0"/>
                <w:color w:val="000000"/>
                <w:kern w:val="0"/>
                <w:sz w:val="21"/>
                <w:szCs w:val="21"/>
                <w:u w:val="none"/>
                <w:lang w:val="en-US" w:eastAsia="zh-CN" w:bidi="ar"/>
              </w:rPr>
              <w:t>13076.3</w:t>
            </w:r>
          </w:p>
        </w:tc>
        <w:tc>
          <w:tcPr>
            <w:tcW w:w="674" w:type="dxa"/>
            <w:shd w:val="clear" w:color="auto" w:fill="auto"/>
            <w:vAlign w:val="center"/>
          </w:tcPr>
          <w:p w14:paraId="09A914D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default" w:ascii="Times New Roman" w:hAnsi="Times New Roman" w:eastAsia="宋体" w:cs="Times New Roman"/>
                <w:i w:val="0"/>
                <w:iCs w:val="0"/>
                <w:snapToGrid w:val="0"/>
                <w:color w:val="000000"/>
                <w:kern w:val="0"/>
                <w:sz w:val="21"/>
                <w:szCs w:val="21"/>
                <w:u w:val="none"/>
                <w:lang w:val="en-US" w:eastAsia="zh-CN" w:bidi="ar"/>
              </w:rPr>
              <w:t>1815.72</w:t>
            </w:r>
          </w:p>
        </w:tc>
        <w:tc>
          <w:tcPr>
            <w:tcW w:w="674" w:type="dxa"/>
            <w:shd w:val="clear" w:color="auto" w:fill="auto"/>
            <w:vAlign w:val="center"/>
          </w:tcPr>
          <w:p w14:paraId="3690FE2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default" w:ascii="Times New Roman" w:hAnsi="Times New Roman" w:eastAsia="宋体" w:cs="Times New Roman"/>
                <w:i w:val="0"/>
                <w:iCs w:val="0"/>
                <w:snapToGrid w:val="0"/>
                <w:color w:val="000000"/>
                <w:kern w:val="0"/>
                <w:sz w:val="21"/>
                <w:szCs w:val="21"/>
                <w:u w:val="none"/>
                <w:lang w:val="en-US" w:eastAsia="zh-CN" w:bidi="ar"/>
              </w:rPr>
              <w:t>187283.9</w:t>
            </w:r>
          </w:p>
        </w:tc>
        <w:tc>
          <w:tcPr>
            <w:tcW w:w="674" w:type="dxa"/>
            <w:shd w:val="clear" w:color="auto" w:fill="auto"/>
            <w:vAlign w:val="center"/>
          </w:tcPr>
          <w:p w14:paraId="73720E2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default" w:ascii="Times New Roman" w:hAnsi="Times New Roman" w:eastAsia="宋体" w:cs="Times New Roman"/>
                <w:i w:val="0"/>
                <w:iCs w:val="0"/>
                <w:snapToGrid w:val="0"/>
                <w:color w:val="000000"/>
                <w:kern w:val="0"/>
                <w:sz w:val="21"/>
                <w:szCs w:val="21"/>
                <w:u w:val="none"/>
                <w:lang w:val="en-US" w:eastAsia="zh-CN" w:bidi="ar"/>
              </w:rPr>
              <w:t>2942.92</w:t>
            </w:r>
          </w:p>
        </w:tc>
        <w:tc>
          <w:tcPr>
            <w:tcW w:w="674" w:type="dxa"/>
            <w:shd w:val="clear" w:color="auto" w:fill="auto"/>
            <w:vAlign w:val="center"/>
          </w:tcPr>
          <w:p w14:paraId="7995EA0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default" w:ascii="Times New Roman" w:hAnsi="Times New Roman" w:eastAsia="宋体" w:cs="Times New Roman"/>
                <w:i w:val="0"/>
                <w:iCs w:val="0"/>
                <w:snapToGrid w:val="0"/>
                <w:color w:val="000000"/>
                <w:kern w:val="0"/>
                <w:sz w:val="21"/>
                <w:szCs w:val="21"/>
                <w:u w:val="none"/>
                <w:lang w:val="en-US" w:eastAsia="zh-CN" w:bidi="ar"/>
              </w:rPr>
              <w:t>418746</w:t>
            </w:r>
          </w:p>
        </w:tc>
        <w:tc>
          <w:tcPr>
            <w:tcW w:w="674" w:type="dxa"/>
            <w:shd w:val="clear" w:color="auto" w:fill="auto"/>
            <w:vAlign w:val="center"/>
          </w:tcPr>
          <w:p w14:paraId="073FCBC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default" w:ascii="Times New Roman" w:hAnsi="Times New Roman" w:eastAsia="宋体" w:cs="Times New Roman"/>
                <w:i w:val="0"/>
                <w:iCs w:val="0"/>
                <w:snapToGrid w:val="0"/>
                <w:color w:val="000000"/>
                <w:kern w:val="0"/>
                <w:sz w:val="21"/>
                <w:szCs w:val="21"/>
                <w:u w:val="none"/>
                <w:lang w:val="en-US" w:eastAsia="zh-CN" w:bidi="ar"/>
              </w:rPr>
              <w:t>223.88</w:t>
            </w:r>
          </w:p>
        </w:tc>
        <w:tc>
          <w:tcPr>
            <w:tcW w:w="675" w:type="dxa"/>
            <w:shd w:val="clear" w:color="auto" w:fill="auto"/>
            <w:vAlign w:val="center"/>
          </w:tcPr>
          <w:p w14:paraId="3578BAC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default" w:ascii="Times New Roman" w:hAnsi="Times New Roman" w:eastAsia="宋体" w:cs="Times New Roman"/>
                <w:i w:val="0"/>
                <w:iCs w:val="0"/>
                <w:snapToGrid w:val="0"/>
                <w:color w:val="000000"/>
                <w:kern w:val="0"/>
                <w:sz w:val="21"/>
                <w:szCs w:val="21"/>
                <w:u w:val="none"/>
                <w:lang w:val="en-US" w:eastAsia="zh-CN" w:bidi="ar"/>
              </w:rPr>
              <w:t>29815.2</w:t>
            </w:r>
          </w:p>
        </w:tc>
        <w:tc>
          <w:tcPr>
            <w:tcW w:w="674" w:type="dxa"/>
            <w:shd w:val="clear" w:color="auto" w:fill="auto"/>
            <w:vAlign w:val="center"/>
          </w:tcPr>
          <w:p w14:paraId="73A1397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default" w:ascii="Times New Roman" w:hAnsi="Times New Roman" w:eastAsia="宋体" w:cs="Times New Roman"/>
                <w:i w:val="0"/>
                <w:iCs w:val="0"/>
                <w:snapToGrid w:val="0"/>
                <w:color w:val="000000"/>
                <w:kern w:val="0"/>
                <w:sz w:val="21"/>
                <w:szCs w:val="21"/>
                <w:u w:val="none"/>
                <w:lang w:val="en-US" w:eastAsia="zh-CN" w:bidi="ar"/>
              </w:rPr>
              <w:t>184.86</w:t>
            </w:r>
          </w:p>
        </w:tc>
        <w:tc>
          <w:tcPr>
            <w:tcW w:w="675" w:type="dxa"/>
            <w:shd w:val="clear" w:color="auto" w:fill="auto"/>
            <w:vAlign w:val="center"/>
          </w:tcPr>
          <w:p w14:paraId="0B2611F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default" w:ascii="Times New Roman" w:hAnsi="Times New Roman" w:eastAsia="宋体" w:cs="Times New Roman"/>
                <w:i w:val="0"/>
                <w:iCs w:val="0"/>
                <w:snapToGrid w:val="0"/>
                <w:color w:val="000000"/>
                <w:kern w:val="0"/>
                <w:sz w:val="21"/>
                <w:szCs w:val="21"/>
                <w:u w:val="none"/>
                <w:lang w:val="en-US" w:eastAsia="zh-CN" w:bidi="ar"/>
              </w:rPr>
              <w:t>29165.1</w:t>
            </w:r>
          </w:p>
        </w:tc>
        <w:tc>
          <w:tcPr>
            <w:tcW w:w="674" w:type="dxa"/>
            <w:shd w:val="clear" w:color="auto" w:fill="auto"/>
            <w:vAlign w:val="center"/>
          </w:tcPr>
          <w:p w14:paraId="4E8B660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default" w:ascii="Times New Roman" w:hAnsi="Times New Roman" w:eastAsia="宋体" w:cs="Times New Roman"/>
                <w:i w:val="0"/>
                <w:iCs w:val="0"/>
                <w:snapToGrid w:val="0"/>
                <w:color w:val="000000"/>
                <w:kern w:val="0"/>
                <w:sz w:val="21"/>
                <w:szCs w:val="21"/>
                <w:u w:val="none"/>
                <w:lang w:val="en-US" w:eastAsia="zh-CN" w:bidi="ar"/>
              </w:rPr>
              <w:t>3799</w:t>
            </w:r>
          </w:p>
        </w:tc>
        <w:tc>
          <w:tcPr>
            <w:tcW w:w="675" w:type="dxa"/>
            <w:shd w:val="clear" w:color="auto" w:fill="auto"/>
            <w:vAlign w:val="center"/>
          </w:tcPr>
          <w:p w14:paraId="54D5F0B6">
            <w:pPr>
              <w:keepNext w:val="0"/>
              <w:keepLines w:val="0"/>
              <w:pageBreakBefore w:val="0"/>
              <w:widowControl/>
              <w:wordWrap/>
              <w:overflowPunct/>
              <w:topLinePunct w:val="0"/>
              <w:bidi w:val="0"/>
              <w:spacing w:line="240" w:lineRule="auto"/>
              <w:ind w:firstLine="0" w:firstLineChars="0"/>
              <w:jc w:val="center"/>
              <w:rPr>
                <w:rFonts w:cs="Times New Roman"/>
                <w:sz w:val="21"/>
              </w:rPr>
            </w:pPr>
          </w:p>
        </w:tc>
        <w:tc>
          <w:tcPr>
            <w:tcW w:w="509" w:type="dxa"/>
            <w:shd w:val="clear" w:color="auto" w:fill="auto"/>
            <w:vAlign w:val="center"/>
          </w:tcPr>
          <w:p w14:paraId="2E804B9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default" w:ascii="Times New Roman" w:hAnsi="Times New Roman" w:eastAsia="宋体" w:cs="Times New Roman"/>
                <w:i w:val="0"/>
                <w:iCs w:val="0"/>
                <w:snapToGrid w:val="0"/>
                <w:color w:val="000000"/>
                <w:kern w:val="0"/>
                <w:sz w:val="21"/>
                <w:szCs w:val="21"/>
                <w:u w:val="none"/>
                <w:lang w:val="en-US" w:eastAsia="zh-CN" w:bidi="ar"/>
              </w:rPr>
              <w:t>116.59</w:t>
            </w:r>
          </w:p>
        </w:tc>
        <w:tc>
          <w:tcPr>
            <w:tcW w:w="509" w:type="dxa"/>
            <w:shd w:val="clear" w:color="auto" w:fill="auto"/>
            <w:vAlign w:val="center"/>
          </w:tcPr>
          <w:p w14:paraId="0AE1832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default" w:ascii="Times New Roman" w:hAnsi="Times New Roman" w:eastAsia="宋体" w:cs="Times New Roman"/>
                <w:i w:val="0"/>
                <w:iCs w:val="0"/>
                <w:snapToGrid w:val="0"/>
                <w:color w:val="000000"/>
                <w:kern w:val="0"/>
                <w:sz w:val="21"/>
                <w:szCs w:val="21"/>
                <w:u w:val="none"/>
                <w:lang w:val="en-US" w:eastAsia="zh-CN" w:bidi="ar"/>
              </w:rPr>
              <w:t>116.59</w:t>
            </w:r>
          </w:p>
        </w:tc>
        <w:tc>
          <w:tcPr>
            <w:tcW w:w="510" w:type="dxa"/>
            <w:shd w:val="clear" w:color="auto" w:fill="auto"/>
            <w:vAlign w:val="center"/>
          </w:tcPr>
          <w:p w14:paraId="08723795">
            <w:pPr>
              <w:keepNext w:val="0"/>
              <w:keepLines w:val="0"/>
              <w:pageBreakBefore w:val="0"/>
              <w:widowControl/>
              <w:wordWrap/>
              <w:overflowPunct/>
              <w:topLinePunct w:val="0"/>
              <w:bidi w:val="0"/>
              <w:spacing w:line="240" w:lineRule="auto"/>
              <w:ind w:firstLine="0" w:firstLineChars="0"/>
              <w:jc w:val="center"/>
              <w:rPr>
                <w:rFonts w:cs="Times New Roman"/>
                <w:sz w:val="21"/>
              </w:rPr>
            </w:pPr>
          </w:p>
        </w:tc>
      </w:tr>
      <w:tr w14:paraId="42F3F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351" w:type="dxa"/>
            <w:shd w:val="clear" w:color="auto" w:fill="auto"/>
            <w:vAlign w:val="center"/>
          </w:tcPr>
          <w:p w14:paraId="27F05D5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eastAsia" w:ascii="宋体" w:hAnsi="宋体" w:eastAsia="宋体" w:cs="宋体"/>
                <w:i w:val="0"/>
                <w:iCs w:val="0"/>
                <w:snapToGrid w:val="0"/>
                <w:color w:val="000000"/>
                <w:kern w:val="0"/>
                <w:sz w:val="21"/>
                <w:szCs w:val="21"/>
                <w:u w:val="none"/>
                <w:lang w:val="en-US" w:eastAsia="zh-CN" w:bidi="ar"/>
              </w:rPr>
              <w:t>用材林</w:t>
            </w:r>
          </w:p>
        </w:tc>
        <w:tc>
          <w:tcPr>
            <w:tcW w:w="756" w:type="dxa"/>
            <w:shd w:val="clear" w:color="auto" w:fill="auto"/>
            <w:vAlign w:val="center"/>
          </w:tcPr>
          <w:p w14:paraId="4B38BE3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p>
        </w:tc>
        <w:tc>
          <w:tcPr>
            <w:tcW w:w="757" w:type="dxa"/>
            <w:shd w:val="clear" w:color="auto" w:fill="auto"/>
            <w:vAlign w:val="center"/>
          </w:tcPr>
          <w:p w14:paraId="5AE75E3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p>
        </w:tc>
        <w:tc>
          <w:tcPr>
            <w:tcW w:w="674" w:type="dxa"/>
            <w:shd w:val="clear" w:color="auto" w:fill="auto"/>
            <w:vAlign w:val="center"/>
          </w:tcPr>
          <w:p w14:paraId="791629F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p>
        </w:tc>
        <w:tc>
          <w:tcPr>
            <w:tcW w:w="674" w:type="dxa"/>
            <w:shd w:val="clear" w:color="auto" w:fill="auto"/>
            <w:vAlign w:val="center"/>
          </w:tcPr>
          <w:p w14:paraId="6254B53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p>
        </w:tc>
        <w:tc>
          <w:tcPr>
            <w:tcW w:w="674" w:type="dxa"/>
            <w:shd w:val="clear" w:color="auto" w:fill="auto"/>
            <w:vAlign w:val="center"/>
          </w:tcPr>
          <w:p w14:paraId="66B983C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p>
        </w:tc>
        <w:tc>
          <w:tcPr>
            <w:tcW w:w="674" w:type="dxa"/>
            <w:shd w:val="clear" w:color="auto" w:fill="auto"/>
            <w:vAlign w:val="center"/>
          </w:tcPr>
          <w:p w14:paraId="76025AD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p>
        </w:tc>
        <w:tc>
          <w:tcPr>
            <w:tcW w:w="674" w:type="dxa"/>
            <w:shd w:val="clear" w:color="auto" w:fill="auto"/>
            <w:vAlign w:val="center"/>
          </w:tcPr>
          <w:p w14:paraId="5363BE4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p>
        </w:tc>
        <w:tc>
          <w:tcPr>
            <w:tcW w:w="674" w:type="dxa"/>
            <w:shd w:val="clear" w:color="auto" w:fill="auto"/>
            <w:vAlign w:val="center"/>
          </w:tcPr>
          <w:p w14:paraId="3486767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p>
        </w:tc>
        <w:tc>
          <w:tcPr>
            <w:tcW w:w="674" w:type="dxa"/>
            <w:shd w:val="clear" w:color="auto" w:fill="auto"/>
            <w:vAlign w:val="center"/>
          </w:tcPr>
          <w:p w14:paraId="257C801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p>
        </w:tc>
        <w:tc>
          <w:tcPr>
            <w:tcW w:w="674" w:type="dxa"/>
            <w:shd w:val="clear" w:color="auto" w:fill="auto"/>
            <w:vAlign w:val="center"/>
          </w:tcPr>
          <w:p w14:paraId="3449B9C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p>
        </w:tc>
        <w:tc>
          <w:tcPr>
            <w:tcW w:w="674" w:type="dxa"/>
            <w:shd w:val="clear" w:color="auto" w:fill="auto"/>
            <w:vAlign w:val="center"/>
          </w:tcPr>
          <w:p w14:paraId="0B6A056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p>
        </w:tc>
        <w:tc>
          <w:tcPr>
            <w:tcW w:w="674" w:type="dxa"/>
            <w:shd w:val="clear" w:color="auto" w:fill="auto"/>
            <w:vAlign w:val="center"/>
          </w:tcPr>
          <w:p w14:paraId="7D5F0E8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p>
        </w:tc>
        <w:tc>
          <w:tcPr>
            <w:tcW w:w="674" w:type="dxa"/>
            <w:shd w:val="clear" w:color="auto" w:fill="auto"/>
            <w:vAlign w:val="center"/>
          </w:tcPr>
          <w:p w14:paraId="42BD020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p>
        </w:tc>
        <w:tc>
          <w:tcPr>
            <w:tcW w:w="675" w:type="dxa"/>
            <w:shd w:val="clear" w:color="auto" w:fill="auto"/>
            <w:vAlign w:val="center"/>
          </w:tcPr>
          <w:p w14:paraId="6804586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p>
        </w:tc>
        <w:tc>
          <w:tcPr>
            <w:tcW w:w="674" w:type="dxa"/>
            <w:shd w:val="clear" w:color="auto" w:fill="auto"/>
            <w:vAlign w:val="center"/>
          </w:tcPr>
          <w:p w14:paraId="09C063A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p>
        </w:tc>
        <w:tc>
          <w:tcPr>
            <w:tcW w:w="675" w:type="dxa"/>
            <w:shd w:val="clear" w:color="auto" w:fill="auto"/>
            <w:vAlign w:val="center"/>
          </w:tcPr>
          <w:p w14:paraId="34BBB74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p>
        </w:tc>
        <w:tc>
          <w:tcPr>
            <w:tcW w:w="674" w:type="dxa"/>
            <w:shd w:val="clear" w:color="auto" w:fill="auto"/>
            <w:vAlign w:val="center"/>
          </w:tcPr>
          <w:p w14:paraId="20735F8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p>
        </w:tc>
        <w:tc>
          <w:tcPr>
            <w:tcW w:w="675" w:type="dxa"/>
            <w:shd w:val="clear" w:color="auto" w:fill="auto"/>
            <w:vAlign w:val="center"/>
          </w:tcPr>
          <w:p w14:paraId="0523DEF7">
            <w:pPr>
              <w:keepNext w:val="0"/>
              <w:keepLines w:val="0"/>
              <w:pageBreakBefore w:val="0"/>
              <w:widowControl/>
              <w:wordWrap/>
              <w:overflowPunct/>
              <w:topLinePunct w:val="0"/>
              <w:bidi w:val="0"/>
              <w:spacing w:line="240" w:lineRule="auto"/>
              <w:ind w:firstLine="0" w:firstLineChars="0"/>
              <w:jc w:val="center"/>
              <w:rPr>
                <w:rFonts w:cs="Times New Roman"/>
                <w:sz w:val="21"/>
              </w:rPr>
            </w:pPr>
          </w:p>
        </w:tc>
        <w:tc>
          <w:tcPr>
            <w:tcW w:w="509" w:type="dxa"/>
            <w:shd w:val="clear" w:color="auto" w:fill="auto"/>
            <w:vAlign w:val="center"/>
          </w:tcPr>
          <w:p w14:paraId="4C2D49F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p>
        </w:tc>
        <w:tc>
          <w:tcPr>
            <w:tcW w:w="509" w:type="dxa"/>
            <w:shd w:val="clear" w:color="auto" w:fill="auto"/>
            <w:vAlign w:val="center"/>
          </w:tcPr>
          <w:p w14:paraId="007ACD2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p>
        </w:tc>
        <w:tc>
          <w:tcPr>
            <w:tcW w:w="510" w:type="dxa"/>
            <w:shd w:val="clear" w:color="auto" w:fill="auto"/>
            <w:vAlign w:val="center"/>
          </w:tcPr>
          <w:p w14:paraId="021D8E97">
            <w:pPr>
              <w:keepNext w:val="0"/>
              <w:keepLines w:val="0"/>
              <w:pageBreakBefore w:val="0"/>
              <w:widowControl/>
              <w:wordWrap/>
              <w:overflowPunct/>
              <w:topLinePunct w:val="0"/>
              <w:bidi w:val="0"/>
              <w:spacing w:line="240" w:lineRule="auto"/>
              <w:ind w:firstLine="0" w:firstLineChars="0"/>
              <w:jc w:val="center"/>
              <w:rPr>
                <w:rFonts w:cs="Times New Roman"/>
                <w:sz w:val="21"/>
              </w:rPr>
            </w:pPr>
          </w:p>
        </w:tc>
      </w:tr>
      <w:tr w14:paraId="493F8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351" w:type="dxa"/>
            <w:shd w:val="clear" w:color="auto" w:fill="auto"/>
            <w:vAlign w:val="center"/>
          </w:tcPr>
          <w:p w14:paraId="23858FA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cs="Times New Roman"/>
                <w:sz w:val="21"/>
              </w:rPr>
            </w:pPr>
            <w:r>
              <w:rPr>
                <w:rFonts w:hint="eastAsia" w:ascii="宋体" w:hAnsi="宋体" w:eastAsia="宋体" w:cs="宋体"/>
                <w:i w:val="0"/>
                <w:iCs w:val="0"/>
                <w:snapToGrid w:val="0"/>
                <w:color w:val="000000"/>
                <w:kern w:val="0"/>
                <w:sz w:val="21"/>
                <w:szCs w:val="21"/>
                <w:u w:val="none"/>
                <w:lang w:val="en-US" w:eastAsia="zh-CN" w:bidi="ar"/>
              </w:rPr>
              <w:t>经济林</w:t>
            </w:r>
          </w:p>
        </w:tc>
        <w:tc>
          <w:tcPr>
            <w:tcW w:w="756" w:type="dxa"/>
            <w:shd w:val="clear" w:color="auto" w:fill="auto"/>
            <w:vAlign w:val="center"/>
          </w:tcPr>
          <w:p w14:paraId="55E4254C">
            <w:pPr>
              <w:keepNext w:val="0"/>
              <w:keepLines w:val="0"/>
              <w:pageBreakBefore w:val="0"/>
              <w:widowControl/>
              <w:wordWrap/>
              <w:overflowPunct/>
              <w:topLinePunct w:val="0"/>
              <w:bidi w:val="0"/>
              <w:spacing w:line="240" w:lineRule="auto"/>
              <w:ind w:firstLine="0" w:firstLineChars="0"/>
              <w:jc w:val="center"/>
              <w:rPr>
                <w:rFonts w:cs="Times New Roman"/>
                <w:sz w:val="21"/>
              </w:rPr>
            </w:pPr>
          </w:p>
        </w:tc>
        <w:tc>
          <w:tcPr>
            <w:tcW w:w="757" w:type="dxa"/>
            <w:shd w:val="clear" w:color="auto" w:fill="auto"/>
            <w:vAlign w:val="center"/>
          </w:tcPr>
          <w:p w14:paraId="2C77C095">
            <w:pPr>
              <w:keepNext w:val="0"/>
              <w:keepLines w:val="0"/>
              <w:pageBreakBefore w:val="0"/>
              <w:widowControl/>
              <w:wordWrap/>
              <w:overflowPunct/>
              <w:topLinePunct w:val="0"/>
              <w:bidi w:val="0"/>
              <w:spacing w:line="240" w:lineRule="auto"/>
              <w:ind w:firstLine="0" w:firstLineChars="0"/>
              <w:jc w:val="center"/>
              <w:rPr>
                <w:rFonts w:cs="Times New Roman"/>
                <w:sz w:val="21"/>
              </w:rPr>
            </w:pPr>
          </w:p>
        </w:tc>
        <w:tc>
          <w:tcPr>
            <w:tcW w:w="674" w:type="dxa"/>
            <w:shd w:val="clear" w:color="auto" w:fill="auto"/>
            <w:vAlign w:val="center"/>
          </w:tcPr>
          <w:p w14:paraId="0923E428">
            <w:pPr>
              <w:keepNext w:val="0"/>
              <w:keepLines w:val="0"/>
              <w:pageBreakBefore w:val="0"/>
              <w:widowControl/>
              <w:wordWrap/>
              <w:overflowPunct/>
              <w:topLinePunct w:val="0"/>
              <w:bidi w:val="0"/>
              <w:spacing w:line="240" w:lineRule="auto"/>
              <w:ind w:firstLine="0" w:firstLineChars="0"/>
              <w:jc w:val="center"/>
              <w:rPr>
                <w:rFonts w:cs="Times New Roman"/>
                <w:sz w:val="21"/>
              </w:rPr>
            </w:pPr>
          </w:p>
        </w:tc>
        <w:tc>
          <w:tcPr>
            <w:tcW w:w="674" w:type="dxa"/>
            <w:shd w:val="clear" w:color="auto" w:fill="auto"/>
            <w:vAlign w:val="center"/>
          </w:tcPr>
          <w:p w14:paraId="40F485B5">
            <w:pPr>
              <w:keepNext w:val="0"/>
              <w:keepLines w:val="0"/>
              <w:pageBreakBefore w:val="0"/>
              <w:widowControl/>
              <w:wordWrap/>
              <w:overflowPunct/>
              <w:topLinePunct w:val="0"/>
              <w:bidi w:val="0"/>
              <w:spacing w:line="240" w:lineRule="auto"/>
              <w:ind w:firstLine="0" w:firstLineChars="0"/>
              <w:jc w:val="center"/>
              <w:rPr>
                <w:rFonts w:cs="Times New Roman"/>
                <w:sz w:val="21"/>
              </w:rPr>
            </w:pPr>
          </w:p>
        </w:tc>
        <w:tc>
          <w:tcPr>
            <w:tcW w:w="674" w:type="dxa"/>
            <w:shd w:val="clear" w:color="auto" w:fill="auto"/>
            <w:vAlign w:val="center"/>
          </w:tcPr>
          <w:p w14:paraId="7FBA4CEA">
            <w:pPr>
              <w:keepNext w:val="0"/>
              <w:keepLines w:val="0"/>
              <w:pageBreakBefore w:val="0"/>
              <w:widowControl/>
              <w:wordWrap/>
              <w:overflowPunct/>
              <w:topLinePunct w:val="0"/>
              <w:bidi w:val="0"/>
              <w:spacing w:line="240" w:lineRule="auto"/>
              <w:ind w:firstLine="0" w:firstLineChars="0"/>
              <w:jc w:val="center"/>
              <w:rPr>
                <w:rFonts w:cs="Times New Roman"/>
                <w:sz w:val="21"/>
              </w:rPr>
            </w:pPr>
          </w:p>
        </w:tc>
        <w:tc>
          <w:tcPr>
            <w:tcW w:w="674" w:type="dxa"/>
            <w:shd w:val="clear" w:color="auto" w:fill="auto"/>
            <w:vAlign w:val="center"/>
          </w:tcPr>
          <w:p w14:paraId="292596E2">
            <w:pPr>
              <w:keepNext w:val="0"/>
              <w:keepLines w:val="0"/>
              <w:pageBreakBefore w:val="0"/>
              <w:widowControl/>
              <w:wordWrap/>
              <w:overflowPunct/>
              <w:topLinePunct w:val="0"/>
              <w:bidi w:val="0"/>
              <w:spacing w:line="240" w:lineRule="auto"/>
              <w:ind w:firstLine="0" w:firstLineChars="0"/>
              <w:jc w:val="center"/>
              <w:rPr>
                <w:rFonts w:cs="Times New Roman"/>
                <w:sz w:val="21"/>
              </w:rPr>
            </w:pPr>
          </w:p>
        </w:tc>
        <w:tc>
          <w:tcPr>
            <w:tcW w:w="674" w:type="dxa"/>
            <w:shd w:val="clear" w:color="auto" w:fill="auto"/>
            <w:vAlign w:val="center"/>
          </w:tcPr>
          <w:p w14:paraId="221A28E8">
            <w:pPr>
              <w:keepNext w:val="0"/>
              <w:keepLines w:val="0"/>
              <w:pageBreakBefore w:val="0"/>
              <w:widowControl/>
              <w:wordWrap/>
              <w:overflowPunct/>
              <w:topLinePunct w:val="0"/>
              <w:bidi w:val="0"/>
              <w:spacing w:line="240" w:lineRule="auto"/>
              <w:ind w:firstLine="0" w:firstLineChars="0"/>
              <w:jc w:val="center"/>
              <w:rPr>
                <w:rFonts w:cs="Times New Roman"/>
                <w:sz w:val="21"/>
              </w:rPr>
            </w:pPr>
          </w:p>
        </w:tc>
        <w:tc>
          <w:tcPr>
            <w:tcW w:w="674" w:type="dxa"/>
            <w:shd w:val="clear" w:color="auto" w:fill="auto"/>
            <w:vAlign w:val="center"/>
          </w:tcPr>
          <w:p w14:paraId="60A006B9">
            <w:pPr>
              <w:keepNext w:val="0"/>
              <w:keepLines w:val="0"/>
              <w:pageBreakBefore w:val="0"/>
              <w:widowControl/>
              <w:wordWrap/>
              <w:overflowPunct/>
              <w:topLinePunct w:val="0"/>
              <w:bidi w:val="0"/>
              <w:spacing w:line="240" w:lineRule="auto"/>
              <w:ind w:firstLine="0" w:firstLineChars="0"/>
              <w:jc w:val="center"/>
              <w:rPr>
                <w:rFonts w:cs="Times New Roman"/>
                <w:sz w:val="21"/>
              </w:rPr>
            </w:pPr>
          </w:p>
        </w:tc>
        <w:tc>
          <w:tcPr>
            <w:tcW w:w="674" w:type="dxa"/>
            <w:shd w:val="clear" w:color="auto" w:fill="auto"/>
            <w:vAlign w:val="center"/>
          </w:tcPr>
          <w:p w14:paraId="762EDB1E">
            <w:pPr>
              <w:keepNext w:val="0"/>
              <w:keepLines w:val="0"/>
              <w:pageBreakBefore w:val="0"/>
              <w:widowControl/>
              <w:wordWrap/>
              <w:overflowPunct/>
              <w:topLinePunct w:val="0"/>
              <w:bidi w:val="0"/>
              <w:spacing w:line="240" w:lineRule="auto"/>
              <w:ind w:firstLine="0" w:firstLineChars="0"/>
              <w:jc w:val="center"/>
              <w:rPr>
                <w:rFonts w:cs="Times New Roman"/>
                <w:sz w:val="21"/>
              </w:rPr>
            </w:pPr>
          </w:p>
        </w:tc>
        <w:tc>
          <w:tcPr>
            <w:tcW w:w="674" w:type="dxa"/>
            <w:shd w:val="clear" w:color="auto" w:fill="auto"/>
            <w:vAlign w:val="center"/>
          </w:tcPr>
          <w:p w14:paraId="7E990E06">
            <w:pPr>
              <w:keepNext w:val="0"/>
              <w:keepLines w:val="0"/>
              <w:pageBreakBefore w:val="0"/>
              <w:widowControl/>
              <w:wordWrap/>
              <w:overflowPunct/>
              <w:topLinePunct w:val="0"/>
              <w:bidi w:val="0"/>
              <w:spacing w:line="240" w:lineRule="auto"/>
              <w:ind w:firstLine="0" w:firstLineChars="0"/>
              <w:jc w:val="center"/>
              <w:rPr>
                <w:rFonts w:cs="Times New Roman"/>
                <w:sz w:val="21"/>
              </w:rPr>
            </w:pPr>
          </w:p>
        </w:tc>
        <w:tc>
          <w:tcPr>
            <w:tcW w:w="674" w:type="dxa"/>
            <w:shd w:val="clear" w:color="auto" w:fill="auto"/>
            <w:vAlign w:val="center"/>
          </w:tcPr>
          <w:p w14:paraId="50BBED65">
            <w:pPr>
              <w:keepNext w:val="0"/>
              <w:keepLines w:val="0"/>
              <w:pageBreakBefore w:val="0"/>
              <w:widowControl/>
              <w:wordWrap/>
              <w:overflowPunct/>
              <w:topLinePunct w:val="0"/>
              <w:bidi w:val="0"/>
              <w:spacing w:line="240" w:lineRule="auto"/>
              <w:ind w:firstLine="0" w:firstLineChars="0"/>
              <w:jc w:val="center"/>
              <w:rPr>
                <w:rFonts w:cs="Times New Roman"/>
                <w:sz w:val="21"/>
              </w:rPr>
            </w:pPr>
          </w:p>
        </w:tc>
        <w:tc>
          <w:tcPr>
            <w:tcW w:w="674" w:type="dxa"/>
            <w:shd w:val="clear" w:color="auto" w:fill="auto"/>
            <w:vAlign w:val="center"/>
          </w:tcPr>
          <w:p w14:paraId="548F2736">
            <w:pPr>
              <w:keepNext w:val="0"/>
              <w:keepLines w:val="0"/>
              <w:pageBreakBefore w:val="0"/>
              <w:widowControl/>
              <w:wordWrap/>
              <w:overflowPunct/>
              <w:topLinePunct w:val="0"/>
              <w:bidi w:val="0"/>
              <w:spacing w:line="240" w:lineRule="auto"/>
              <w:ind w:firstLine="0" w:firstLineChars="0"/>
              <w:jc w:val="center"/>
              <w:rPr>
                <w:rFonts w:cs="Times New Roman"/>
                <w:sz w:val="21"/>
              </w:rPr>
            </w:pPr>
          </w:p>
        </w:tc>
        <w:tc>
          <w:tcPr>
            <w:tcW w:w="674" w:type="dxa"/>
            <w:shd w:val="clear" w:color="auto" w:fill="auto"/>
            <w:vAlign w:val="center"/>
          </w:tcPr>
          <w:p w14:paraId="12E0358F">
            <w:pPr>
              <w:keepNext w:val="0"/>
              <w:keepLines w:val="0"/>
              <w:pageBreakBefore w:val="0"/>
              <w:widowControl/>
              <w:wordWrap/>
              <w:overflowPunct/>
              <w:topLinePunct w:val="0"/>
              <w:bidi w:val="0"/>
              <w:spacing w:line="240" w:lineRule="auto"/>
              <w:ind w:firstLine="0" w:firstLineChars="0"/>
              <w:jc w:val="center"/>
              <w:rPr>
                <w:rFonts w:cs="Times New Roman"/>
                <w:sz w:val="21"/>
              </w:rPr>
            </w:pPr>
          </w:p>
        </w:tc>
        <w:tc>
          <w:tcPr>
            <w:tcW w:w="675" w:type="dxa"/>
            <w:shd w:val="clear" w:color="auto" w:fill="auto"/>
            <w:vAlign w:val="center"/>
          </w:tcPr>
          <w:p w14:paraId="3E737ADA">
            <w:pPr>
              <w:keepNext w:val="0"/>
              <w:keepLines w:val="0"/>
              <w:pageBreakBefore w:val="0"/>
              <w:widowControl/>
              <w:wordWrap/>
              <w:overflowPunct/>
              <w:topLinePunct w:val="0"/>
              <w:bidi w:val="0"/>
              <w:spacing w:line="240" w:lineRule="auto"/>
              <w:ind w:firstLine="0" w:firstLineChars="0"/>
              <w:jc w:val="center"/>
              <w:rPr>
                <w:rFonts w:cs="Times New Roman"/>
                <w:sz w:val="21"/>
              </w:rPr>
            </w:pPr>
          </w:p>
        </w:tc>
        <w:tc>
          <w:tcPr>
            <w:tcW w:w="674" w:type="dxa"/>
            <w:shd w:val="clear" w:color="auto" w:fill="auto"/>
            <w:vAlign w:val="center"/>
          </w:tcPr>
          <w:p w14:paraId="6F3CD71B">
            <w:pPr>
              <w:keepNext w:val="0"/>
              <w:keepLines w:val="0"/>
              <w:pageBreakBefore w:val="0"/>
              <w:widowControl/>
              <w:wordWrap/>
              <w:overflowPunct/>
              <w:topLinePunct w:val="0"/>
              <w:bidi w:val="0"/>
              <w:spacing w:line="240" w:lineRule="auto"/>
              <w:ind w:firstLine="0" w:firstLineChars="0"/>
              <w:jc w:val="center"/>
              <w:rPr>
                <w:rFonts w:cs="Times New Roman"/>
                <w:sz w:val="21"/>
              </w:rPr>
            </w:pPr>
          </w:p>
        </w:tc>
        <w:tc>
          <w:tcPr>
            <w:tcW w:w="675" w:type="dxa"/>
            <w:shd w:val="clear" w:color="auto" w:fill="auto"/>
            <w:vAlign w:val="center"/>
          </w:tcPr>
          <w:p w14:paraId="0C1525D1">
            <w:pPr>
              <w:keepNext w:val="0"/>
              <w:keepLines w:val="0"/>
              <w:pageBreakBefore w:val="0"/>
              <w:widowControl/>
              <w:wordWrap/>
              <w:overflowPunct/>
              <w:topLinePunct w:val="0"/>
              <w:bidi w:val="0"/>
              <w:spacing w:line="240" w:lineRule="auto"/>
              <w:ind w:firstLine="0" w:firstLineChars="0"/>
              <w:jc w:val="center"/>
              <w:rPr>
                <w:rFonts w:cs="Times New Roman"/>
                <w:sz w:val="21"/>
              </w:rPr>
            </w:pPr>
          </w:p>
        </w:tc>
        <w:tc>
          <w:tcPr>
            <w:tcW w:w="674" w:type="dxa"/>
            <w:shd w:val="clear" w:color="auto" w:fill="auto"/>
            <w:vAlign w:val="center"/>
          </w:tcPr>
          <w:p w14:paraId="225871E8">
            <w:pPr>
              <w:keepNext w:val="0"/>
              <w:keepLines w:val="0"/>
              <w:pageBreakBefore w:val="0"/>
              <w:widowControl/>
              <w:wordWrap/>
              <w:overflowPunct/>
              <w:topLinePunct w:val="0"/>
              <w:bidi w:val="0"/>
              <w:spacing w:line="240" w:lineRule="auto"/>
              <w:ind w:firstLine="0" w:firstLineChars="0"/>
              <w:jc w:val="center"/>
              <w:rPr>
                <w:rFonts w:cs="Times New Roman"/>
                <w:sz w:val="21"/>
              </w:rPr>
            </w:pPr>
          </w:p>
        </w:tc>
        <w:tc>
          <w:tcPr>
            <w:tcW w:w="675" w:type="dxa"/>
            <w:shd w:val="clear" w:color="auto" w:fill="auto"/>
            <w:vAlign w:val="center"/>
          </w:tcPr>
          <w:p w14:paraId="3616A6DA">
            <w:pPr>
              <w:keepNext w:val="0"/>
              <w:keepLines w:val="0"/>
              <w:pageBreakBefore w:val="0"/>
              <w:widowControl/>
              <w:wordWrap/>
              <w:overflowPunct/>
              <w:topLinePunct w:val="0"/>
              <w:bidi w:val="0"/>
              <w:spacing w:line="240" w:lineRule="auto"/>
              <w:ind w:firstLine="0" w:firstLineChars="0"/>
              <w:jc w:val="center"/>
              <w:rPr>
                <w:rFonts w:cs="Times New Roman"/>
                <w:sz w:val="21"/>
              </w:rPr>
            </w:pPr>
          </w:p>
        </w:tc>
        <w:tc>
          <w:tcPr>
            <w:tcW w:w="509" w:type="dxa"/>
            <w:shd w:val="clear" w:color="auto" w:fill="auto"/>
            <w:vAlign w:val="center"/>
          </w:tcPr>
          <w:p w14:paraId="1E0BBD4F">
            <w:pPr>
              <w:keepNext w:val="0"/>
              <w:keepLines w:val="0"/>
              <w:pageBreakBefore w:val="0"/>
              <w:widowControl/>
              <w:wordWrap/>
              <w:overflowPunct/>
              <w:topLinePunct w:val="0"/>
              <w:bidi w:val="0"/>
              <w:spacing w:line="240" w:lineRule="auto"/>
              <w:ind w:firstLine="0" w:firstLineChars="0"/>
              <w:jc w:val="center"/>
              <w:rPr>
                <w:rFonts w:cs="Times New Roman"/>
                <w:sz w:val="21"/>
              </w:rPr>
            </w:pPr>
          </w:p>
        </w:tc>
        <w:tc>
          <w:tcPr>
            <w:tcW w:w="509" w:type="dxa"/>
            <w:shd w:val="clear" w:color="auto" w:fill="auto"/>
            <w:vAlign w:val="center"/>
          </w:tcPr>
          <w:p w14:paraId="436A3772">
            <w:pPr>
              <w:keepNext w:val="0"/>
              <w:keepLines w:val="0"/>
              <w:pageBreakBefore w:val="0"/>
              <w:widowControl/>
              <w:wordWrap/>
              <w:overflowPunct/>
              <w:topLinePunct w:val="0"/>
              <w:bidi w:val="0"/>
              <w:spacing w:line="240" w:lineRule="auto"/>
              <w:ind w:firstLine="0" w:firstLineChars="0"/>
              <w:jc w:val="center"/>
              <w:rPr>
                <w:rFonts w:cs="Times New Roman"/>
                <w:sz w:val="21"/>
              </w:rPr>
            </w:pPr>
          </w:p>
        </w:tc>
        <w:tc>
          <w:tcPr>
            <w:tcW w:w="510" w:type="dxa"/>
            <w:shd w:val="clear" w:color="auto" w:fill="auto"/>
            <w:noWrap/>
            <w:vAlign w:val="center"/>
          </w:tcPr>
          <w:p w14:paraId="5CDDEFA6">
            <w:pPr>
              <w:keepNext w:val="0"/>
              <w:keepLines w:val="0"/>
              <w:pageBreakBefore w:val="0"/>
              <w:widowControl/>
              <w:wordWrap/>
              <w:overflowPunct/>
              <w:topLinePunct w:val="0"/>
              <w:bidi w:val="0"/>
              <w:spacing w:line="240" w:lineRule="auto"/>
              <w:ind w:firstLine="0" w:firstLineChars="0"/>
              <w:jc w:val="center"/>
              <w:rPr>
                <w:rFonts w:cs="Times New Roman"/>
                <w:sz w:val="21"/>
              </w:rPr>
            </w:pPr>
          </w:p>
        </w:tc>
      </w:tr>
    </w:tbl>
    <w:p w14:paraId="25503F0A">
      <w:pPr>
        <w:pStyle w:val="7"/>
        <w:ind w:firstLine="480"/>
        <w:rPr>
          <w:rFonts w:cs="Times New Roman"/>
        </w:rPr>
      </w:pPr>
    </w:p>
    <w:p w14:paraId="35D0E102">
      <w:pPr>
        <w:ind w:firstLine="480"/>
        <w:rPr>
          <w:rFonts w:cs="Times New Roman"/>
        </w:rPr>
        <w:sectPr>
          <w:headerReference r:id="rId22" w:type="default"/>
          <w:footerReference r:id="rId23" w:type="default"/>
          <w:pgSz w:w="16843" w:h="11905" w:orient="landscape"/>
          <w:pgMar w:top="1803" w:right="1440" w:bottom="1406" w:left="1440" w:header="873" w:footer="1276" w:gutter="0"/>
          <w:cols w:space="0" w:num="1"/>
          <w:rtlGutter w:val="0"/>
          <w:docGrid w:linePitch="326" w:charSpace="0"/>
        </w:sectPr>
      </w:pPr>
    </w:p>
    <w:p w14:paraId="189D4756">
      <w:pPr>
        <w:pStyle w:val="4"/>
      </w:pPr>
      <w:bookmarkStart w:id="22" w:name="_Toc2198"/>
      <w:r>
        <w:t>2.1.6森林质量</w:t>
      </w:r>
      <w:bookmarkEnd w:id="22"/>
    </w:p>
    <w:p w14:paraId="64C66071">
      <w:pPr>
        <w:ind w:firstLine="480"/>
        <w:rPr>
          <w:lang w:eastAsia="zh-CN"/>
        </w:rPr>
      </w:pPr>
      <w:r>
        <w:rPr>
          <w:lang w:eastAsia="zh-CN"/>
        </w:rPr>
        <w:t>杉木组单位面积蓄积</w:t>
      </w:r>
      <w:r>
        <w:rPr>
          <w:rFonts w:hint="eastAsia"/>
          <w:lang w:eastAsia="zh-CN"/>
        </w:rPr>
        <w:t>154.4</w:t>
      </w:r>
      <w:r>
        <w:rPr>
          <w:lang w:eastAsia="zh-CN"/>
        </w:rPr>
        <w:t>m</w:t>
      </w:r>
      <w:r>
        <w:rPr>
          <w:vertAlign w:val="superscript"/>
          <w:lang w:eastAsia="zh-CN"/>
        </w:rPr>
        <w:t>3</w:t>
      </w:r>
      <w:r>
        <w:rPr>
          <w:lang w:eastAsia="zh-CN"/>
        </w:rPr>
        <w:t>，马尾松组单位面积蓄积</w:t>
      </w:r>
      <w:r>
        <w:rPr>
          <w:rFonts w:hint="eastAsia"/>
          <w:lang w:eastAsia="zh-CN"/>
        </w:rPr>
        <w:t>104.1</w:t>
      </w:r>
      <w:r>
        <w:rPr>
          <w:lang w:eastAsia="zh-CN"/>
        </w:rPr>
        <w:t>m</w:t>
      </w:r>
      <w:r>
        <w:rPr>
          <w:vertAlign w:val="superscript"/>
          <w:lang w:eastAsia="zh-CN"/>
        </w:rPr>
        <w:t>3</w:t>
      </w:r>
      <w:r>
        <w:rPr>
          <w:lang w:eastAsia="zh-CN"/>
        </w:rPr>
        <w:t>，阔叶树组单位面积蓄积</w:t>
      </w:r>
      <w:r>
        <w:rPr>
          <w:rFonts w:hint="eastAsia"/>
          <w:lang w:eastAsia="zh-CN"/>
        </w:rPr>
        <w:t>63.86</w:t>
      </w:r>
      <w:r>
        <w:rPr>
          <w:lang w:eastAsia="zh-CN"/>
        </w:rPr>
        <w:t>m</w:t>
      </w:r>
      <w:r>
        <w:rPr>
          <w:vertAlign w:val="superscript"/>
          <w:lang w:eastAsia="zh-CN"/>
        </w:rPr>
        <w:t>3</w:t>
      </w:r>
      <w:r>
        <w:rPr>
          <w:lang w:eastAsia="zh-CN"/>
        </w:rPr>
        <w:t>。</w:t>
      </w:r>
    </w:p>
    <w:p w14:paraId="296EC3B7">
      <w:pPr>
        <w:pStyle w:val="4"/>
      </w:pPr>
      <w:bookmarkStart w:id="23" w:name="_Toc26017"/>
      <w:r>
        <w:t>2.1.7自然景观资源分析</w:t>
      </w:r>
      <w:bookmarkEnd w:id="23"/>
    </w:p>
    <w:p w14:paraId="19571634">
      <w:pPr>
        <w:ind w:firstLine="480"/>
        <w:rPr>
          <w:lang w:eastAsia="zh-CN"/>
        </w:rPr>
      </w:pPr>
      <w:r>
        <w:rPr>
          <w:rFonts w:hint="eastAsia"/>
          <w:lang w:eastAsia="zh-CN"/>
        </w:rPr>
        <w:t>(</w:t>
      </w:r>
      <w:r>
        <w:rPr>
          <w:lang w:eastAsia="zh-CN"/>
        </w:rPr>
        <w:t>1</w:t>
      </w:r>
      <w:r>
        <w:rPr>
          <w:rFonts w:hint="eastAsia"/>
          <w:lang w:eastAsia="zh-CN"/>
        </w:rPr>
        <w:t>)</w:t>
      </w:r>
      <w:r>
        <w:rPr>
          <w:lang w:eastAsia="zh-CN"/>
        </w:rPr>
        <w:t>生物景观资源调查</w:t>
      </w:r>
    </w:p>
    <w:p w14:paraId="3CFB90BF">
      <w:pPr>
        <w:ind w:firstLine="480"/>
        <w:rPr>
          <w:lang w:eastAsia="zh-CN"/>
        </w:rPr>
      </w:pPr>
      <w:r>
        <w:rPr>
          <w:rFonts w:hint="eastAsia" w:cs="宋体"/>
          <w:lang w:eastAsia="zh-CN"/>
        </w:rPr>
        <w:t>①</w:t>
      </w:r>
      <w:r>
        <w:rPr>
          <w:lang w:eastAsia="zh-CN"/>
        </w:rPr>
        <w:t>植物景观</w:t>
      </w:r>
    </w:p>
    <w:p w14:paraId="19ECD0A5">
      <w:pPr>
        <w:ind w:firstLine="482"/>
        <w:rPr>
          <w:lang w:eastAsia="zh-CN"/>
        </w:rPr>
      </w:pPr>
      <w:r>
        <w:rPr>
          <w:rFonts w:cs="Times New Roman"/>
          <w:b/>
          <w:bCs/>
          <w:szCs w:val="24"/>
          <w:lang w:eastAsia="zh-CN"/>
        </w:rPr>
        <w:drawing>
          <wp:anchor distT="0" distB="0" distL="114300" distR="114300" simplePos="0" relativeHeight="251669504" behindDoc="1" locked="0" layoutInCell="1" allowOverlap="1">
            <wp:simplePos x="0" y="0"/>
            <wp:positionH relativeFrom="margin">
              <wp:align>center</wp:align>
            </wp:positionH>
            <wp:positionV relativeFrom="margin">
              <wp:posOffset>3139440</wp:posOffset>
            </wp:positionV>
            <wp:extent cx="5012055" cy="3285490"/>
            <wp:effectExtent l="0" t="0" r="0" b="0"/>
            <wp:wrapTight wrapText="bothSides">
              <wp:wrapPolygon>
                <wp:start x="0" y="0"/>
                <wp:lineTo x="0" y="21416"/>
                <wp:lineTo x="21510" y="21416"/>
                <wp:lineTo x="21510" y="0"/>
                <wp:lineTo x="0" y="0"/>
              </wp:wrapPolygon>
            </wp:wrapTight>
            <wp:docPr id="142" name="图片 38" descr="秋之阳明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38" descr="秋之阳明6"/>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012055" cy="3285490"/>
                    </a:xfrm>
                    <a:prstGeom prst="rect">
                      <a:avLst/>
                    </a:prstGeom>
                    <a:noFill/>
                    <a:ln>
                      <a:noFill/>
                    </a:ln>
                  </pic:spPr>
                </pic:pic>
              </a:graphicData>
            </a:graphic>
          </wp:anchor>
        </w:drawing>
      </w:r>
      <w:r>
        <w:rPr>
          <w:b/>
          <w:bCs/>
          <w:lang w:eastAsia="zh-CN"/>
        </w:rPr>
        <w:t>原始次生林群落：</w:t>
      </w:r>
      <w:r>
        <w:rPr>
          <w:lang w:eastAsia="zh-CN"/>
        </w:rPr>
        <w:t>万寿寺周围，有成片大面积的次生林。遮天蔽日的古树被古藤缠绕，浓荫如盖，树身刻印着岁月的沧桑，共守佛祖这片荫地，有</w:t>
      </w:r>
      <w:r>
        <w:rPr>
          <w:rFonts w:hint="eastAsia"/>
          <w:lang w:eastAsia="zh-CN"/>
        </w:rPr>
        <w:t>“</w:t>
      </w:r>
      <w:r>
        <w:rPr>
          <w:lang w:eastAsia="zh-CN"/>
        </w:rPr>
        <w:t>蝉噪林欲静，鸟鸣山更幽</w:t>
      </w:r>
      <w:r>
        <w:rPr>
          <w:rFonts w:hint="eastAsia"/>
          <w:lang w:eastAsia="zh-CN"/>
        </w:rPr>
        <w:t>”</w:t>
      </w:r>
      <w:r>
        <w:rPr>
          <w:lang w:eastAsia="zh-CN"/>
        </w:rPr>
        <w:t>的诗情画意。</w:t>
      </w:r>
    </w:p>
    <w:p w14:paraId="2D0D1AF1">
      <w:pPr>
        <w:ind w:firstLine="482"/>
        <w:rPr>
          <w:lang w:eastAsia="zh-CN"/>
        </w:rPr>
      </w:pPr>
      <w:r>
        <w:rPr>
          <w:b/>
          <w:bCs/>
          <w:lang w:eastAsia="zh-CN"/>
        </w:rPr>
        <w:t>天下第一杜鹃红：</w:t>
      </w:r>
      <w:r>
        <w:rPr>
          <w:rFonts w:hint="eastAsia"/>
          <w:lang w:eastAsia="zh-CN"/>
        </w:rPr>
        <w:t>“</w:t>
      </w:r>
      <w:r>
        <w:rPr>
          <w:lang w:eastAsia="zh-CN"/>
        </w:rPr>
        <w:t>人间四月芳菲尽，阳明杜鹃始盛开</w:t>
      </w:r>
      <w:r>
        <w:rPr>
          <w:rFonts w:hint="eastAsia"/>
          <w:lang w:eastAsia="zh-CN"/>
        </w:rPr>
        <w:t>”</w:t>
      </w:r>
      <w:r>
        <w:rPr>
          <w:lang w:eastAsia="zh-CN"/>
        </w:rPr>
        <w:t>。</w:t>
      </w:r>
      <w:r>
        <w:rPr>
          <w:rFonts w:hint="eastAsia"/>
          <w:lang w:eastAsia="zh-CN"/>
        </w:rPr>
        <w:t>“</w:t>
      </w:r>
      <w:r>
        <w:rPr>
          <w:lang w:eastAsia="zh-CN"/>
        </w:rPr>
        <w:t>五一</w:t>
      </w:r>
      <w:r>
        <w:rPr>
          <w:rFonts w:hint="eastAsia"/>
          <w:lang w:eastAsia="zh-CN"/>
        </w:rPr>
        <w:t>”</w:t>
      </w:r>
      <w:r>
        <w:rPr>
          <w:lang w:eastAsia="zh-CN"/>
        </w:rPr>
        <w:t>前后，远近的杜鹃花容消香尽，但阳明山的杜鹃花，树翠叶绿汇成绿色海洋，几十种野生高山杜鹃竞相开放，绚丽多彩，花期达一月之久，绵延数十里，蔚为壮观。2004年5月初，当阳明山杜鹃花开得最艳丽的时候，国家环保部副部长潘岳来此参观考察，他被这满山遍野的杜鹃花深深地吸引住了，感慨不已，顿时诗兴大发，连夜写下了脍炙人口的《天下第一杜鹃红》，并刻大理石碑立于花海脚下。阳明山野生杜鹃花生长茂密、高矮一致、分布均匀、种类丰富，有满山红、鹿角杜鹃、云锦杜鹃等28类，还有一种是阳明山特有的</w:t>
      </w:r>
      <w:r>
        <w:rPr>
          <w:rFonts w:hint="eastAsia"/>
          <w:lang w:eastAsia="zh-CN"/>
        </w:rPr>
        <w:t>“</w:t>
      </w:r>
      <w:r>
        <w:rPr>
          <w:lang w:eastAsia="zh-CN"/>
        </w:rPr>
        <w:t>阳明山杜鹃</w:t>
      </w:r>
      <w:r>
        <w:rPr>
          <w:rFonts w:hint="eastAsia"/>
          <w:lang w:eastAsia="zh-CN"/>
        </w:rPr>
        <w:t>”</w:t>
      </w:r>
      <w:r>
        <w:rPr>
          <w:lang w:eastAsia="zh-CN"/>
        </w:rPr>
        <w:t>。阳明山杜鹃花海面积大、树种纯、花色多、颜色艳，</w:t>
      </w:r>
      <w:r>
        <w:rPr>
          <w:rFonts w:cs="Times New Roman"/>
          <w:b/>
          <w:bCs/>
          <w:szCs w:val="24"/>
          <w:lang w:eastAsia="zh-CN"/>
        </w:rPr>
        <w:drawing>
          <wp:anchor distT="0" distB="0" distL="114300" distR="114300" simplePos="0" relativeHeight="251668480" behindDoc="0" locked="0" layoutInCell="1" allowOverlap="1">
            <wp:simplePos x="0" y="0"/>
            <wp:positionH relativeFrom="margin">
              <wp:align>center</wp:align>
            </wp:positionH>
            <wp:positionV relativeFrom="margin">
              <wp:posOffset>952500</wp:posOffset>
            </wp:positionV>
            <wp:extent cx="5615940" cy="2979420"/>
            <wp:effectExtent l="0" t="0" r="3810" b="0"/>
            <wp:wrapTopAndBottom/>
            <wp:docPr id="143" name="图片 39" descr="杜鹃花海 摄影：王克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39" descr="杜鹃花海 摄影：王克英"/>
                    <pic:cNvPicPr>
                      <a:picLocks noChangeAspect="1"/>
                    </pic:cNvPicPr>
                  </pic:nvPicPr>
                  <pic:blipFill>
                    <a:blip r:embed="rId52"/>
                    <a:stretch>
                      <a:fillRect/>
                    </a:stretch>
                  </pic:blipFill>
                  <pic:spPr>
                    <a:xfrm>
                      <a:off x="0" y="0"/>
                      <a:ext cx="5615940" cy="2979420"/>
                    </a:xfrm>
                    <a:prstGeom prst="rect">
                      <a:avLst/>
                    </a:prstGeom>
                    <a:noFill/>
                    <a:ln>
                      <a:noFill/>
                    </a:ln>
                  </pic:spPr>
                </pic:pic>
              </a:graphicData>
            </a:graphic>
          </wp:anchor>
        </w:drawing>
      </w:r>
      <w:r>
        <w:rPr>
          <w:lang w:eastAsia="zh-CN"/>
        </w:rPr>
        <w:t>2006年列入了大世界吉尼斯记录。</w:t>
      </w:r>
    </w:p>
    <w:p w14:paraId="6ACF5096">
      <w:pPr>
        <w:spacing w:before="51"/>
        <w:ind w:firstLine="482"/>
        <w:rPr>
          <w:rFonts w:cs="Times New Roman"/>
          <w:szCs w:val="24"/>
          <w:lang w:eastAsia="zh-CN"/>
        </w:rPr>
      </w:pPr>
      <w:r>
        <w:rPr>
          <w:rFonts w:cs="Times New Roman"/>
          <w:b/>
          <w:bCs/>
          <w:szCs w:val="24"/>
          <w:lang w:eastAsia="zh-CN"/>
        </w:rPr>
        <w:t>黄杉独秀：</w:t>
      </w:r>
      <w:r>
        <w:rPr>
          <w:rFonts w:cs="Times New Roman"/>
          <w:szCs w:val="24"/>
          <w:lang w:eastAsia="zh-CN"/>
        </w:rPr>
        <w:t>位于北江冲景区。黄杉属国家二级保护植物，尚无人工种植成功之例。它的叶子似松又似杉，还有点像柏。树杆亭亭，树枝横展，树根裸露，许多树还是从石头缝里挤出来的。阳明山有南方最大的黄杉群落，面积达数千亩，目前除了我国东部福建有这样的黄杉群落，阳明山是最大的一块。</w:t>
      </w:r>
    </w:p>
    <w:p w14:paraId="2E537DCF">
      <w:pPr>
        <w:ind w:firstLine="482"/>
        <w:rPr>
          <w:lang w:eastAsia="zh-CN"/>
        </w:rPr>
      </w:pPr>
      <w:r>
        <w:rPr>
          <w:b/>
          <w:bCs/>
          <w:lang w:eastAsia="zh-CN"/>
        </w:rPr>
        <w:t>幽静林：</w:t>
      </w:r>
      <w:r>
        <w:rPr>
          <w:lang w:eastAsia="zh-CN"/>
        </w:rPr>
        <w:t>位于北江冲景区，拥有黄杉、南方红豆杉、金钱松、光叶玉兰等20多种国家重点保护植物。四周景观优美，溪水碧蓝纯清，小溪两岸山色秀美，林木葱郁，翠峰倒影，浑然一体。特别是其中的金钱松群落，是世界五大庭园观赏树种之一，属国家Ⅱ级重点保护植物。树姿秀雅整齐，春季长出嫩绿色幼叶，入秋树叶变成金黄色，犹如</w:t>
      </w:r>
      <w:r>
        <w:rPr>
          <w:rFonts w:hint="eastAsia"/>
          <w:lang w:eastAsia="zh-CN"/>
        </w:rPr>
        <w:t>“</w:t>
      </w:r>
      <w:r>
        <w:rPr>
          <w:lang w:eastAsia="zh-CN"/>
        </w:rPr>
        <w:t>林中的少女</w:t>
      </w:r>
      <w:r>
        <w:rPr>
          <w:rFonts w:hint="eastAsia"/>
          <w:lang w:eastAsia="zh-CN"/>
        </w:rPr>
        <w:t>”</w:t>
      </w:r>
      <w:r>
        <w:rPr>
          <w:lang w:eastAsia="zh-CN"/>
        </w:rPr>
        <w:t>在水边梳妆打扮，是一幅天然</w:t>
      </w:r>
      <w:r>
        <w:rPr>
          <w:rFonts w:hint="eastAsia"/>
          <w:lang w:eastAsia="zh-CN"/>
        </w:rPr>
        <w:t>的</w:t>
      </w:r>
      <w:r>
        <w:rPr>
          <w:lang w:eastAsia="zh-CN"/>
        </w:rPr>
        <w:t>油画，极富观赏价值。</w:t>
      </w:r>
    </w:p>
    <w:p w14:paraId="540E36A7">
      <w:pPr>
        <w:spacing w:before="51"/>
        <w:ind w:firstLine="480"/>
        <w:jc w:val="center"/>
        <w:rPr>
          <w:rFonts w:cs="Times New Roman"/>
          <w:szCs w:val="24"/>
          <w:lang w:eastAsia="zh-CN"/>
        </w:rPr>
      </w:pPr>
      <w:r>
        <w:rPr>
          <w:rFonts w:cs="Times New Roman"/>
          <w:szCs w:val="24"/>
          <w:lang w:eastAsia="zh-CN"/>
        </w:rPr>
        <w:drawing>
          <wp:inline distT="0" distB="0" distL="0" distR="0">
            <wp:extent cx="4898390" cy="2279015"/>
            <wp:effectExtent l="0" t="0" r="0" b="6985"/>
            <wp:docPr id="129" name="图片 25" descr="幽静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25" descr="幽静林"/>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4898390" cy="2279015"/>
                    </a:xfrm>
                    <a:prstGeom prst="rect">
                      <a:avLst/>
                    </a:prstGeom>
                    <a:noFill/>
                    <a:ln>
                      <a:noFill/>
                    </a:ln>
                  </pic:spPr>
                </pic:pic>
              </a:graphicData>
            </a:graphic>
          </wp:inline>
        </w:drawing>
      </w:r>
    </w:p>
    <w:p w14:paraId="4053974F">
      <w:pPr>
        <w:ind w:firstLine="482"/>
        <w:rPr>
          <w:lang w:eastAsia="zh-CN"/>
        </w:rPr>
      </w:pPr>
      <w:r>
        <w:rPr>
          <w:b/>
          <w:bCs/>
          <w:lang w:eastAsia="zh-CN"/>
        </w:rPr>
        <w:t>幸福树：</w:t>
      </w:r>
      <w:r>
        <w:rPr>
          <w:lang w:eastAsia="zh-CN"/>
        </w:rPr>
        <w:t>位于小黄江源景区，又名阴阳根，是由几株树组合而成的奇特丛树。在两棵连根同种树的根部，长有另一小树，形成了三树同根、一家三口相互恩爱的奇景。</w:t>
      </w:r>
    </w:p>
    <w:p w14:paraId="61E08817">
      <w:pPr>
        <w:ind w:firstLine="482"/>
        <w:rPr>
          <w:lang w:eastAsia="zh-CN"/>
        </w:rPr>
      </w:pPr>
      <w:r>
        <w:rPr>
          <w:b/>
          <w:bCs/>
          <w:lang w:eastAsia="zh-CN"/>
        </w:rPr>
        <w:t>恋人竹：</w:t>
      </w:r>
      <w:r>
        <w:rPr>
          <w:lang w:eastAsia="zh-CN"/>
        </w:rPr>
        <w:t>阳明山是竹的海洋，竹是阳明山的灵魂。在这片浩瀚的竹海里，有世上罕见的鸳鸯竹。小溪对面的竹林里，常见两棵修竹同根并生，一般粗细，竹节对应，像一对对并肩而立、情意绵绵的恋人。这里繁衍着华中和华南的毛竹、方竹、水竹、冻竹、墨竹、斑竹、窈竹、吊竹、实心竹、罗汉竹等26种竹类植物。这里的楠竹制出来的筷子是通气的，你打一碗清水，取一根新筷子，将筷子的一头浸在水中，一头含在口里，鼓气一吹就会看见筷子浸水的一头周围泡沫四起，妙不可言。</w:t>
      </w:r>
    </w:p>
    <w:p w14:paraId="7DD1C4C0">
      <w:pPr>
        <w:ind w:firstLine="480"/>
        <w:rPr>
          <w:lang w:eastAsia="zh-CN"/>
        </w:rPr>
      </w:pPr>
      <w:r>
        <w:rPr>
          <w:rFonts w:hint="eastAsia" w:cs="宋体"/>
          <w:lang w:eastAsia="zh-CN"/>
        </w:rPr>
        <w:t>②</w:t>
      </w:r>
      <w:r>
        <w:rPr>
          <w:lang w:eastAsia="zh-CN"/>
        </w:rPr>
        <w:t>野生动物景观</w:t>
      </w:r>
    </w:p>
    <w:p w14:paraId="7375F741">
      <w:pPr>
        <w:ind w:firstLine="480"/>
        <w:rPr>
          <w:lang w:eastAsia="zh-CN"/>
        </w:rPr>
      </w:pPr>
      <w:r>
        <w:rPr>
          <w:lang w:eastAsia="zh-CN"/>
        </w:rPr>
        <w:t>阳明山林场现已记录220种脊椎动物，隶属于4纲、24目、67科。公园内野生动物外形多样奇特，行为丰富有趣，观赏娱乐价值高。公园动物景观资源情况大致如下：</w:t>
      </w:r>
    </w:p>
    <w:p w14:paraId="0F9B5C0C">
      <w:pPr>
        <w:ind w:firstLine="482"/>
        <w:rPr>
          <w:lang w:eastAsia="zh-CN"/>
        </w:rPr>
      </w:pPr>
      <w:r>
        <w:rPr>
          <w:b/>
          <w:bCs/>
          <w:lang w:eastAsia="zh-CN"/>
        </w:rPr>
        <w:t>人工林动物群落：</w:t>
      </w:r>
      <w:r>
        <w:rPr>
          <w:lang w:eastAsia="zh-CN"/>
        </w:rPr>
        <w:t>公园的人工杉木林和竹林的生态环境中生活着许多适应森林环境的动物。常见的鸟类为陆禽、攀禽和鸣禽类，例如灰胸竹鸡、领雀嘴鹎、白头鹎、松鸦、白颊躁鹛、棕头鸦雀等。常见的哺乳动物有华南兔、赤腹松鼠、银星竹鼠等。</w:t>
      </w:r>
    </w:p>
    <w:p w14:paraId="5626ED55">
      <w:pPr>
        <w:ind w:firstLine="482"/>
        <w:rPr>
          <w:lang w:eastAsia="zh-CN"/>
        </w:rPr>
      </w:pPr>
      <w:r>
        <w:rPr>
          <w:b/>
          <w:bCs/>
          <w:lang w:eastAsia="zh-CN"/>
        </w:rPr>
        <w:t>次生林动物群落：</w:t>
      </w:r>
      <w:r>
        <w:rPr>
          <w:lang w:eastAsia="zh-CN"/>
        </w:rPr>
        <w:t>公园保存着较大面积的原始次生林，在这种生态环境下动物的种类繁多，生物多样性较高。常见的鸟类为陆禽、攀禽、鸣禽和猛禽类，如灰胸竹鸡、红腹锦鸡、黑脸噪鹛、白颊噪鹛、灰眶雀鹛、棕头鸦雀、斑头鸺鹠等。常见的哺乳动物有华南兔、赤腹松鼠、豪猪、银星竹鼠、猪獾、野猪等。</w:t>
      </w:r>
    </w:p>
    <w:p w14:paraId="2E6BBFD4">
      <w:pPr>
        <w:ind w:firstLine="482"/>
        <w:rPr>
          <w:lang w:eastAsia="zh-CN"/>
        </w:rPr>
      </w:pPr>
      <w:r>
        <w:rPr>
          <w:b/>
          <w:bCs/>
          <w:lang w:eastAsia="zh-CN"/>
        </w:rPr>
        <w:t>水库、池塘岸边动物群落：</w:t>
      </w:r>
      <w:r>
        <w:rPr>
          <w:lang w:eastAsia="zh-CN"/>
        </w:rPr>
        <w:t>公园内有万和湖和多处瀑布，湿地资源丰富，为各种湿地水鸟提供了适宜的生存环境。如：白鹭、夜鹭、黄苇鳽、栗苇鳽等涉禽。</w:t>
      </w:r>
    </w:p>
    <w:p w14:paraId="76AAFBB5">
      <w:pPr>
        <w:ind w:firstLine="482"/>
        <w:rPr>
          <w:lang w:eastAsia="zh-CN"/>
        </w:rPr>
      </w:pPr>
      <w:r>
        <w:rPr>
          <w:b/>
          <w:bCs/>
          <w:lang w:eastAsia="zh-CN"/>
        </w:rPr>
        <w:t>沟谷溪流岸边动物群落：</w:t>
      </w:r>
      <w:r>
        <w:rPr>
          <w:lang w:eastAsia="zh-CN"/>
        </w:rPr>
        <w:t>山林沟谷的溪流两岸，气温凉爽，湿度较大，常年流水不断，湿生植物丰富，生活在这种环境的动物群落主要由两栖爬行动物和鸟类构成。例如两栖动物的无斑肥螈、掌突蟾、小角蟾、华南湍蛙、斑腿树蛙、大树蛙等；爬行动物的赤链蛇、山溪后棱蛇、华游蛇、渔游蛇、银环蛇、竹叶青蛇等；鸟类的北红尾鸲、红尾水鸲、小燕尾、灰背燕尾、白额燕尾等。</w:t>
      </w:r>
    </w:p>
    <w:p w14:paraId="18874AD6">
      <w:pPr>
        <w:ind w:firstLine="480"/>
        <w:rPr>
          <w:lang w:eastAsia="zh-CN"/>
        </w:rPr>
      </w:pPr>
      <w:r>
        <w:rPr>
          <w:rFonts w:hint="eastAsia"/>
          <w:lang w:eastAsia="zh-CN"/>
        </w:rPr>
        <w:t>(</w:t>
      </w:r>
      <w:r>
        <w:rPr>
          <w:lang w:eastAsia="zh-CN"/>
        </w:rPr>
        <w:t>2</w:t>
      </w:r>
      <w:r>
        <w:rPr>
          <w:rFonts w:hint="eastAsia"/>
          <w:lang w:eastAsia="zh-CN"/>
        </w:rPr>
        <w:t>)</w:t>
      </w:r>
      <w:r>
        <w:rPr>
          <w:lang w:eastAsia="zh-CN"/>
        </w:rPr>
        <w:t>地文景观资源调查</w:t>
      </w:r>
    </w:p>
    <w:p w14:paraId="194EC5CB">
      <w:pPr>
        <w:ind w:firstLine="482"/>
        <w:rPr>
          <w:b/>
          <w:bCs/>
          <w:lang w:eastAsia="zh-CN"/>
        </w:rPr>
      </w:pPr>
      <w:r>
        <w:rPr>
          <w:b/>
          <w:bCs/>
          <w:lang w:eastAsia="zh-CN"/>
        </w:rPr>
        <w:t>望佛台</w:t>
      </w:r>
    </w:p>
    <w:p w14:paraId="7E06AC3F">
      <w:pPr>
        <w:ind w:firstLine="480"/>
        <w:rPr>
          <w:lang w:eastAsia="zh-CN"/>
        </w:rPr>
      </w:pPr>
      <w:r>
        <w:rPr>
          <w:rFonts w:hint="eastAsia"/>
          <w:lang w:eastAsia="zh-CN"/>
        </w:rPr>
        <w:t>“</w:t>
      </w:r>
      <w:r>
        <w:rPr>
          <w:lang w:eastAsia="zh-CN"/>
        </w:rPr>
        <w:t>望佛台</w:t>
      </w:r>
      <w:r>
        <w:rPr>
          <w:rFonts w:hint="eastAsia"/>
          <w:lang w:eastAsia="zh-CN"/>
        </w:rPr>
        <w:t>”</w:t>
      </w:r>
      <w:r>
        <w:rPr>
          <w:lang w:eastAsia="zh-CN"/>
        </w:rPr>
        <w:t>为阳明山的最高峰，海拔高达1624.6m。在其陡峭的山顶上，有块平地二亩左右，其上耸有双石，形似两手合掌，故有</w:t>
      </w:r>
      <w:r>
        <w:rPr>
          <w:rFonts w:hint="eastAsia"/>
          <w:lang w:eastAsia="zh-CN"/>
        </w:rPr>
        <w:t>“</w:t>
      </w:r>
      <w:r>
        <w:rPr>
          <w:lang w:eastAsia="zh-CN"/>
        </w:rPr>
        <w:t>观音合掌</w:t>
      </w:r>
      <w:r>
        <w:rPr>
          <w:rFonts w:hint="eastAsia"/>
          <w:lang w:eastAsia="zh-CN"/>
        </w:rPr>
        <w:t>”</w:t>
      </w:r>
      <w:r>
        <w:rPr>
          <w:lang w:eastAsia="zh-CN"/>
        </w:rPr>
        <w:t>之称。《宁远县志》载，</w:t>
      </w:r>
      <w:r>
        <w:rPr>
          <w:rFonts w:hint="eastAsia"/>
          <w:lang w:eastAsia="zh-CN"/>
        </w:rPr>
        <w:t>“</w:t>
      </w:r>
      <w:r>
        <w:rPr>
          <w:lang w:eastAsia="zh-CN"/>
        </w:rPr>
        <w:t>寺西二里一峰弗，尉名望佛台。每届八月，善男信女，顶礼膜拜，数以万计，其来自零祁者，到此始见佛殿，因受厥名</w:t>
      </w:r>
      <w:r>
        <w:rPr>
          <w:rFonts w:hint="eastAsia"/>
          <w:lang w:eastAsia="zh-CN"/>
        </w:rPr>
        <w:t>”</w:t>
      </w:r>
      <w:r>
        <w:rPr>
          <w:lang w:eastAsia="zh-CN"/>
        </w:rPr>
        <w:t>。也就是说，古时来自零陵、祁阳的朝拜者，到此始见万寿寺，刚上山时那种雾锁云封，冰凉阴森的景象不见了，代之以风和日丽，温暖如初的景色，极目千里，气象万千，左衡右嶷，永州古城，尽收眼底。香客以为是佛爷显灵所致，于是三步一跪，七步一拜，经三天门，一直拜到万寿寺。</w:t>
      </w:r>
    </w:p>
    <w:p w14:paraId="610AF33B">
      <w:pPr>
        <w:ind w:firstLine="482"/>
        <w:rPr>
          <w:b/>
          <w:bCs/>
          <w:lang w:eastAsia="zh-CN"/>
        </w:rPr>
      </w:pPr>
      <w:r>
        <w:rPr>
          <w:b/>
          <w:bCs/>
          <w:lang w:eastAsia="zh-CN"/>
        </w:rPr>
        <w:t>祖爷赏花台</w:t>
      </w:r>
    </w:p>
    <w:p w14:paraId="7C22127F">
      <w:pPr>
        <w:ind w:firstLine="480"/>
        <w:rPr>
          <w:lang w:eastAsia="zh-CN"/>
        </w:rPr>
      </w:pPr>
      <w:r>
        <w:rPr>
          <w:lang w:eastAsia="zh-CN"/>
        </w:rPr>
        <w:t>在阳明山微波台往北150m，海拔1480m的地方有一块高40m的突出岩石，拔地而起，登临石顶，峡谷高山，丛林鲜花，尽收眼底。相传，七祖佛爷初入佛，思念母亲，常登此处遥望故乡。观音菩萨体谅七祖念母之情，于是点化此片山林为遍岭鲜花，以伴七祖安心修炼。</w:t>
      </w:r>
    </w:p>
    <w:p w14:paraId="422C79D6">
      <w:pPr>
        <w:spacing w:before="51"/>
        <w:ind w:firstLine="0" w:firstLineChars="0"/>
        <w:jc w:val="center"/>
        <w:rPr>
          <w:rFonts w:cs="Times New Roman"/>
          <w:szCs w:val="24"/>
          <w:lang w:eastAsia="zh-CN"/>
        </w:rPr>
      </w:pPr>
      <w:r>
        <w:rPr>
          <w:rFonts w:cs="Times New Roman"/>
          <w:szCs w:val="24"/>
          <w:lang w:eastAsia="zh-CN"/>
        </w:rPr>
        <w:drawing>
          <wp:inline distT="0" distB="0" distL="0" distR="0">
            <wp:extent cx="5111750" cy="2918460"/>
            <wp:effectExtent l="0" t="0" r="0" b="0"/>
            <wp:docPr id="130" name="图片 26" descr="祖爷赏花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26" descr="祖爷赏花台1"/>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5111750" cy="2918460"/>
                    </a:xfrm>
                    <a:prstGeom prst="rect">
                      <a:avLst/>
                    </a:prstGeom>
                    <a:noFill/>
                    <a:ln>
                      <a:noFill/>
                    </a:ln>
                  </pic:spPr>
                </pic:pic>
              </a:graphicData>
            </a:graphic>
          </wp:inline>
        </w:drawing>
      </w:r>
    </w:p>
    <w:p w14:paraId="3F4AEF91">
      <w:pPr>
        <w:ind w:firstLine="482"/>
        <w:rPr>
          <w:b/>
          <w:bCs/>
          <w:lang w:eastAsia="zh-CN"/>
        </w:rPr>
      </w:pPr>
      <w:r>
        <w:rPr>
          <w:b/>
          <w:bCs/>
          <w:lang w:eastAsia="zh-CN"/>
        </w:rPr>
        <w:t>一天门</w:t>
      </w:r>
    </w:p>
    <w:p w14:paraId="38D56BF0">
      <w:pPr>
        <w:ind w:firstLine="480"/>
        <w:rPr>
          <w:lang w:eastAsia="zh-CN"/>
        </w:rPr>
      </w:pPr>
      <w:r>
        <w:rPr>
          <w:rFonts w:hint="eastAsia"/>
          <w:lang w:eastAsia="zh-CN"/>
        </w:rPr>
        <w:t>“</w:t>
      </w:r>
      <w:r>
        <w:rPr>
          <w:lang w:eastAsia="zh-CN"/>
        </w:rPr>
        <w:t>衡庐千里眼前看，俯首悬崖胆亦寒，第一峰头牢住足，下山容易上山难</w:t>
      </w:r>
      <w:r>
        <w:rPr>
          <w:rFonts w:hint="eastAsia"/>
          <w:lang w:eastAsia="zh-CN"/>
        </w:rPr>
        <w:t>”</w:t>
      </w:r>
      <w:r>
        <w:rPr>
          <w:lang w:eastAsia="zh-CN"/>
        </w:rPr>
        <w:t>。在万寿寺西北600m，山高多石少土，其势如刀劈斧削，陡峭非凡。青松杜鹃点缀于崖石之上，形成一幅天然美景。善男信女慷慨解囊，依照山形地势，在海拔1400m的山上开凿了一条通天之路，北接永州，南通阳明。半山之上，有陡峭处，拾级而上数十步，巨石列峙道路两旁，形似隘口，状如天门。其南侧石柱高40余m，其状如驼似龟。南侧一尖小石柱，似纤纤竹笋，别有情趣。</w:t>
      </w:r>
    </w:p>
    <w:p w14:paraId="6E9A9CFE">
      <w:pPr>
        <w:ind w:firstLine="482"/>
        <w:rPr>
          <w:b/>
          <w:bCs/>
          <w:lang w:eastAsia="zh-CN"/>
        </w:rPr>
      </w:pPr>
      <w:r>
        <w:rPr>
          <w:b/>
          <w:bCs/>
          <w:lang w:eastAsia="zh-CN"/>
        </w:rPr>
        <w:t>二天门</w:t>
      </w:r>
    </w:p>
    <w:p w14:paraId="3C85AF10">
      <w:pPr>
        <w:ind w:firstLine="480"/>
        <w:rPr>
          <w:lang w:eastAsia="zh-CN"/>
        </w:rPr>
      </w:pPr>
      <w:r>
        <w:rPr>
          <w:lang w:eastAsia="zh-CN"/>
        </w:rPr>
        <w:t>位于杜鹃花海景区一天门西面300m，海拔1450m，其南侧为一40余m高的花岗岩，石体雄伟浑圆，顶部似猩猩望月，如寿星浴日，形随意迁，百看百像。一棵千年不老松傲然其上。北侧岩体阶梯状往山坡延伸，棱角分明，与南侧形成鲜明对比。南北夹峙，形成一狭窄通道，游人至此无不驻足仰首，叹其雄奇险峻。</w:t>
      </w:r>
    </w:p>
    <w:p w14:paraId="6F99DD24">
      <w:pPr>
        <w:ind w:firstLine="482"/>
        <w:rPr>
          <w:b/>
          <w:bCs/>
          <w:lang w:eastAsia="zh-CN"/>
        </w:rPr>
      </w:pPr>
      <w:r>
        <w:rPr>
          <w:b/>
          <w:bCs/>
          <w:lang w:eastAsia="zh-CN"/>
        </w:rPr>
        <w:t>望母来</w:t>
      </w:r>
    </w:p>
    <w:p w14:paraId="7CC5903B">
      <w:pPr>
        <w:ind w:firstLine="480"/>
        <w:rPr>
          <w:lang w:eastAsia="zh-CN"/>
        </w:rPr>
      </w:pPr>
      <w:r>
        <w:rPr>
          <w:lang w:eastAsia="zh-CN"/>
        </w:rPr>
        <w:t>位于杜鹃花海景区一天门西面700m处，海拔1540m，是一座山峰，峰顶北向有块巨石，高二十余m，像是一个人驻足远眺。相传七祖初入佛门，确也念母，常来这里登高远眺故里，后来人们观石思祖，就将这座山取名为</w:t>
      </w:r>
      <w:r>
        <w:rPr>
          <w:rFonts w:hint="eastAsia"/>
          <w:lang w:eastAsia="zh-CN"/>
        </w:rPr>
        <w:t>“</w:t>
      </w:r>
      <w:r>
        <w:rPr>
          <w:lang w:eastAsia="zh-CN"/>
        </w:rPr>
        <w:t>望母来</w:t>
      </w:r>
      <w:r>
        <w:rPr>
          <w:rFonts w:hint="eastAsia"/>
          <w:lang w:eastAsia="zh-CN"/>
        </w:rPr>
        <w:t>”</w:t>
      </w:r>
      <w:r>
        <w:rPr>
          <w:lang w:eastAsia="zh-CN"/>
        </w:rPr>
        <w:t>。</w:t>
      </w:r>
    </w:p>
    <w:p w14:paraId="423B25D6">
      <w:pPr>
        <w:ind w:firstLine="482"/>
        <w:rPr>
          <w:b/>
          <w:bCs/>
          <w:lang w:eastAsia="zh-CN"/>
        </w:rPr>
      </w:pPr>
      <w:r>
        <w:rPr>
          <w:b/>
          <w:bCs/>
          <w:lang w:eastAsia="zh-CN"/>
        </w:rPr>
        <w:t>七祖拜观音</w:t>
      </w:r>
    </w:p>
    <w:p w14:paraId="72276D10">
      <w:pPr>
        <w:ind w:firstLine="480"/>
        <w:rPr>
          <w:lang w:eastAsia="zh-CN"/>
        </w:rPr>
      </w:pPr>
      <w:r>
        <w:rPr>
          <w:lang w:eastAsia="zh-CN"/>
        </w:rPr>
        <w:t>位于杜鹃花海景区白云寺西150m处，海拔1530m。从此处俯视，可见山坡之上，两块岩石东西对峙，相隔250m左右，面如观音。东似合掌跪拜的七祖，其前乱石，恰如香案烛台，惟妙惟肖，观者无不叹其神似。“七祖之上”，是一尖削山脊，乱石怪树装点其上，确有非好汉莫攀之险。举目远眺，峰峦叠翠，山林如黛，云缠峰尖，雾裹林腰。</w:t>
      </w:r>
    </w:p>
    <w:p w14:paraId="6D8FF559">
      <w:pPr>
        <w:ind w:firstLine="482"/>
        <w:rPr>
          <w:rFonts w:cs="Times New Roman"/>
          <w:b/>
          <w:bCs/>
          <w:szCs w:val="24"/>
          <w:lang w:eastAsia="zh-CN"/>
        </w:rPr>
      </w:pPr>
      <w:r>
        <w:rPr>
          <w:b/>
          <w:bCs/>
          <w:lang w:eastAsia="zh-CN"/>
        </w:rPr>
        <w:t>百步阶梯</w:t>
      </w:r>
    </w:p>
    <w:p w14:paraId="46C43EF5">
      <w:pPr>
        <w:ind w:firstLine="480"/>
        <w:rPr>
          <w:lang w:eastAsia="zh-CN"/>
        </w:rPr>
      </w:pPr>
      <w:r>
        <w:rPr>
          <w:lang w:eastAsia="zh-CN"/>
        </w:rPr>
        <w:t>位于黄江源景区的大风坳南800m处，海拔1200</w:t>
      </w:r>
      <w:r>
        <w:rPr>
          <w:rFonts w:hint="eastAsia"/>
          <w:lang w:eastAsia="zh-CN"/>
        </w:rPr>
        <w:t>—</w:t>
      </w:r>
      <w:r>
        <w:rPr>
          <w:lang w:eastAsia="zh-CN"/>
        </w:rPr>
        <w:t>1220m之间，是一段青石板铺就的登山道。由一百步石阶组成，长近百</w:t>
      </w:r>
      <w:r>
        <w:rPr>
          <w:rFonts w:hint="eastAsia"/>
          <w:lang w:eastAsia="zh-CN"/>
        </w:rPr>
        <w:t>米</w:t>
      </w:r>
      <w:r>
        <w:rPr>
          <w:lang w:eastAsia="zh-CN"/>
        </w:rPr>
        <w:t>。香客至此，以呈其诚。登上阶梯，豁然开朗，使人倍感轻松。</w:t>
      </w:r>
    </w:p>
    <w:p w14:paraId="71B01EEF">
      <w:pPr>
        <w:ind w:firstLine="482"/>
        <w:rPr>
          <w:b/>
          <w:bCs/>
          <w:lang w:eastAsia="zh-CN"/>
        </w:rPr>
      </w:pPr>
      <w:r>
        <w:rPr>
          <w:b/>
          <w:bCs/>
          <w:lang w:eastAsia="zh-CN"/>
        </w:rPr>
        <w:t>袈裟岭</w:t>
      </w:r>
    </w:p>
    <w:p w14:paraId="0C9FA02D">
      <w:pPr>
        <w:ind w:firstLine="480"/>
        <w:rPr>
          <w:lang w:eastAsia="zh-CN"/>
        </w:rPr>
      </w:pPr>
      <w:r>
        <w:rPr>
          <w:lang w:eastAsia="zh-CN"/>
        </w:rPr>
        <w:t>位于黄江源景区，原名背阴山。祖爷岩对面一块20多</w:t>
      </w:r>
      <w:r>
        <w:rPr>
          <w:rFonts w:hint="eastAsia"/>
          <w:lang w:val="zh-CN" w:eastAsia="zh-CN"/>
        </w:rPr>
        <w:t>公顷</w:t>
      </w:r>
      <w:r>
        <w:rPr>
          <w:lang w:eastAsia="zh-CN"/>
        </w:rPr>
        <w:t>的茂密古林，无论乔木还是灌木，都有如巨刀横劈一般高矮，枝繁叶茂，翠绿喜人，枝粗长于树杆。相传秀峰禅师当年在祖爷岩修炼时晒袈裟所致，直至今日也不敢还原。</w:t>
      </w:r>
    </w:p>
    <w:p w14:paraId="62D0A0CF">
      <w:pPr>
        <w:ind w:firstLine="482"/>
        <w:rPr>
          <w:b/>
          <w:bCs/>
          <w:lang w:eastAsia="zh-CN"/>
        </w:rPr>
      </w:pPr>
      <w:r>
        <w:rPr>
          <w:b/>
          <w:bCs/>
          <w:lang w:eastAsia="zh-CN"/>
        </w:rPr>
        <w:t>神秘石</w:t>
      </w:r>
    </w:p>
    <w:p w14:paraId="78B60375">
      <w:pPr>
        <w:ind w:firstLine="480"/>
        <w:rPr>
          <w:lang w:eastAsia="zh-CN"/>
        </w:rPr>
      </w:pPr>
      <w:r>
        <w:rPr>
          <w:lang w:eastAsia="zh-CN"/>
        </w:rPr>
        <w:t>位于黄江源景区，又名飞来石，形状为球形。这块石头的石质与阳明山其他石头不同，表面布满了小石英石和略带焚烧过的痕迹。目前有关专家还没有将它的来历解释清楚，当地人也称其为镇山石。据传阳明山原来是一片汪洋大海，有一青一黄两条蛟龙兴风作浪，是大禹镇了二龙。七祖郑秀峰禅师坐化成佛后，二龙不服，要倒行逆施，观音娘娘知道后，就丢下了这一块宝石，以作镇山之用，二龙再也不敢来作乱，从此它就成了阳明山镇山之宝。</w:t>
      </w:r>
    </w:p>
    <w:p w14:paraId="79AF8CAC">
      <w:pPr>
        <w:ind w:firstLine="482"/>
        <w:rPr>
          <w:b/>
          <w:bCs/>
          <w:lang w:eastAsia="zh-CN"/>
        </w:rPr>
      </w:pPr>
      <w:r>
        <w:rPr>
          <w:b/>
          <w:bCs/>
          <w:lang w:eastAsia="zh-CN"/>
        </w:rPr>
        <w:t>八戒望月</w:t>
      </w:r>
    </w:p>
    <w:p w14:paraId="5EB49559">
      <w:pPr>
        <w:ind w:firstLine="480"/>
        <w:rPr>
          <w:lang w:eastAsia="zh-CN"/>
        </w:rPr>
      </w:pPr>
      <w:r>
        <w:rPr>
          <w:lang w:eastAsia="zh-CN"/>
        </w:rPr>
        <w:t>位于杜鹃花海景区，大石神似憨态可掬的八戒举头望向天空，因此取名</w:t>
      </w:r>
      <w:r>
        <w:rPr>
          <w:rFonts w:hint="eastAsia"/>
          <w:lang w:eastAsia="zh-CN"/>
        </w:rPr>
        <w:t>“</w:t>
      </w:r>
      <w:r>
        <w:rPr>
          <w:lang w:eastAsia="zh-CN"/>
        </w:rPr>
        <w:t>八戒望月</w:t>
      </w:r>
      <w:r>
        <w:rPr>
          <w:rFonts w:hint="eastAsia"/>
          <w:lang w:eastAsia="zh-CN"/>
        </w:rPr>
        <w:t>”</w:t>
      </w:r>
      <w:r>
        <w:rPr>
          <w:lang w:eastAsia="zh-CN"/>
        </w:rPr>
        <w:t>。据传，八戒乃是天庭的天蓬元帅，曾暗恋并调戏嫦娥仙子，被玉皇大帝贬至凡间，做了一只奇丑无比的猪，后在这长期遥望并思念着嫦娥。</w:t>
      </w:r>
    </w:p>
    <w:p w14:paraId="50D262B4">
      <w:pPr>
        <w:ind w:firstLine="482"/>
        <w:rPr>
          <w:b/>
          <w:bCs/>
          <w:lang w:eastAsia="zh-CN"/>
        </w:rPr>
      </w:pPr>
      <w:r>
        <w:rPr>
          <w:b/>
          <w:bCs/>
          <w:lang w:eastAsia="zh-CN"/>
        </w:rPr>
        <w:t>山盟石</w:t>
      </w:r>
    </w:p>
    <w:p w14:paraId="32217865">
      <w:pPr>
        <w:ind w:firstLine="480"/>
        <w:rPr>
          <w:lang w:eastAsia="zh-CN"/>
        </w:rPr>
      </w:pPr>
      <w:r>
        <w:rPr>
          <w:lang w:eastAsia="zh-CN"/>
        </w:rPr>
        <w:t>在万寿寺对面的二天门，有尊大石称为</w:t>
      </w:r>
      <w:r>
        <w:rPr>
          <w:rFonts w:hint="eastAsia"/>
          <w:lang w:eastAsia="zh-CN"/>
        </w:rPr>
        <w:t>“</w:t>
      </w:r>
      <w:r>
        <w:rPr>
          <w:lang w:eastAsia="zh-CN"/>
        </w:rPr>
        <w:t>山盟石</w:t>
      </w:r>
      <w:r>
        <w:rPr>
          <w:rFonts w:hint="eastAsia"/>
          <w:lang w:eastAsia="zh-CN"/>
        </w:rPr>
        <w:t>”</w:t>
      </w:r>
      <w:r>
        <w:rPr>
          <w:lang w:eastAsia="zh-CN"/>
        </w:rPr>
        <w:t>，上面有块小石头称为</w:t>
      </w:r>
      <w:r>
        <w:rPr>
          <w:rFonts w:hint="eastAsia"/>
          <w:lang w:eastAsia="zh-CN"/>
        </w:rPr>
        <w:t>“</w:t>
      </w:r>
      <w:r>
        <w:rPr>
          <w:lang w:eastAsia="zh-CN"/>
        </w:rPr>
        <w:t>爱情鸟</w:t>
      </w:r>
      <w:r>
        <w:rPr>
          <w:rFonts w:hint="eastAsia"/>
          <w:lang w:eastAsia="zh-CN"/>
        </w:rPr>
        <w:t>”</w:t>
      </w:r>
      <w:r>
        <w:rPr>
          <w:lang w:eastAsia="zh-CN"/>
        </w:rPr>
        <w:t>，未婚男女只要去摸一摸那只爱情鸟，便会找到自己的心上人。相传在三国两晋时期，始兴郡太守蒋珩与阳明山痴情姑娘杜鹃在此盟血誓，以身相许。蒋珩原是一个孤儿，被阳明山脚下的财主杜财旺收留，与杜家一双儿女杜威、杜鹃一同成长。日长月久，蒋珩与杜鹃产生了爱情。有一天蒋珩要替杜威去服兵役，临行时蒋珩与杜鹃难舍难分，他们到达山盟石旁，蒋珩心头一热，咬破指头，写下了</w:t>
      </w:r>
      <w:r>
        <w:rPr>
          <w:rFonts w:hint="eastAsia"/>
          <w:lang w:eastAsia="zh-CN"/>
        </w:rPr>
        <w:t>“</w:t>
      </w:r>
      <w:r>
        <w:rPr>
          <w:lang w:eastAsia="zh-CN"/>
        </w:rPr>
        <w:t>日月为盟山为证</w:t>
      </w:r>
      <w:r>
        <w:rPr>
          <w:rFonts w:hint="eastAsia"/>
          <w:lang w:eastAsia="zh-CN"/>
        </w:rPr>
        <w:t>”</w:t>
      </w:r>
      <w:r>
        <w:rPr>
          <w:lang w:eastAsia="zh-CN"/>
        </w:rPr>
        <w:t>，杜鹃以血明志，写下了</w:t>
      </w:r>
      <w:r>
        <w:rPr>
          <w:rFonts w:hint="eastAsia"/>
          <w:lang w:eastAsia="zh-CN"/>
        </w:rPr>
        <w:t>“</w:t>
      </w:r>
      <w:r>
        <w:rPr>
          <w:lang w:eastAsia="zh-CN"/>
        </w:rPr>
        <w:t>石烂花枯情不移</w:t>
      </w:r>
      <w:r>
        <w:rPr>
          <w:rFonts w:hint="eastAsia"/>
          <w:lang w:eastAsia="zh-CN"/>
        </w:rPr>
        <w:t>”</w:t>
      </w:r>
      <w:r>
        <w:rPr>
          <w:lang w:eastAsia="zh-CN"/>
        </w:rPr>
        <w:t>。至今这血字还依稀可见。此后这山盟石就成了年轻男女喻情明志的神石。据说在此盟过誓的夫妻大都是恩爱和谐的。2007年第二届</w:t>
      </w:r>
      <w:r>
        <w:rPr>
          <w:rFonts w:hint="eastAsia"/>
          <w:lang w:eastAsia="zh-CN"/>
        </w:rPr>
        <w:t>“</w:t>
      </w:r>
      <w:r>
        <w:rPr>
          <w:lang w:eastAsia="zh-CN"/>
        </w:rPr>
        <w:t>和</w:t>
      </w:r>
      <w:r>
        <w:rPr>
          <w:rFonts w:hint="eastAsia"/>
          <w:lang w:eastAsia="zh-CN"/>
        </w:rPr>
        <w:t>”</w:t>
      </w:r>
      <w:r>
        <w:rPr>
          <w:lang w:eastAsia="zh-CN"/>
        </w:rPr>
        <w:t>文化节，阳明山的</w:t>
      </w:r>
      <w:r>
        <w:rPr>
          <w:rFonts w:hint="eastAsia"/>
          <w:lang w:eastAsia="zh-CN"/>
        </w:rPr>
        <w:t>“</w:t>
      </w:r>
      <w:r>
        <w:rPr>
          <w:lang w:eastAsia="zh-CN"/>
        </w:rPr>
        <w:t>山盟石</w:t>
      </w:r>
      <w:r>
        <w:rPr>
          <w:rFonts w:hint="eastAsia"/>
          <w:lang w:eastAsia="zh-CN"/>
        </w:rPr>
        <w:t>”</w:t>
      </w:r>
      <w:r>
        <w:rPr>
          <w:lang w:eastAsia="zh-CN"/>
        </w:rPr>
        <w:t>与海南三亚的</w:t>
      </w:r>
      <w:r>
        <w:rPr>
          <w:rFonts w:hint="eastAsia"/>
          <w:lang w:eastAsia="zh-CN"/>
        </w:rPr>
        <w:t>“</w:t>
      </w:r>
      <w:r>
        <w:rPr>
          <w:lang w:eastAsia="zh-CN"/>
        </w:rPr>
        <w:t>天涯海角</w:t>
      </w:r>
      <w:r>
        <w:rPr>
          <w:rFonts w:hint="eastAsia"/>
          <w:lang w:eastAsia="zh-CN"/>
        </w:rPr>
        <w:t>”</w:t>
      </w:r>
      <w:r>
        <w:rPr>
          <w:lang w:eastAsia="zh-CN"/>
        </w:rPr>
        <w:t>正式联姻，山盟海誓见证了爱情的诺言。</w:t>
      </w:r>
    </w:p>
    <w:p w14:paraId="49148ED6">
      <w:pPr>
        <w:ind w:firstLine="482"/>
        <w:rPr>
          <w:b/>
          <w:bCs/>
          <w:lang w:eastAsia="zh-CN"/>
        </w:rPr>
      </w:pPr>
      <w:r>
        <w:rPr>
          <w:b/>
          <w:bCs/>
          <w:lang w:eastAsia="zh-CN"/>
        </w:rPr>
        <w:t>试剑石</w:t>
      </w:r>
    </w:p>
    <w:p w14:paraId="34B880E8">
      <w:pPr>
        <w:ind w:firstLine="480"/>
        <w:rPr>
          <w:lang w:eastAsia="zh-CN"/>
        </w:rPr>
      </w:pPr>
      <w:r>
        <w:rPr>
          <w:lang w:eastAsia="zh-CN"/>
        </w:rPr>
        <w:t>在通往云天阁的游道上有两块石头，人称不可越雷池一步，又称一步之遥。相传，明朝时，歇马庵有108个尼姑，白云寺有108个和尚，相传两寺庵的一些和尚尼姑不守佛门清规戒律，发生了苟且之事。明皇知道后派军兵在那边高桥峰挖了一个深坑，并在坑中堆上柴草烧起大火，命令这些和尚、尼姑跳火坑，凡跳得过去的就是贞洁女、童子身。结果只有1个尼姑和18个和尚跳过了火坑。那个尼姑就是明朝逃婚</w:t>
      </w:r>
      <w:r>
        <w:rPr>
          <w:rFonts w:hint="eastAsia"/>
          <w:lang w:eastAsia="zh-CN"/>
        </w:rPr>
        <w:t>来得妙</w:t>
      </w:r>
      <w:r>
        <w:rPr>
          <w:lang w:eastAsia="zh-CN"/>
        </w:rPr>
        <w:t>竹公主，后白日升天，尊为</w:t>
      </w:r>
      <w:r>
        <w:rPr>
          <w:rFonts w:hint="eastAsia"/>
          <w:lang w:eastAsia="zh-CN"/>
        </w:rPr>
        <w:t>“</w:t>
      </w:r>
      <w:r>
        <w:rPr>
          <w:lang w:eastAsia="zh-CN"/>
        </w:rPr>
        <w:t>易德仙姑</w:t>
      </w:r>
      <w:r>
        <w:rPr>
          <w:rFonts w:hint="eastAsia"/>
          <w:lang w:eastAsia="zh-CN"/>
        </w:rPr>
        <w:t>”</w:t>
      </w:r>
      <w:r>
        <w:rPr>
          <w:lang w:eastAsia="zh-CN"/>
        </w:rPr>
        <w:t>。18个和尚后来成了</w:t>
      </w:r>
      <w:r>
        <w:rPr>
          <w:rFonts w:hint="eastAsia"/>
          <w:lang w:eastAsia="zh-CN"/>
        </w:rPr>
        <w:t>“</w:t>
      </w:r>
      <w:r>
        <w:rPr>
          <w:lang w:eastAsia="zh-CN"/>
        </w:rPr>
        <w:t>十八真人</w:t>
      </w:r>
      <w:r>
        <w:rPr>
          <w:rFonts w:hint="eastAsia"/>
          <w:lang w:eastAsia="zh-CN"/>
        </w:rPr>
        <w:t>”</w:t>
      </w:r>
      <w:r>
        <w:rPr>
          <w:lang w:eastAsia="zh-CN"/>
        </w:rPr>
        <w:t>。从此，这里就立了这两块石，两寺庵的僧尼到此为止，不可越过此石而去。又传大禹当年治水，与孽龙激战，曾在此试剑，故称</w:t>
      </w:r>
      <w:r>
        <w:rPr>
          <w:rFonts w:hint="eastAsia"/>
          <w:lang w:eastAsia="zh-CN"/>
        </w:rPr>
        <w:t>“</w:t>
      </w:r>
      <w:r>
        <w:rPr>
          <w:lang w:eastAsia="zh-CN"/>
        </w:rPr>
        <w:t>试剑石</w:t>
      </w:r>
      <w:r>
        <w:rPr>
          <w:rFonts w:hint="eastAsia"/>
          <w:lang w:eastAsia="zh-CN"/>
        </w:rPr>
        <w:t>”</w:t>
      </w:r>
      <w:r>
        <w:rPr>
          <w:lang w:eastAsia="zh-CN"/>
        </w:rPr>
        <w:t>。</w:t>
      </w:r>
    </w:p>
    <w:p w14:paraId="253623F7">
      <w:pPr>
        <w:ind w:firstLine="480"/>
        <w:jc w:val="center"/>
        <w:rPr>
          <w:rFonts w:cs="Times New Roman"/>
          <w:szCs w:val="24"/>
          <w:lang w:eastAsia="zh-CN"/>
        </w:rPr>
      </w:pPr>
      <w:r>
        <w:rPr>
          <w:rFonts w:cs="Times New Roman"/>
          <w:szCs w:val="24"/>
          <w:lang w:eastAsia="zh-CN"/>
        </w:rPr>
        <w:drawing>
          <wp:anchor distT="0" distB="0" distL="114300" distR="114300" simplePos="0" relativeHeight="251680768" behindDoc="1" locked="0" layoutInCell="1" allowOverlap="1">
            <wp:simplePos x="0" y="0"/>
            <wp:positionH relativeFrom="margin">
              <wp:align>center</wp:align>
            </wp:positionH>
            <wp:positionV relativeFrom="paragraph">
              <wp:posOffset>3810</wp:posOffset>
            </wp:positionV>
            <wp:extent cx="5335270" cy="2981325"/>
            <wp:effectExtent l="0" t="0" r="0" b="9525"/>
            <wp:wrapTight wrapText="bothSides">
              <wp:wrapPolygon>
                <wp:start x="0" y="0"/>
                <wp:lineTo x="0" y="21531"/>
                <wp:lineTo x="21518" y="21531"/>
                <wp:lineTo x="21518" y="0"/>
                <wp:lineTo x="0" y="0"/>
              </wp:wrapPolygon>
            </wp:wrapTight>
            <wp:docPr id="139" name="图片 27" descr="试剑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27" descr="试剑石"/>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5335270" cy="2981325"/>
                    </a:xfrm>
                    <a:prstGeom prst="rect">
                      <a:avLst/>
                    </a:prstGeom>
                    <a:noFill/>
                    <a:ln>
                      <a:noFill/>
                    </a:ln>
                  </pic:spPr>
                </pic:pic>
              </a:graphicData>
            </a:graphic>
          </wp:anchor>
        </w:drawing>
      </w:r>
    </w:p>
    <w:p w14:paraId="290E92D9">
      <w:pPr>
        <w:ind w:firstLine="480"/>
        <w:rPr>
          <w:lang w:eastAsia="zh-CN"/>
        </w:rPr>
      </w:pPr>
      <w:r>
        <w:rPr>
          <w:rFonts w:hint="eastAsia"/>
          <w:lang w:eastAsia="zh-CN"/>
        </w:rPr>
        <w:t>(</w:t>
      </w:r>
      <w:r>
        <w:rPr>
          <w:lang w:eastAsia="zh-CN"/>
        </w:rPr>
        <w:t>3</w:t>
      </w:r>
      <w:r>
        <w:rPr>
          <w:rFonts w:hint="eastAsia"/>
          <w:lang w:eastAsia="zh-CN"/>
        </w:rPr>
        <w:t>)</w:t>
      </w:r>
      <w:r>
        <w:rPr>
          <w:lang w:eastAsia="zh-CN"/>
        </w:rPr>
        <w:t>天象景观资源调查</w:t>
      </w:r>
    </w:p>
    <w:p w14:paraId="2F2459B0">
      <w:pPr>
        <w:ind w:firstLine="480"/>
        <w:rPr>
          <w:lang w:eastAsia="zh-CN"/>
        </w:rPr>
      </w:pPr>
      <w:r>
        <w:rPr>
          <w:lang w:eastAsia="zh-CN"/>
        </w:rPr>
        <w:t>明、清的《宁远县志》记载</w:t>
      </w:r>
      <w:r>
        <w:rPr>
          <w:rFonts w:hint="eastAsia"/>
          <w:lang w:eastAsia="zh-CN"/>
        </w:rPr>
        <w:t>“</w:t>
      </w:r>
      <w:r>
        <w:rPr>
          <w:lang w:eastAsia="zh-CN"/>
        </w:rPr>
        <w:t>阳明山，名山也。荒蟠百里，云峦岝崿，烟岫玲滢，霜紫雨青，浓妍淡韵，绝顶秀峰，祖师道场在焉</w:t>
      </w:r>
      <w:r>
        <w:rPr>
          <w:rFonts w:hint="eastAsia"/>
          <w:lang w:eastAsia="zh-CN"/>
        </w:rPr>
        <w:t>”</w:t>
      </w:r>
      <w:r>
        <w:rPr>
          <w:lang w:eastAsia="zh-CN"/>
        </w:rPr>
        <w:t>。阳明山云雾升腾，变幻莫测，云雾、日出、晚霞、雨雪，每一刻都给人不同的感受，如果世界上有一种美是无法用文字来传递的，阳明山天象之美，就是这样的。阳明山的云，远近高低各不同。山下晴空万里，蓝天如洗，山上，烟雨迷蒙。有时，太阳挤破云层，山石林泉、楼台亭阁神奇地映入眼帘，而一瞬间，无数云根石下，又有紫烟生出，山谷彩雾升腾，又把一切遮掩、吞噬。云雨起于方寸间，楼阁现于弹指间。有时，情形又恰恰相反，山下雾霭茫茫，田园屋舍朦胧一片，而山上却以是柳暗花明艳阳天了。</w:t>
      </w:r>
    </w:p>
    <w:p w14:paraId="20917A06">
      <w:pPr>
        <w:ind w:firstLine="480"/>
        <w:rPr>
          <w:lang w:eastAsia="zh-CN"/>
        </w:rPr>
      </w:pPr>
      <w:r>
        <w:rPr>
          <w:lang w:eastAsia="zh-CN"/>
        </w:rPr>
        <w:t>主要景观有：</w:t>
      </w:r>
    </w:p>
    <w:p w14:paraId="0802FDCB">
      <w:pPr>
        <w:ind w:firstLine="482"/>
        <w:rPr>
          <w:b/>
          <w:bCs/>
          <w:lang w:eastAsia="zh-CN"/>
        </w:rPr>
      </w:pPr>
      <w:r>
        <w:rPr>
          <w:b/>
          <w:bCs/>
          <w:lang w:eastAsia="zh-CN"/>
        </w:rPr>
        <w:t>望佛台远眺</w:t>
      </w:r>
    </w:p>
    <w:p w14:paraId="75CEFE67">
      <w:pPr>
        <w:ind w:firstLine="480"/>
        <w:rPr>
          <w:lang w:eastAsia="zh-CN"/>
        </w:rPr>
      </w:pPr>
      <w:r>
        <w:rPr>
          <w:lang w:eastAsia="zh-CN"/>
        </w:rPr>
        <w:t>望佛台为阳明山之巅，海拔1624.6m。这里是观云海、看日出的最佳处。仰望天高气爽，俯望云海涌涛，群峰在云涛中若隐若现，随着云涛涌动，仿佛置身于仙境之中。每当晴日清晨，在阳明山之巅观日出，旭日喷薄而出、缓缓升腾，</w:t>
      </w:r>
      <w:r>
        <w:rPr>
          <w:rFonts w:hint="eastAsia"/>
          <w:lang w:eastAsia="zh-CN"/>
        </w:rPr>
        <w:t>“</w:t>
      </w:r>
      <w:r>
        <w:rPr>
          <w:lang w:eastAsia="zh-CN"/>
        </w:rPr>
        <w:t>朝阳甫出而山已明</w:t>
      </w:r>
      <w:r>
        <w:rPr>
          <w:rFonts w:hint="eastAsia"/>
          <w:lang w:eastAsia="zh-CN"/>
        </w:rPr>
        <w:t>”</w:t>
      </w:r>
      <w:r>
        <w:rPr>
          <w:lang w:eastAsia="zh-CN"/>
        </w:rPr>
        <w:t>的景象，会有豁然开朗之感。阳明山云烟玲莹，霜紫雨青，浓妍淡韵，集日月之光辉，聚山川之灵气。</w:t>
      </w:r>
    </w:p>
    <w:p w14:paraId="2102B553">
      <w:pPr>
        <w:ind w:firstLine="482"/>
        <w:rPr>
          <w:b/>
          <w:bCs/>
          <w:lang w:eastAsia="zh-CN"/>
        </w:rPr>
      </w:pPr>
      <w:r>
        <w:rPr>
          <w:b/>
          <w:bCs/>
          <w:lang w:eastAsia="zh-CN"/>
        </w:rPr>
        <w:t>阳明雪景</w:t>
      </w:r>
    </w:p>
    <w:p w14:paraId="7FF2E706">
      <w:pPr>
        <w:ind w:firstLine="480"/>
        <w:rPr>
          <w:lang w:eastAsia="zh-CN"/>
        </w:rPr>
      </w:pPr>
      <w:r>
        <w:rPr>
          <w:lang w:eastAsia="zh-CN"/>
        </w:rPr>
        <w:t>迟留更爱吾庐近，只待重来看雪天。阳明山的冬天就能让人感到震撼，感叹大自然之神奇，满山遍野都是银装素裹、玉树琼花，美不胜收。也只有在冬季，在阳明山才会真正读懂“人间仙境”的神奇，才会实实在在地感受到</w:t>
      </w:r>
      <w:r>
        <w:rPr>
          <w:rFonts w:hint="eastAsia"/>
          <w:lang w:eastAsia="zh-CN"/>
        </w:rPr>
        <w:t>“</w:t>
      </w:r>
      <w:r>
        <w:rPr>
          <w:lang w:eastAsia="zh-CN"/>
        </w:rPr>
        <w:t>童话世界</w:t>
      </w:r>
      <w:r>
        <w:rPr>
          <w:rFonts w:hint="eastAsia"/>
          <w:lang w:eastAsia="zh-CN"/>
        </w:rPr>
        <w:t>”</w:t>
      </w:r>
      <w:r>
        <w:rPr>
          <w:lang w:eastAsia="zh-CN"/>
        </w:rPr>
        <w:t>的意境。</w:t>
      </w:r>
      <w:r>
        <w:rPr>
          <w:lang w:eastAsia="zh-CN"/>
        </w:rPr>
        <w:drawing>
          <wp:anchor distT="0" distB="0" distL="114300" distR="114300" simplePos="0" relativeHeight="251677696" behindDoc="1" locked="0" layoutInCell="1" allowOverlap="1">
            <wp:simplePos x="0" y="0"/>
            <wp:positionH relativeFrom="margin">
              <wp:posOffset>-1905</wp:posOffset>
            </wp:positionH>
            <wp:positionV relativeFrom="paragraph">
              <wp:posOffset>887730</wp:posOffset>
            </wp:positionV>
            <wp:extent cx="5506085" cy="2580005"/>
            <wp:effectExtent l="0" t="0" r="0" b="0"/>
            <wp:wrapTight wrapText="bothSides">
              <wp:wrapPolygon>
                <wp:start x="0" y="0"/>
                <wp:lineTo x="0" y="21371"/>
                <wp:lineTo x="21523" y="21371"/>
                <wp:lineTo x="21523" y="0"/>
                <wp:lineTo x="0" y="0"/>
              </wp:wrapPolygon>
            </wp:wrapTight>
            <wp:docPr id="131" name="图片 41" descr="冬之阳明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41" descr="冬之阳明32"/>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506085" cy="2580005"/>
                    </a:xfrm>
                    <a:prstGeom prst="rect">
                      <a:avLst/>
                    </a:prstGeom>
                    <a:noFill/>
                    <a:ln>
                      <a:noFill/>
                    </a:ln>
                  </pic:spPr>
                </pic:pic>
              </a:graphicData>
            </a:graphic>
          </wp:anchor>
        </w:drawing>
      </w:r>
    </w:p>
    <w:p w14:paraId="2495C206">
      <w:pPr>
        <w:ind w:firstLine="480"/>
        <w:rPr>
          <w:lang w:eastAsia="zh-CN"/>
        </w:rPr>
      </w:pPr>
      <w:r>
        <w:rPr>
          <w:rFonts w:hint="eastAsia"/>
          <w:lang w:eastAsia="zh-CN"/>
        </w:rPr>
        <w:t>(</w:t>
      </w:r>
      <w:r>
        <w:rPr>
          <w:lang w:eastAsia="zh-CN"/>
        </w:rPr>
        <w:t>4</w:t>
      </w:r>
      <w:r>
        <w:rPr>
          <w:rFonts w:hint="eastAsia"/>
          <w:lang w:eastAsia="zh-CN"/>
        </w:rPr>
        <w:t>)</w:t>
      </w:r>
      <w:r>
        <w:rPr>
          <w:lang w:eastAsia="zh-CN"/>
        </w:rPr>
        <w:t>水文景观资源</w:t>
      </w:r>
    </w:p>
    <w:p w14:paraId="204128F0">
      <w:pPr>
        <w:ind w:firstLine="480"/>
        <w:rPr>
          <w:lang w:eastAsia="zh-CN"/>
        </w:rPr>
      </w:pPr>
      <w:r>
        <w:rPr>
          <w:lang w:eastAsia="zh-CN"/>
        </w:rPr>
        <w:t>山因水更幽，水因山更绿。阳明山山形峻美，溪流纵横，山好、林好、水好，溪流与茂密森林相得益彰。公园内有大小溪流130多条，高山泉眼20多口，飞瀑20多条，深潭30多处，它们汇聚成两条河流，一条是桴江，一条是大黄江源，这两条河都汇入潇水，水质极好。</w:t>
      </w:r>
    </w:p>
    <w:p w14:paraId="7ECC40F9">
      <w:pPr>
        <w:ind w:firstLine="482"/>
        <w:rPr>
          <w:b/>
          <w:bCs/>
          <w:lang w:eastAsia="zh-CN"/>
        </w:rPr>
      </w:pPr>
      <w:r>
        <w:rPr>
          <w:b/>
          <w:bCs/>
          <w:lang w:eastAsia="zh-CN"/>
        </w:rPr>
        <w:t>飞珠落玉</w:t>
      </w:r>
    </w:p>
    <w:p w14:paraId="7CE57CBA">
      <w:pPr>
        <w:ind w:firstLine="480"/>
        <w:rPr>
          <w:lang w:eastAsia="zh-CN"/>
        </w:rPr>
      </w:pPr>
      <w:r>
        <w:rPr>
          <w:lang w:eastAsia="zh-CN"/>
        </w:rPr>
        <w:t>在杜鹃花海景区的微波台北面1.5km处，有一个优美的跌水瀑布，河床在此突然平展断陷，溪水跌落，珠花四溅，玉落碧潭。高5m，宽3m，像玉帘般悬挂在河中，煞是秀美。</w:t>
      </w:r>
    </w:p>
    <w:p w14:paraId="0AEED78C">
      <w:pPr>
        <w:ind w:firstLine="482"/>
        <w:rPr>
          <w:b/>
          <w:bCs/>
          <w:lang w:eastAsia="zh-CN"/>
        </w:rPr>
      </w:pPr>
      <w:r>
        <w:rPr>
          <w:b/>
          <w:bCs/>
          <w:lang w:eastAsia="zh-CN"/>
        </w:rPr>
        <w:t>长菖湾瀑布</w:t>
      </w:r>
    </w:p>
    <w:p w14:paraId="07CFBF99">
      <w:pPr>
        <w:ind w:firstLine="480"/>
        <w:rPr>
          <w:lang w:eastAsia="zh-CN"/>
        </w:rPr>
      </w:pPr>
      <w:r>
        <w:rPr>
          <w:lang w:eastAsia="zh-CN"/>
        </w:rPr>
        <w:t>在杜鹃花海景区的飞珠落玉瀑布西面150m处，溪水从长菖湾漕里流出自南向北，至汇口处突然折而向东注入黄江源。瀑布落差70m。从光洁的石崖凌空而下，形成四叠，瀑布水帘晶莹碧亮，若雨后放晴，银帘映日，生七色彩虹，则更有一番风味。</w:t>
      </w:r>
    </w:p>
    <w:p w14:paraId="47F60ABA">
      <w:pPr>
        <w:ind w:firstLine="482"/>
        <w:rPr>
          <w:b/>
          <w:bCs/>
          <w:lang w:eastAsia="zh-CN"/>
        </w:rPr>
      </w:pPr>
      <w:r>
        <w:rPr>
          <w:b/>
          <w:bCs/>
          <w:lang w:eastAsia="zh-CN"/>
        </w:rPr>
        <w:t>大黄江源瀑布群</w:t>
      </w:r>
    </w:p>
    <w:p w14:paraId="4506599C">
      <w:pPr>
        <w:ind w:firstLine="480"/>
        <w:rPr>
          <w:lang w:eastAsia="zh-CN"/>
        </w:rPr>
      </w:pPr>
      <w:r>
        <w:rPr>
          <w:lang w:eastAsia="zh-CN"/>
        </w:rPr>
        <w:t>大黄江源就是唐朝柳宗元笔下《游黄溪记》黄溪的上游，大黄江源崖峻谷幽，溪流飞出成瀑，下跌成潭，瀑分7级，一瀑一潭，潭瀑相连，潭如玉盆，瀑似玉带，每一级的落差都在30m以上，昔《宁远县志》称它为</w:t>
      </w:r>
      <w:r>
        <w:rPr>
          <w:rFonts w:hint="eastAsia"/>
          <w:lang w:eastAsia="zh-CN"/>
        </w:rPr>
        <w:t>“</w:t>
      </w:r>
      <w:r>
        <w:rPr>
          <w:lang w:eastAsia="zh-CN"/>
        </w:rPr>
        <w:t>七星荡</w:t>
      </w:r>
      <w:r>
        <w:rPr>
          <w:rFonts w:hint="eastAsia"/>
          <w:lang w:eastAsia="zh-CN"/>
        </w:rPr>
        <w:t>”</w:t>
      </w:r>
      <w:r>
        <w:rPr>
          <w:lang w:eastAsia="zh-CN"/>
        </w:rPr>
        <w:t>，连成奇特景观，被旅游专家誉为</w:t>
      </w:r>
      <w:r>
        <w:rPr>
          <w:rFonts w:hint="eastAsia"/>
          <w:lang w:eastAsia="zh-CN"/>
        </w:rPr>
        <w:t>“</w:t>
      </w:r>
      <w:r>
        <w:rPr>
          <w:lang w:eastAsia="zh-CN"/>
        </w:rPr>
        <w:t>湖南的九寨沟</w:t>
      </w:r>
      <w:r>
        <w:rPr>
          <w:rFonts w:hint="eastAsia"/>
          <w:lang w:eastAsia="zh-CN"/>
        </w:rPr>
        <w:t>”</w:t>
      </w:r>
      <w:r>
        <w:rPr>
          <w:lang w:eastAsia="zh-CN"/>
        </w:rPr>
        <w:t>，已入选百姓喜爱的</w:t>
      </w:r>
      <w:r>
        <w:rPr>
          <w:rFonts w:hint="eastAsia"/>
          <w:lang w:eastAsia="zh-CN"/>
        </w:rPr>
        <w:t>“</w:t>
      </w:r>
      <w:r>
        <w:rPr>
          <w:lang w:eastAsia="zh-CN"/>
        </w:rPr>
        <w:t>湖南百景</w:t>
      </w:r>
      <w:r>
        <w:rPr>
          <w:rFonts w:hint="eastAsia"/>
          <w:lang w:eastAsia="zh-CN"/>
        </w:rPr>
        <w:t>”</w:t>
      </w:r>
      <w:r>
        <w:rPr>
          <w:lang w:eastAsia="zh-CN"/>
        </w:rPr>
        <w:t>和</w:t>
      </w:r>
      <w:r>
        <w:rPr>
          <w:rFonts w:hint="eastAsia"/>
          <w:lang w:eastAsia="zh-CN"/>
        </w:rPr>
        <w:t>“</w:t>
      </w:r>
      <w:r>
        <w:rPr>
          <w:lang w:eastAsia="zh-CN"/>
        </w:rPr>
        <w:t>新潇湘八景</w:t>
      </w:r>
      <w:r>
        <w:rPr>
          <w:rFonts w:hint="eastAsia"/>
          <w:lang w:eastAsia="zh-CN"/>
        </w:rPr>
        <w:t>”</w:t>
      </w:r>
      <w:r>
        <w:rPr>
          <w:lang w:eastAsia="zh-CN"/>
        </w:rPr>
        <w:t>。这里崖峻谷幽，溪水曲折婉转。第一级的瀑顶河床是光洁平滑的花岗岩体，常年的冲刷使花岗岩中的长石、石英和黑云母呈现黑白相间的斑驳花纹，像一张豹皮平铺在水底，在清澈的水下，豹纹游鱼一览无余，溪水滑过瀑顶，咆哮如雷，水花四溅，气势磅礴，如猛虎下山，于是人称</w:t>
      </w:r>
      <w:r>
        <w:rPr>
          <w:rFonts w:hint="eastAsia"/>
          <w:lang w:eastAsia="zh-CN"/>
        </w:rPr>
        <w:t>“</w:t>
      </w:r>
      <w:r>
        <w:rPr>
          <w:lang w:eastAsia="zh-CN"/>
        </w:rPr>
        <w:t>虎豹瀑</w:t>
      </w:r>
      <w:r>
        <w:rPr>
          <w:rFonts w:hint="eastAsia"/>
          <w:lang w:eastAsia="zh-CN"/>
        </w:rPr>
        <w:t>”</w:t>
      </w:r>
      <w:r>
        <w:rPr>
          <w:lang w:eastAsia="zh-CN"/>
        </w:rPr>
        <w:t>；第二、第三、第四级，一强一弱的交替着，抑扬顿挫，东避西匿，相连而下；到了第五级，溪水突然跌落30余m，如白蛟翻滚，声势逼人。瀑下是一个500</w:t>
      </w:r>
      <w:r>
        <w:rPr>
          <w:rFonts w:hint="eastAsia"/>
          <w:lang w:eastAsia="zh-CN"/>
        </w:rPr>
        <w:t>m</w:t>
      </w:r>
      <w:r>
        <w:rPr>
          <w:rFonts w:hint="eastAsia"/>
          <w:vertAlign w:val="superscript"/>
          <w:lang w:eastAsia="zh-CN"/>
        </w:rPr>
        <w:t>2</w:t>
      </w:r>
      <w:r>
        <w:rPr>
          <w:lang w:eastAsia="zh-CN"/>
        </w:rPr>
        <w:t>左右的碧潭，潭水清幽，深不可测。</w:t>
      </w:r>
    </w:p>
    <w:p w14:paraId="1FA89FEC">
      <w:pPr>
        <w:spacing w:before="51"/>
        <w:ind w:firstLine="480"/>
        <w:jc w:val="center"/>
        <w:rPr>
          <w:rFonts w:cs="Times New Roman"/>
          <w:szCs w:val="24"/>
          <w:lang w:eastAsia="zh-CN"/>
        </w:rPr>
      </w:pPr>
      <w:r>
        <w:rPr>
          <w:rFonts w:cs="Times New Roman"/>
          <w:szCs w:val="24"/>
          <w:lang w:eastAsia="zh-CN"/>
        </w:rPr>
        <w:drawing>
          <wp:anchor distT="0" distB="0" distL="114300" distR="114300" simplePos="0" relativeHeight="251671552" behindDoc="1" locked="0" layoutInCell="1" allowOverlap="1">
            <wp:simplePos x="0" y="0"/>
            <wp:positionH relativeFrom="margin">
              <wp:align>center</wp:align>
            </wp:positionH>
            <wp:positionV relativeFrom="margin">
              <wp:align>top</wp:align>
            </wp:positionV>
            <wp:extent cx="5304790" cy="2896870"/>
            <wp:effectExtent l="0" t="0" r="0" b="0"/>
            <wp:wrapTight wrapText="bothSides">
              <wp:wrapPolygon>
                <wp:start x="0" y="0"/>
                <wp:lineTo x="0" y="21448"/>
                <wp:lineTo x="21486" y="21448"/>
                <wp:lineTo x="21486" y="0"/>
                <wp:lineTo x="0" y="0"/>
              </wp:wrapPolygon>
            </wp:wrapTight>
            <wp:docPr id="133" name="图片 42"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42" descr="timg"/>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5304790" cy="2896870"/>
                    </a:xfrm>
                    <a:prstGeom prst="rect">
                      <a:avLst/>
                    </a:prstGeom>
                    <a:noFill/>
                    <a:ln>
                      <a:noFill/>
                    </a:ln>
                  </pic:spPr>
                </pic:pic>
              </a:graphicData>
            </a:graphic>
          </wp:anchor>
        </w:drawing>
      </w:r>
    </w:p>
    <w:p w14:paraId="230BE9F1">
      <w:pPr>
        <w:ind w:firstLine="482"/>
        <w:rPr>
          <w:b/>
          <w:bCs/>
          <w:lang w:eastAsia="zh-CN"/>
        </w:rPr>
      </w:pPr>
      <w:r>
        <w:rPr>
          <w:b/>
          <w:bCs/>
          <w:lang w:eastAsia="zh-CN"/>
        </w:rPr>
        <w:t>三岔水瀑布</w:t>
      </w:r>
    </w:p>
    <w:p w14:paraId="1B1A87C9">
      <w:pPr>
        <w:ind w:firstLine="480"/>
        <w:rPr>
          <w:lang w:eastAsia="zh-CN"/>
        </w:rPr>
      </w:pPr>
      <w:r>
        <w:rPr>
          <w:lang w:eastAsia="zh-CN"/>
        </w:rPr>
        <w:t>在黄江源景区的大黄江源瀑布群东北1.5km处，两岸青山夹着一帘白练，久居深闺。这里无山不绿，人迹罕至，高大的乔木遮天蔽日。瀑布落差20m，水量大时，上游激流喷薄而出，使得瀑布临空飞架，令人称奇。</w:t>
      </w:r>
    </w:p>
    <w:p w14:paraId="63D7FD90">
      <w:pPr>
        <w:ind w:firstLine="482"/>
        <w:rPr>
          <w:b/>
          <w:bCs/>
          <w:lang w:eastAsia="zh-CN"/>
        </w:rPr>
      </w:pPr>
      <w:r>
        <w:rPr>
          <w:b/>
          <w:bCs/>
          <w:lang w:eastAsia="zh-CN"/>
        </w:rPr>
        <w:t>猛虎跳涧</w:t>
      </w:r>
    </w:p>
    <w:p w14:paraId="70276B74">
      <w:pPr>
        <w:ind w:firstLine="480"/>
        <w:rPr>
          <w:lang w:eastAsia="zh-CN"/>
        </w:rPr>
      </w:pPr>
      <w:r>
        <w:rPr>
          <w:lang w:eastAsia="zh-CN"/>
        </w:rPr>
        <w:t>黄江源此时汇入了三岔水及葛藤珐的溪流，水量激增，而到这里后河道突然被两岸绝壁挤成一线天水，滔滔的河水，变成一把鬼头大刀，划破魔鬼的肚皮破腔而出，势如下山的猛虎，奔腾的野马，锐不可挡，一往无前，</w:t>
      </w:r>
      <w:r>
        <w:rPr>
          <w:rFonts w:hint="eastAsia"/>
          <w:lang w:eastAsia="zh-CN"/>
        </w:rPr>
        <w:t>“</w:t>
      </w:r>
      <w:r>
        <w:rPr>
          <w:lang w:eastAsia="zh-CN"/>
        </w:rPr>
        <w:t>猛虎跳涧</w:t>
      </w:r>
      <w:r>
        <w:rPr>
          <w:rFonts w:hint="eastAsia"/>
          <w:lang w:eastAsia="zh-CN"/>
        </w:rPr>
        <w:t>”</w:t>
      </w:r>
      <w:r>
        <w:rPr>
          <w:lang w:eastAsia="zh-CN"/>
        </w:rPr>
        <w:t>由此得名。</w:t>
      </w:r>
    </w:p>
    <w:p w14:paraId="335241CB">
      <w:pPr>
        <w:ind w:firstLine="482"/>
        <w:rPr>
          <w:b/>
          <w:bCs/>
          <w:lang w:eastAsia="zh-CN"/>
        </w:rPr>
      </w:pPr>
      <w:r>
        <w:rPr>
          <w:b/>
          <w:bCs/>
          <w:lang w:eastAsia="zh-CN"/>
        </w:rPr>
        <w:t>万和湖</w:t>
      </w:r>
    </w:p>
    <w:p w14:paraId="75B2DDF0">
      <w:pPr>
        <w:ind w:firstLine="480"/>
        <w:rPr>
          <w:lang w:eastAsia="zh-CN"/>
        </w:rPr>
      </w:pPr>
      <w:r>
        <w:rPr>
          <w:lang w:eastAsia="zh-CN"/>
        </w:rPr>
        <w:t>在万和湖景区内有一人工湖，总面积约14.0</w:t>
      </w:r>
      <w:r>
        <w:rPr>
          <w:rFonts w:hint="eastAsia"/>
          <w:lang w:val="zh-CN" w:eastAsia="zh-CN"/>
        </w:rPr>
        <w:t>hm</w:t>
      </w:r>
      <w:r>
        <w:rPr>
          <w:rFonts w:hint="eastAsia"/>
          <w:vertAlign w:val="superscript"/>
          <w:lang w:val="zh-CN" w:eastAsia="zh-CN"/>
        </w:rPr>
        <w:t>2</w:t>
      </w:r>
      <w:r>
        <w:rPr>
          <w:lang w:eastAsia="zh-CN"/>
        </w:rPr>
        <w:t>，平均水深4.6m，最深处达19m。四面青山犹如莲花宝座。而静谧温柔的万和湖，恰似温顺的婴儿躺在四面青山的怀抱里，吮吸着大自然的精华雨露。唐宋八大家柳宗元也曾驻足阳明山脚下，写下了著名诗篇《游黄溪记》，这里就是黄溪的源头，万和湖象征着天地之和，阴阳之和。</w:t>
      </w:r>
    </w:p>
    <w:p w14:paraId="69F92E2E">
      <w:pPr>
        <w:spacing w:before="51"/>
        <w:ind w:firstLine="480"/>
        <w:jc w:val="center"/>
        <w:rPr>
          <w:rFonts w:cs="Times New Roman"/>
          <w:szCs w:val="24"/>
          <w:lang w:eastAsia="zh-CN"/>
        </w:rPr>
      </w:pPr>
      <w:r>
        <w:rPr>
          <w:rFonts w:cs="Times New Roman"/>
          <w:szCs w:val="24"/>
          <w:lang w:eastAsia="zh-CN"/>
        </w:rPr>
        <w:drawing>
          <wp:inline distT="0" distB="0" distL="114300" distR="114300">
            <wp:extent cx="5255895" cy="2065655"/>
            <wp:effectExtent l="0" t="0" r="1905" b="0"/>
            <wp:docPr id="136" name="图片 43" descr="万和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43" descr="万和湖"/>
                    <pic:cNvPicPr>
                      <a:picLocks noChangeAspect="1"/>
                    </pic:cNvPicPr>
                  </pic:nvPicPr>
                  <pic:blipFill>
                    <a:blip r:embed="rId58"/>
                    <a:stretch>
                      <a:fillRect/>
                    </a:stretch>
                  </pic:blipFill>
                  <pic:spPr>
                    <a:xfrm>
                      <a:off x="0" y="0"/>
                      <a:ext cx="5255895" cy="2065655"/>
                    </a:xfrm>
                    <a:prstGeom prst="rect">
                      <a:avLst/>
                    </a:prstGeom>
                    <a:noFill/>
                    <a:ln>
                      <a:noFill/>
                    </a:ln>
                  </pic:spPr>
                </pic:pic>
              </a:graphicData>
            </a:graphic>
          </wp:inline>
        </w:drawing>
      </w:r>
    </w:p>
    <w:p w14:paraId="176D8D6E">
      <w:pPr>
        <w:ind w:firstLine="482"/>
        <w:rPr>
          <w:b/>
          <w:bCs/>
          <w:lang w:eastAsia="zh-CN"/>
        </w:rPr>
      </w:pPr>
      <w:r>
        <w:rPr>
          <w:b/>
          <w:bCs/>
          <w:lang w:eastAsia="zh-CN"/>
        </w:rPr>
        <w:t>龙潭</w:t>
      </w:r>
    </w:p>
    <w:p w14:paraId="60D76BF5">
      <w:pPr>
        <w:ind w:firstLine="480"/>
        <w:rPr>
          <w:lang w:eastAsia="zh-CN"/>
        </w:rPr>
      </w:pPr>
      <w:r>
        <w:rPr>
          <w:lang w:eastAsia="zh-CN"/>
        </w:rPr>
        <w:t>在万和湖景区的歇马庵西700m处，海拔1150m，是一处三级跌水组成的水景。一潭深不可测，长4m，宽2m，一个落差3m的跌水坠入潭中，水流湍急、水四溅，水面只见白色翻滚的漩涡，潭由岩石围城，位于一大岩石下，岩顶灌木覆盖；水从潭底冒出经2.5m落差的跌入二潭。二潭清澈见底。潭长15m，宽10m；二潭出口处有一大岩石，登岩观景甚佳。水流被此岩分为两股，狭窄的水流扭转90度泻入三潭，落差15m，水花撞击石块，形成瀑上瀑。三潭长20m，宽20m，近圆形，一条小溪自东南注入三潭。三个潭紧密相连，二潭的转折，使游人不能一眼尽览，韵味十足。周围群山耸立，更具风采，这里不仅景色奇异，供人玩赏，而且传说动人，引人遐思。相传这里是大禹治水囚龙之所，因而得名。</w:t>
      </w:r>
    </w:p>
    <w:p w14:paraId="43557C48">
      <w:pPr>
        <w:ind w:firstLine="482"/>
        <w:rPr>
          <w:b/>
          <w:bCs/>
          <w:lang w:eastAsia="zh-CN"/>
        </w:rPr>
      </w:pPr>
      <w:r>
        <w:rPr>
          <w:b/>
          <w:bCs/>
          <w:lang w:eastAsia="zh-CN"/>
        </w:rPr>
        <w:t>珠落玉盘瀑布</w:t>
      </w:r>
    </w:p>
    <w:p w14:paraId="418DADAC">
      <w:pPr>
        <w:ind w:firstLine="480"/>
        <w:rPr>
          <w:lang w:eastAsia="zh-CN"/>
        </w:rPr>
      </w:pPr>
      <w:r>
        <w:rPr>
          <w:rFonts w:hint="eastAsia"/>
          <w:lang w:eastAsia="zh-CN"/>
        </w:rPr>
        <w:t>“</w:t>
      </w:r>
      <w:r>
        <w:rPr>
          <w:lang w:eastAsia="zh-CN"/>
        </w:rPr>
        <w:t>珠落玉盘</w:t>
      </w:r>
      <w:r>
        <w:rPr>
          <w:rFonts w:hint="eastAsia"/>
          <w:lang w:eastAsia="zh-CN"/>
        </w:rPr>
        <w:t>”</w:t>
      </w:r>
      <w:r>
        <w:rPr>
          <w:lang w:eastAsia="zh-CN"/>
        </w:rPr>
        <w:t>瀑布位于小黄江源天梯旁边，从红军纪念亭往下1km处，瀑高15m，分成3级，瀑布下水气氤氲，感觉清新无比。晴天时，水雾映日，生七色彩虹。</w:t>
      </w:r>
    </w:p>
    <w:p w14:paraId="734C7F51">
      <w:pPr>
        <w:ind w:firstLine="482"/>
        <w:rPr>
          <w:b/>
          <w:bCs/>
          <w:lang w:eastAsia="zh-CN"/>
        </w:rPr>
      </w:pPr>
      <w:r>
        <w:rPr>
          <w:b/>
          <w:bCs/>
          <w:lang w:eastAsia="zh-CN"/>
        </w:rPr>
        <w:t>小黄江源瀑布</w:t>
      </w:r>
    </w:p>
    <w:p w14:paraId="58BD2C7A">
      <w:pPr>
        <w:ind w:firstLine="480"/>
        <w:rPr>
          <w:lang w:eastAsia="zh-CN"/>
        </w:rPr>
      </w:pPr>
      <w:r>
        <w:rPr>
          <w:lang w:eastAsia="zh-CN"/>
        </w:rPr>
        <w:t>在黄江源景区有一瀑布高达40余m，水流宽3m像一条白色的绸带从半空飘下，水雾弥漫，瀑声轰鸣。瀑布旁有三块石头，好似三只仙龟趴在一起，就是仙龟戏水，当地人称仙鹤望泉。此处是阳明山负氧离子含量最多的地方，高达66800个</w:t>
      </w:r>
      <w:r>
        <w:rPr>
          <w:rFonts w:hint="eastAsia"/>
          <w:lang w:eastAsia="zh-CN"/>
        </w:rPr>
        <w:t>/cm</w:t>
      </w:r>
      <w:r>
        <w:rPr>
          <w:rFonts w:hint="eastAsia"/>
          <w:vertAlign w:val="superscript"/>
          <w:lang w:eastAsia="zh-CN"/>
        </w:rPr>
        <w:t>3</w:t>
      </w:r>
      <w:r>
        <w:rPr>
          <w:lang w:eastAsia="zh-CN"/>
        </w:rPr>
        <w:t>。</w:t>
      </w:r>
    </w:p>
    <w:p w14:paraId="6C602D71">
      <w:pPr>
        <w:ind w:firstLine="482"/>
        <w:rPr>
          <w:b/>
          <w:bCs/>
          <w:lang w:eastAsia="zh-CN"/>
        </w:rPr>
      </w:pPr>
      <w:r>
        <w:rPr>
          <w:b/>
          <w:bCs/>
          <w:lang w:eastAsia="zh-CN"/>
        </w:rPr>
        <w:t>银蛇潭瀑布</w:t>
      </w:r>
    </w:p>
    <w:p w14:paraId="40BC422F">
      <w:pPr>
        <w:ind w:firstLine="480"/>
        <w:rPr>
          <w:lang w:eastAsia="zh-CN"/>
        </w:rPr>
      </w:pPr>
      <w:r>
        <w:rPr>
          <w:lang w:eastAsia="zh-CN"/>
        </w:rPr>
        <w:t>在黄江源景区的游道边海拔1040m处，有一个宽5.0m，落差10m，瀑布似沿着狭窄光滑的石槽注入碧绿的潭中，潭直径3m，色呈墨绿，深不见底。在这里，两边起伏的山峦好似奔腾的青龙，而峡谷中的流水就像蜿蜒的银蛇。关于银蛇潭还有一个古老的传说。据《阳明山志》载：七祖佛爷郑秀峰三岁即食素，百般拒荤，不近女色，其父在他14岁时为他娶妻胡氏，新婚后七天七夜</w:t>
      </w:r>
      <w:r>
        <w:rPr>
          <w:rFonts w:hint="eastAsia"/>
          <w:lang w:eastAsia="zh-CN"/>
        </w:rPr>
        <w:t>“</w:t>
      </w:r>
      <w:r>
        <w:rPr>
          <w:lang w:eastAsia="zh-CN"/>
        </w:rPr>
        <w:t>稳心不移</w:t>
      </w:r>
      <w:r>
        <w:rPr>
          <w:rFonts w:hint="eastAsia"/>
          <w:lang w:eastAsia="zh-CN"/>
        </w:rPr>
        <w:t>”</w:t>
      </w:r>
      <w:r>
        <w:rPr>
          <w:lang w:eastAsia="zh-CN"/>
        </w:rPr>
        <w:t>，后来秀峰到阳明山削发为僧，其妻胡氏也来阳明山做了尼姑。秀峰禅师坐化成佛后，为感激胡氏的一片虔诚之心，在她殁后让她变成了一条银蛇王。每年的农历十月初二佛爷生日时，银蛇就出来起舞拜寿。</w:t>
      </w:r>
    </w:p>
    <w:p w14:paraId="1143E1EA">
      <w:pPr>
        <w:ind w:firstLine="482"/>
        <w:rPr>
          <w:b/>
          <w:bCs/>
          <w:lang w:eastAsia="zh-CN"/>
        </w:rPr>
      </w:pPr>
      <w:r>
        <w:rPr>
          <w:b/>
          <w:bCs/>
          <w:lang w:eastAsia="zh-CN"/>
        </w:rPr>
        <w:t>恋人潭</w:t>
      </w:r>
    </w:p>
    <w:p w14:paraId="743E8381">
      <w:pPr>
        <w:ind w:firstLine="480"/>
        <w:rPr>
          <w:lang w:eastAsia="zh-CN"/>
        </w:rPr>
      </w:pPr>
      <w:r>
        <w:rPr>
          <w:lang w:eastAsia="zh-CN"/>
        </w:rPr>
        <w:t>在保育区的幽静林附近，有一处水潭，水体景观优美，清澈的溪水像恋人的眼睛，碧绿的湖面如温柔的臂弯，潺潺流水似恋人间的呢喃。情人们在蓝天白云下，漫步于青山竹林间，看野花摇曳，听小河淌水，这片爱情港湾尤显万种风情。因此处曾留下无数美好的爱情故事，故雅称</w:t>
      </w:r>
      <w:r>
        <w:rPr>
          <w:rFonts w:hint="eastAsia"/>
          <w:lang w:eastAsia="zh-CN"/>
        </w:rPr>
        <w:t>“</w:t>
      </w:r>
      <w:r>
        <w:rPr>
          <w:lang w:eastAsia="zh-CN"/>
        </w:rPr>
        <w:t>恋人潭</w:t>
      </w:r>
      <w:r>
        <w:rPr>
          <w:rFonts w:hint="eastAsia"/>
          <w:lang w:eastAsia="zh-CN"/>
        </w:rPr>
        <w:t>”</w:t>
      </w:r>
      <w:r>
        <w:rPr>
          <w:lang w:eastAsia="zh-CN"/>
        </w:rPr>
        <w:t>。</w:t>
      </w:r>
    </w:p>
    <w:p w14:paraId="1D47E03B">
      <w:pPr>
        <w:pStyle w:val="4"/>
      </w:pPr>
      <w:r>
        <w:t>2.1.8人文景观资源调查</w:t>
      </w:r>
    </w:p>
    <w:p w14:paraId="6971EE5B">
      <w:pPr>
        <w:ind w:firstLine="480"/>
        <w:rPr>
          <w:lang w:eastAsia="zh-CN"/>
        </w:rPr>
      </w:pPr>
      <w:r>
        <w:rPr>
          <w:rFonts w:hint="eastAsia" w:cs="宋体"/>
          <w:lang w:eastAsia="zh-CN"/>
        </w:rPr>
        <w:t>(1)</w:t>
      </w:r>
      <w:r>
        <w:rPr>
          <w:lang w:eastAsia="zh-CN"/>
        </w:rPr>
        <w:t>历史遗迹</w:t>
      </w:r>
    </w:p>
    <w:p w14:paraId="52D1F85E">
      <w:pPr>
        <w:ind w:firstLine="482"/>
        <w:rPr>
          <w:lang w:eastAsia="zh-CN"/>
        </w:rPr>
      </w:pPr>
      <w:r>
        <w:rPr>
          <w:b/>
          <w:bCs/>
          <w:lang w:eastAsia="zh-CN"/>
        </w:rPr>
        <w:t>万寿寺：</w:t>
      </w:r>
      <w:r>
        <w:rPr>
          <w:lang w:eastAsia="zh-CN"/>
        </w:rPr>
        <w:t>万寿寺位于杜鹃花海景区，海拔1357m，明嘉靖二十九年</w:t>
      </w:r>
      <w:r>
        <w:rPr>
          <w:rFonts w:hint="eastAsia"/>
          <w:lang w:eastAsia="zh-CN"/>
        </w:rPr>
        <w:t>(</w:t>
      </w:r>
      <w:r>
        <w:rPr>
          <w:lang w:eastAsia="zh-CN"/>
        </w:rPr>
        <w:t>1550年</w:t>
      </w:r>
      <w:r>
        <w:rPr>
          <w:rFonts w:hint="eastAsia"/>
          <w:lang w:eastAsia="zh-CN"/>
        </w:rPr>
        <w:t>)</w:t>
      </w:r>
      <w:r>
        <w:rPr>
          <w:lang w:eastAsia="zh-CN"/>
        </w:rPr>
        <w:t>，秀峰禅师在此坐化成佛。万寿寺原名阳明山寺，始建于宋，重修于明。现有七祖宝殿、观音殿、祖师殿、报恩堂、法王宝殿、弥勒殿、三圣宝殿、地藏殿等八个殿堂，供奉的有初祖达摩、七祖秀峰禅师等佛像。</w:t>
      </w:r>
    </w:p>
    <w:p w14:paraId="5C3209C9">
      <w:pPr>
        <w:ind w:firstLine="480"/>
        <w:rPr>
          <w:lang w:eastAsia="zh-CN"/>
        </w:rPr>
      </w:pPr>
      <w:r>
        <w:rPr>
          <w:lang w:eastAsia="zh-CN"/>
        </w:rPr>
        <w:t>原来的万寿古寺三纵六横，占地5000多</w:t>
      </w:r>
      <w:r>
        <w:rPr>
          <w:rFonts w:hint="eastAsia"/>
          <w:lang w:eastAsia="zh-CN"/>
        </w:rPr>
        <w:t>m</w:t>
      </w:r>
      <w:r>
        <w:rPr>
          <w:rFonts w:hint="eastAsia"/>
          <w:vertAlign w:val="superscript"/>
          <w:lang w:eastAsia="zh-CN"/>
        </w:rPr>
        <w:t>2</w:t>
      </w:r>
      <w:r>
        <w:rPr>
          <w:lang w:eastAsia="zh-CN"/>
        </w:rPr>
        <w:t>，修复后的寺殿座北朝南，气势恢宏磅礴，让人看了顿起虔诚之心。阳明山曾是一片汪洋大海，大禹治水时把两条兴风作浪的蛟龙镇压在左右两条山脉处。左边山脉的植被偏黄色，右边的植被呈黛青色，所以称之为</w:t>
      </w:r>
      <w:r>
        <w:rPr>
          <w:rFonts w:hint="eastAsia"/>
          <w:lang w:eastAsia="zh-CN"/>
        </w:rPr>
        <w:t>“</w:t>
      </w:r>
      <w:r>
        <w:rPr>
          <w:lang w:eastAsia="zh-CN"/>
        </w:rPr>
        <w:t>左黄龙、右青龙</w:t>
      </w:r>
      <w:r>
        <w:rPr>
          <w:rFonts w:hint="eastAsia"/>
          <w:lang w:eastAsia="zh-CN"/>
        </w:rPr>
        <w:t>”</w:t>
      </w:r>
      <w:r>
        <w:rPr>
          <w:lang w:eastAsia="zh-CN"/>
        </w:rPr>
        <w:t>。而万寿寺恰恰处于两条龙首之处，又有</w:t>
      </w:r>
      <w:r>
        <w:rPr>
          <w:rFonts w:hint="eastAsia"/>
          <w:lang w:eastAsia="zh-CN"/>
        </w:rPr>
        <w:t>“</w:t>
      </w:r>
      <w:r>
        <w:rPr>
          <w:lang w:eastAsia="zh-CN"/>
        </w:rPr>
        <w:t>双龙戏珠</w:t>
      </w:r>
      <w:r>
        <w:rPr>
          <w:rFonts w:hint="eastAsia"/>
          <w:lang w:eastAsia="zh-CN"/>
        </w:rPr>
        <w:t>”</w:t>
      </w:r>
      <w:r>
        <w:rPr>
          <w:lang w:eastAsia="zh-CN"/>
        </w:rPr>
        <w:t>的说法，南面峰峦叠嶂，层次分明，可见七到八个山体层次，如莲台似花座，寺后及左侧石</w:t>
      </w:r>
      <w:r>
        <w:rPr>
          <w:rFonts w:hint="eastAsia"/>
          <w:lang w:eastAsia="zh-CN"/>
        </w:rPr>
        <w:t>“</w:t>
      </w:r>
      <w:r>
        <w:rPr>
          <w:lang w:eastAsia="zh-CN"/>
        </w:rPr>
        <w:t>无树不苔封</w:t>
      </w:r>
      <w:r>
        <w:rPr>
          <w:rFonts w:hint="eastAsia"/>
          <w:lang w:eastAsia="zh-CN"/>
        </w:rPr>
        <w:t>”</w:t>
      </w:r>
      <w:r>
        <w:rPr>
          <w:lang w:eastAsia="zh-CN"/>
        </w:rPr>
        <w:t>的原始次森林，寺前及右侧修竹丛生，四季常青，是天造一块佛门圣地。</w:t>
      </w:r>
    </w:p>
    <w:p w14:paraId="06AE437B">
      <w:pPr>
        <w:ind w:firstLine="482"/>
        <w:rPr>
          <w:lang w:eastAsia="zh-CN"/>
        </w:rPr>
      </w:pPr>
      <w:r>
        <w:rPr>
          <w:b/>
          <w:bCs/>
          <w:lang w:eastAsia="zh-CN"/>
        </w:rPr>
        <w:t>白云寺：</w:t>
      </w:r>
      <w:r>
        <w:rPr>
          <w:lang w:eastAsia="zh-CN"/>
        </w:rPr>
        <w:t>位于望佛台西北450m处，海拔1510m，因常有云雾笼罩而得称。白云寺废于何时，已无从可考，是否废于传说中明正德年间的僧尼之乱已不得而知，现仅存遗址，是一块长满灌木的平地，面积约</w:t>
      </w:r>
      <w:r>
        <w:rPr>
          <w:rFonts w:hint="eastAsia"/>
          <w:lang w:eastAsia="zh-CN"/>
        </w:rPr>
        <w:t>1</w:t>
      </w:r>
      <w:r>
        <w:rPr>
          <w:rFonts w:hint="eastAsia"/>
          <w:lang w:val="zh-CN" w:eastAsia="zh-CN"/>
        </w:rPr>
        <w:t>hm</w:t>
      </w:r>
      <w:r>
        <w:rPr>
          <w:rFonts w:hint="eastAsia"/>
          <w:vertAlign w:val="superscript"/>
          <w:lang w:val="zh-CN" w:eastAsia="zh-CN"/>
        </w:rPr>
        <w:t>2</w:t>
      </w:r>
      <w:r>
        <w:rPr>
          <w:lang w:eastAsia="zh-CN"/>
        </w:rPr>
        <w:t>，东西两侧各有一条溪流潺潺北去，前有万丈深渊，后有望佛台、高桥峰为托，端的是宝地一块。</w:t>
      </w:r>
    </w:p>
    <w:p w14:paraId="665F88E4">
      <w:pPr>
        <w:spacing w:before="51"/>
        <w:ind w:firstLine="480"/>
        <w:jc w:val="center"/>
        <w:rPr>
          <w:rFonts w:cs="Times New Roman"/>
          <w:szCs w:val="24"/>
          <w:lang w:eastAsia="zh-CN"/>
        </w:rPr>
      </w:pPr>
      <w:r>
        <w:rPr>
          <w:rFonts w:cs="Times New Roman"/>
          <w:szCs w:val="24"/>
          <w:lang w:eastAsia="zh-CN"/>
        </w:rPr>
        <w:drawing>
          <wp:anchor distT="0" distB="0" distL="114300" distR="114300" simplePos="0" relativeHeight="251672576" behindDoc="1" locked="0" layoutInCell="1" allowOverlap="1">
            <wp:simplePos x="0" y="0"/>
            <wp:positionH relativeFrom="margin">
              <wp:align>center</wp:align>
            </wp:positionH>
            <wp:positionV relativeFrom="paragraph">
              <wp:posOffset>31750</wp:posOffset>
            </wp:positionV>
            <wp:extent cx="5600700" cy="3145155"/>
            <wp:effectExtent l="0" t="0" r="0" b="0"/>
            <wp:wrapTopAndBottom/>
            <wp:docPr id="138" name="图片 45" descr="七祖佛光  万寿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45" descr="七祖佛光  万寿寺"/>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600700" cy="3145155"/>
                    </a:xfrm>
                    <a:prstGeom prst="rect">
                      <a:avLst/>
                    </a:prstGeom>
                    <a:noFill/>
                    <a:ln>
                      <a:noFill/>
                    </a:ln>
                  </pic:spPr>
                </pic:pic>
              </a:graphicData>
            </a:graphic>
          </wp:anchor>
        </w:drawing>
      </w:r>
    </w:p>
    <w:p w14:paraId="7A139068">
      <w:pPr>
        <w:ind w:firstLine="482"/>
        <w:rPr>
          <w:lang w:eastAsia="zh-CN"/>
        </w:rPr>
      </w:pPr>
      <w:r>
        <w:rPr>
          <w:b/>
          <w:bCs/>
          <w:lang w:eastAsia="zh-CN"/>
        </w:rPr>
        <w:t>大风坳古亭：</w:t>
      </w:r>
      <w:r>
        <w:rPr>
          <w:lang w:eastAsia="zh-CN"/>
        </w:rPr>
        <w:t>位于万寿寺东南1600m处，海拔1340m，是一个供香客登山休息的地方，现仅存遗址。这里与万寿寺等高，香客至此，回首远眺群山雾海，稍事休息，沿着平缓的道路再过一道弯即可见万寿寺的雄姿。</w:t>
      </w:r>
    </w:p>
    <w:p w14:paraId="5B97D01A">
      <w:pPr>
        <w:ind w:firstLine="482"/>
        <w:rPr>
          <w:lang w:eastAsia="zh-CN"/>
        </w:rPr>
      </w:pPr>
      <w:r>
        <w:rPr>
          <w:b/>
          <w:bCs/>
          <w:lang w:eastAsia="zh-CN"/>
        </w:rPr>
        <w:t>歇马庵：</w:t>
      </w:r>
      <w:r>
        <w:rPr>
          <w:lang w:eastAsia="zh-CN"/>
        </w:rPr>
        <w:t>位于万和湖景区，海拔1170m，是一块200余亩的高山平地，现仅存遗址。周围群山环抱，坪内芳草青青，一条小溪直破而下，是下游龙潭之源。《宁远县志》载，</w:t>
      </w:r>
      <w:r>
        <w:rPr>
          <w:rFonts w:hint="eastAsia"/>
          <w:lang w:eastAsia="zh-CN"/>
        </w:rPr>
        <w:t>“</w:t>
      </w:r>
      <w:r>
        <w:rPr>
          <w:lang w:eastAsia="zh-CN"/>
        </w:rPr>
        <w:t>庵传建自宋代，又名昭禅寺</w:t>
      </w:r>
      <w:r>
        <w:rPr>
          <w:rFonts w:hint="eastAsia"/>
          <w:lang w:eastAsia="zh-CN"/>
        </w:rPr>
        <w:t>”</w:t>
      </w:r>
      <w:r>
        <w:rPr>
          <w:lang w:eastAsia="zh-CN"/>
        </w:rPr>
        <w:t>。据传，宋代建寺，男僧主持，名曰昭禅，明代正德年间，道教风行海内，波及皇宫内院，妙竹公主为其所感，坚意潜身学道。临行时，抚骑暗祷，惟愿坐骑停蹄处，更为修身学道堂。于是马歇昭禅，尽驱前僧，将昭禅寺易名为歇马庵。</w:t>
      </w:r>
    </w:p>
    <w:p w14:paraId="6A176C0E">
      <w:pPr>
        <w:ind w:firstLine="482"/>
        <w:rPr>
          <w:lang w:eastAsia="zh-CN"/>
        </w:rPr>
      </w:pPr>
      <w:r>
        <w:rPr>
          <w:b/>
          <w:bCs/>
          <w:lang w:eastAsia="zh-CN"/>
        </w:rPr>
        <w:t>红军纪念亭：</w:t>
      </w:r>
      <w:r>
        <w:rPr>
          <w:lang w:eastAsia="zh-CN"/>
        </w:rPr>
        <w:t>又名竹篙岌，当年红军还在这里跟国民党地方武装打了一仗，消灭了一个地方保安团。因为红军不拿群众一针一线，爱民、护民，至今还被这一带老百姓广为称颂，后为纪念这段军民鱼水之情，1996年，双牌县人民政府在这里修建了红军纪念亭，以示对红军的纪念。</w:t>
      </w:r>
    </w:p>
    <w:p w14:paraId="1F994388">
      <w:pPr>
        <w:spacing w:before="51"/>
        <w:ind w:firstLine="480"/>
        <w:jc w:val="center"/>
        <w:rPr>
          <w:rFonts w:cs="Times New Roman"/>
          <w:szCs w:val="24"/>
          <w:lang w:eastAsia="zh-CN"/>
        </w:rPr>
      </w:pPr>
      <w:r>
        <w:rPr>
          <w:rFonts w:cs="Times New Roman"/>
          <w:szCs w:val="24"/>
          <w:lang w:eastAsia="zh-CN"/>
        </w:rPr>
        <w:drawing>
          <wp:anchor distT="0" distB="0" distL="114300" distR="114300" simplePos="0" relativeHeight="251673600" behindDoc="1" locked="0" layoutInCell="1" allowOverlap="1">
            <wp:simplePos x="0" y="0"/>
            <wp:positionH relativeFrom="margin">
              <wp:align>center</wp:align>
            </wp:positionH>
            <wp:positionV relativeFrom="paragraph">
              <wp:posOffset>0</wp:posOffset>
            </wp:positionV>
            <wp:extent cx="5226050" cy="2997835"/>
            <wp:effectExtent l="0" t="0" r="0" b="0"/>
            <wp:wrapTight wrapText="bothSides">
              <wp:wrapPolygon>
                <wp:start x="0" y="0"/>
                <wp:lineTo x="0" y="21412"/>
                <wp:lineTo x="21495" y="21412"/>
                <wp:lineTo x="21495" y="0"/>
                <wp:lineTo x="0" y="0"/>
              </wp:wrapPolygon>
            </wp:wrapTight>
            <wp:docPr id="140" name="图片 30" descr="IMG_20170725_154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30" descr="IMG_20170725_154549"/>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226050" cy="2997835"/>
                    </a:xfrm>
                    <a:prstGeom prst="rect">
                      <a:avLst/>
                    </a:prstGeom>
                    <a:noFill/>
                    <a:ln>
                      <a:noFill/>
                    </a:ln>
                  </pic:spPr>
                </pic:pic>
              </a:graphicData>
            </a:graphic>
          </wp:anchor>
        </w:drawing>
      </w:r>
    </w:p>
    <w:p w14:paraId="55C08834">
      <w:pPr>
        <w:ind w:firstLine="482"/>
        <w:rPr>
          <w:lang w:eastAsia="zh-CN"/>
        </w:rPr>
      </w:pPr>
      <w:r>
        <w:rPr>
          <w:b/>
          <w:bCs/>
          <w:lang w:eastAsia="zh-CN"/>
        </w:rPr>
        <w:t>牵手亭：</w:t>
      </w:r>
      <w:r>
        <w:rPr>
          <w:lang w:eastAsia="zh-CN"/>
        </w:rPr>
        <w:t>每年五月前后的杜鹃花海，吸引了天南地北的客人前来赏花，纷纷陶醉在这如诗如画的境界里。有不少的青年男女在这里一见钟情，缘结百年之好。为纪念这片爱情热土，就建了一个亭子，并取名为牵手亭。</w:t>
      </w:r>
    </w:p>
    <w:p w14:paraId="56361DE3">
      <w:pPr>
        <w:ind w:firstLine="482"/>
        <w:rPr>
          <w:lang w:eastAsia="zh-CN"/>
        </w:rPr>
      </w:pPr>
      <w:r>
        <w:rPr>
          <w:b/>
          <w:bCs/>
          <w:lang w:eastAsia="zh-CN"/>
        </w:rPr>
        <w:t>红军宿营地：</w:t>
      </w:r>
      <w:r>
        <w:rPr>
          <w:lang w:eastAsia="zh-CN"/>
        </w:rPr>
        <w:t>1934年8月，第五次反围剿失败后，中央党代表任弼时、军团长萧克、军团政委王震受中央指令，率领工农红军第六军团8000多名主力部队，冲破国民党军队的层层封锁线，来到了湘南。他们原打算以阳明山为据点开辟革命根据地，后见阳明山地广人稀，无法保障供给，经党中央同意，红六军团全体将士转战去了广西与贺龙会合。</w:t>
      </w:r>
    </w:p>
    <w:p w14:paraId="752575FD">
      <w:pPr>
        <w:ind w:firstLine="480"/>
        <w:rPr>
          <w:lang w:eastAsia="zh-CN"/>
        </w:rPr>
      </w:pPr>
      <w:r>
        <w:rPr>
          <w:rFonts w:hint="eastAsia"/>
          <w:lang w:eastAsia="zh-CN"/>
        </w:rPr>
        <w:t>(2)</w:t>
      </w:r>
      <w:r>
        <w:rPr>
          <w:lang w:eastAsia="zh-CN"/>
        </w:rPr>
        <w:t>现代工程</w:t>
      </w:r>
    </w:p>
    <w:p w14:paraId="392C53A9">
      <w:pPr>
        <w:ind w:firstLine="482"/>
        <w:rPr>
          <w:lang w:eastAsia="zh-CN"/>
        </w:rPr>
      </w:pPr>
      <w:r>
        <w:rPr>
          <w:b/>
          <w:bCs/>
          <w:lang w:eastAsia="zh-CN"/>
        </w:rPr>
        <w:t>微波站：</w:t>
      </w:r>
      <w:r>
        <w:rPr>
          <w:lang w:eastAsia="zh-CN"/>
        </w:rPr>
        <w:t>微波站位于微波台，海拔1520m，是一座国内一流的微波站，微波塔高80余m，直插云霄。登上微波站观景台，万水千山尽在眼下。在雨后霁晴的日子里，见到的是</w:t>
      </w:r>
      <w:r>
        <w:rPr>
          <w:rFonts w:hint="eastAsia"/>
          <w:lang w:eastAsia="zh-CN"/>
        </w:rPr>
        <w:t>“</w:t>
      </w:r>
      <w:r>
        <w:rPr>
          <w:lang w:eastAsia="zh-CN"/>
        </w:rPr>
        <w:t>半是孤峰半是云</w:t>
      </w:r>
      <w:r>
        <w:rPr>
          <w:rFonts w:hint="eastAsia"/>
          <w:lang w:eastAsia="zh-CN"/>
        </w:rPr>
        <w:t>”</w:t>
      </w:r>
      <w:r>
        <w:rPr>
          <w:lang w:eastAsia="zh-CN"/>
        </w:rPr>
        <w:t>的壮丽景观。</w:t>
      </w:r>
    </w:p>
    <w:p w14:paraId="749251D5">
      <w:pPr>
        <w:ind w:firstLine="482"/>
        <w:rPr>
          <w:lang w:eastAsia="zh-CN"/>
        </w:rPr>
      </w:pPr>
      <w:r>
        <w:rPr>
          <w:b/>
          <w:bCs/>
          <w:lang w:eastAsia="zh-CN"/>
        </w:rPr>
        <w:t>七祖水库：</w:t>
      </w:r>
      <w:r>
        <w:rPr>
          <w:lang w:eastAsia="zh-CN"/>
        </w:rPr>
        <w:t>在阳明山绞车庙村有小型水库，为七祖水库，水库大坝位于茶阳公路47km处，坝顶高程176.5m，最大坝高58.8m，坝顶长311m，宽6m。水量充足，气势磅礴，控制流域面积94.0km</w:t>
      </w:r>
      <w:r>
        <w:rPr>
          <w:rFonts w:hint="eastAsia"/>
          <w:vertAlign w:val="superscript"/>
          <w:lang w:eastAsia="zh-CN"/>
        </w:rPr>
        <w:t>2</w:t>
      </w:r>
      <w:r>
        <w:rPr>
          <w:lang w:eastAsia="zh-CN"/>
        </w:rPr>
        <w:t>，总库容536.83万</w:t>
      </w:r>
      <w:r>
        <w:rPr>
          <w:rFonts w:hint="eastAsia"/>
          <w:lang w:eastAsia="zh-CN"/>
        </w:rPr>
        <w:t>m</w:t>
      </w:r>
      <w:r>
        <w:rPr>
          <w:rFonts w:hint="eastAsia"/>
          <w:vertAlign w:val="superscript"/>
          <w:lang w:eastAsia="zh-CN"/>
        </w:rPr>
        <w:t>3</w:t>
      </w:r>
      <w:r>
        <w:rPr>
          <w:lang w:eastAsia="zh-CN"/>
        </w:rPr>
        <w:t>，有效库容483.8万</w:t>
      </w:r>
      <w:r>
        <w:rPr>
          <w:rFonts w:hint="eastAsia"/>
          <w:lang w:eastAsia="zh-CN"/>
        </w:rPr>
        <w:t>m</w:t>
      </w:r>
      <w:r>
        <w:rPr>
          <w:rFonts w:hint="eastAsia"/>
          <w:vertAlign w:val="superscript"/>
          <w:lang w:eastAsia="zh-CN"/>
        </w:rPr>
        <w:t>3</w:t>
      </w:r>
      <w:r>
        <w:rPr>
          <w:lang w:eastAsia="zh-CN"/>
        </w:rPr>
        <w:t>，正常蓄水位为海拔680m。阳明山水库与森林公园内其他水文资源相互呼应，融为一体。</w:t>
      </w:r>
    </w:p>
    <w:p w14:paraId="2C5A579C">
      <w:pPr>
        <w:ind w:firstLine="480"/>
        <w:rPr>
          <w:lang w:eastAsia="zh-CN"/>
        </w:rPr>
      </w:pPr>
      <w:r>
        <w:rPr>
          <w:rFonts w:hint="eastAsia"/>
          <w:lang w:eastAsia="zh-CN"/>
        </w:rPr>
        <w:t>(3)</w:t>
      </w:r>
      <w:r>
        <w:rPr>
          <w:lang w:eastAsia="zh-CN"/>
        </w:rPr>
        <w:t>民俗风情</w:t>
      </w:r>
    </w:p>
    <w:p w14:paraId="20DFBFA2">
      <w:pPr>
        <w:ind w:firstLine="482"/>
        <w:rPr>
          <w:lang w:eastAsia="zh-CN"/>
        </w:rPr>
      </w:pPr>
      <w:r>
        <w:rPr>
          <w:b/>
          <w:bCs/>
          <w:lang w:eastAsia="zh-CN"/>
        </w:rPr>
        <w:t>坐歌堂：</w:t>
      </w:r>
      <w:r>
        <w:rPr>
          <w:lang w:eastAsia="zh-CN"/>
        </w:rPr>
        <w:t>是瑶族人民在喜庆节日中普遍流行的男女对歌。一般是晚间进行，规模盛大，程序礼仪严格。分未婚青年与中老年两大组。其主要程序：首先是序歌，又名起歌堂，唱明为什么要邀客对歌；其次是请歌，又名请仙歌，请客人进歌堂；第三为劝歌，主方劝客方对歌；第四为赞歌，即主客互相唱赞歌；第五为对歌，又名盘歌，是坐歌堂最精彩的一幕；第六是洗脸歌，这时天将大亮；第七是收歌堂，天已亮了；最后是送歌，先唱挽留歌，再唱送别歌。</w:t>
      </w:r>
    </w:p>
    <w:p w14:paraId="42C77A06">
      <w:pPr>
        <w:ind w:firstLine="482"/>
        <w:rPr>
          <w:lang w:eastAsia="zh-CN"/>
        </w:rPr>
      </w:pPr>
      <w:r>
        <w:rPr>
          <w:b/>
          <w:bCs/>
          <w:lang w:eastAsia="zh-CN"/>
        </w:rPr>
        <w:t>长鼓舞：</w:t>
      </w:r>
      <w:r>
        <w:rPr>
          <w:lang w:eastAsia="zh-CN"/>
        </w:rPr>
        <w:t>瑶族长鼓舞的历史悠久，在瑶族传统的祭盘王仪典中和在一些驱鬼逐邪、治病占卜的巫术活动中常跳此舞，现在瑶族长鼓舞已经成为群众性文娱活动。表演时，鼓手左手握住长鼓的鼓腰上下翻转，右手随之拍击，边舞边击，动作主要有模拟动物、祭祀等。舞者舞姿刚健，风格淳朴，一般以唢呐、锣鼓伴奏，有时也唱</w:t>
      </w:r>
      <w:r>
        <w:rPr>
          <w:rFonts w:hint="eastAsia"/>
          <w:lang w:eastAsia="zh-CN"/>
        </w:rPr>
        <w:t>“</w:t>
      </w:r>
      <w:r>
        <w:fldChar w:fldCharType="begin"/>
      </w:r>
      <w:r>
        <w:rPr>
          <w:lang w:eastAsia="zh-CN"/>
        </w:rPr>
        <w:instrText xml:space="preserve"> HYPERLINK "https://baike.baidu.com/item/%E7%9B%98%E7%8E%8B%E6%AD%8C" \t "_blank" </w:instrText>
      </w:r>
      <w:r>
        <w:fldChar w:fldCharType="separate"/>
      </w:r>
      <w:r>
        <w:rPr>
          <w:lang w:eastAsia="zh-CN"/>
        </w:rPr>
        <w:t>盘王歌</w:t>
      </w:r>
      <w:r>
        <w:rPr>
          <w:lang w:eastAsia="zh-CN"/>
        </w:rPr>
        <w:fldChar w:fldCharType="end"/>
      </w:r>
      <w:r>
        <w:rPr>
          <w:rFonts w:hint="eastAsia"/>
          <w:lang w:eastAsia="zh-CN"/>
        </w:rPr>
        <w:t>”</w:t>
      </w:r>
      <w:r>
        <w:rPr>
          <w:lang w:eastAsia="zh-CN"/>
        </w:rPr>
        <w:t>来助兴。2008年6月7日，瑶族长鼓舞经国务院批准列入第二批国家级非物质文化遗产名录。</w:t>
      </w:r>
    </w:p>
    <w:p w14:paraId="79A11FA7">
      <w:pPr>
        <w:spacing w:before="51"/>
        <w:ind w:firstLine="482"/>
        <w:rPr>
          <w:rFonts w:cs="Times New Roman"/>
          <w:szCs w:val="24"/>
          <w:lang w:eastAsia="zh-CN"/>
        </w:rPr>
      </w:pPr>
      <w:r>
        <w:rPr>
          <w:rFonts w:cs="Times New Roman"/>
          <w:b/>
          <w:bCs/>
          <w:szCs w:val="24"/>
          <w:lang w:eastAsia="zh-CN"/>
        </w:rPr>
        <w:drawing>
          <wp:anchor distT="0" distB="0" distL="114300" distR="114300" simplePos="0" relativeHeight="251674624" behindDoc="1" locked="0" layoutInCell="1" allowOverlap="1">
            <wp:simplePos x="0" y="0"/>
            <wp:positionH relativeFrom="margin">
              <wp:align>center</wp:align>
            </wp:positionH>
            <wp:positionV relativeFrom="paragraph">
              <wp:posOffset>31115</wp:posOffset>
            </wp:positionV>
            <wp:extent cx="5104130" cy="3312795"/>
            <wp:effectExtent l="0" t="0" r="1270" b="1905"/>
            <wp:wrapTight wrapText="bothSides">
              <wp:wrapPolygon>
                <wp:start x="0" y="0"/>
                <wp:lineTo x="0" y="21488"/>
                <wp:lineTo x="21525" y="21488"/>
                <wp:lineTo x="21525" y="0"/>
                <wp:lineTo x="0" y="0"/>
              </wp:wrapPolygon>
            </wp:wrapTight>
            <wp:docPr id="141" name="图片 46" descr="tim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46" descr="timg (1)"/>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5104130" cy="3312795"/>
                    </a:xfrm>
                    <a:prstGeom prst="rect">
                      <a:avLst/>
                    </a:prstGeom>
                    <a:noFill/>
                    <a:ln>
                      <a:noFill/>
                    </a:ln>
                  </pic:spPr>
                </pic:pic>
              </a:graphicData>
            </a:graphic>
          </wp:anchor>
        </w:drawing>
      </w:r>
    </w:p>
    <w:p w14:paraId="354843F4">
      <w:pPr>
        <w:ind w:firstLine="482"/>
        <w:rPr>
          <w:lang w:eastAsia="zh-CN"/>
        </w:rPr>
      </w:pPr>
      <w:r>
        <w:rPr>
          <w:b/>
          <w:bCs/>
          <w:lang w:eastAsia="zh-CN"/>
        </w:rPr>
        <w:t>酒文化：</w:t>
      </w:r>
      <w:r>
        <w:rPr>
          <w:lang w:eastAsia="zh-CN"/>
        </w:rPr>
        <w:t>永州各地农村，绝大多数人家都有自己酿酒的习惯。招待客人，一般都用家酿m酒，一时无酒的，也会借酒或买酒进行招待，有“无酒不成敬意”之说。喝酒时，主人会殷勤地频频劝酒，斟酒之后，把酒壶放在自己旁边，并将壶嘴向着自己；客人开怀畅饮，主人就高兴，否则就会认为你“见外”，但客人不可拿酒壶，更不要掀开酒壶看酒的多少，如果客人不能再喝了，在主人斟酒时，将手捂住酒杯就行了，或将酒喝干后把杯子放在一边，主人便不再勉强。</w:t>
      </w:r>
    </w:p>
    <w:p w14:paraId="3063ABE7">
      <w:pPr>
        <w:ind w:firstLine="480"/>
        <w:rPr>
          <w:lang w:eastAsia="zh-CN"/>
        </w:rPr>
      </w:pPr>
      <w:r>
        <w:fldChar w:fldCharType="begin"/>
      </w:r>
      <w:r>
        <w:instrText xml:space="preserve"> HYPERLINK \l "_Toc276751420" </w:instrText>
      </w:r>
      <w:r>
        <w:fldChar w:fldCharType="separate"/>
      </w:r>
      <w:r>
        <w:rPr>
          <w:rFonts w:hint="eastAsia"/>
          <w:lang w:eastAsia="zh-CN"/>
        </w:rPr>
        <w:t>(4)</w:t>
      </w:r>
      <w:r>
        <w:rPr>
          <w:lang w:eastAsia="zh-CN"/>
        </w:rPr>
        <w:t>史事传说</w:t>
      </w:r>
      <w:r>
        <w:rPr>
          <w:lang w:eastAsia="zh-CN"/>
        </w:rPr>
        <w:fldChar w:fldCharType="end"/>
      </w:r>
    </w:p>
    <w:p w14:paraId="7AC68299">
      <w:pPr>
        <w:ind w:firstLine="482"/>
        <w:rPr>
          <w:lang w:eastAsia="zh-CN"/>
        </w:rPr>
      </w:pPr>
      <w:r>
        <w:rPr>
          <w:b/>
          <w:bCs/>
          <w:lang w:eastAsia="zh-CN"/>
        </w:rPr>
        <w:t>阳明山传说：</w:t>
      </w:r>
      <w:r>
        <w:rPr>
          <w:lang w:eastAsia="zh-CN"/>
        </w:rPr>
        <w:t>据《灵山福地》一书，远古时候永州之野是一个海子，有青黄两条蛟龙戏耍而造成水灾连年，大禹治水来到这里，见之大怒，掷降龙杵锁缚了二龙，囚禁于从远处移来的一座石山</w:t>
      </w:r>
      <w:r>
        <w:rPr>
          <w:rFonts w:hint="eastAsia"/>
          <w:lang w:eastAsia="zh-CN"/>
        </w:rPr>
        <w:t>(</w:t>
      </w:r>
      <w:r>
        <w:rPr>
          <w:lang w:eastAsia="zh-CN"/>
        </w:rPr>
        <w:t>今双牌县城北的和尚岭青龙洞</w:t>
      </w:r>
      <w:r>
        <w:rPr>
          <w:rFonts w:hint="eastAsia"/>
          <w:lang w:eastAsia="zh-CN"/>
        </w:rPr>
        <w:t>)</w:t>
      </w:r>
      <w:r>
        <w:rPr>
          <w:lang w:eastAsia="zh-CN"/>
        </w:rPr>
        <w:t>下，但闻</w:t>
      </w:r>
      <w:r>
        <w:rPr>
          <w:rFonts w:hint="eastAsia"/>
          <w:lang w:eastAsia="zh-CN"/>
        </w:rPr>
        <w:t>“</w:t>
      </w:r>
      <w:r>
        <w:rPr>
          <w:lang w:eastAsia="zh-CN"/>
        </w:rPr>
        <w:t>轰隆隆——</w:t>
      </w:r>
      <w:r>
        <w:rPr>
          <w:rFonts w:hint="eastAsia"/>
          <w:lang w:eastAsia="zh-CN"/>
        </w:rPr>
        <w:t>”</w:t>
      </w:r>
      <w:r>
        <w:rPr>
          <w:lang w:eastAsia="zh-CN"/>
        </w:rPr>
        <w:t>一阵天崩地裂巨响，海子顿时成了隆起在</w:t>
      </w:r>
      <w:r>
        <w:rPr>
          <w:rFonts w:hint="eastAsia"/>
          <w:lang w:eastAsia="zh-CN"/>
        </w:rPr>
        <w:t>“</w:t>
      </w:r>
      <w:r>
        <w:rPr>
          <w:lang w:eastAsia="zh-CN"/>
        </w:rPr>
        <w:t>零</w:t>
      </w:r>
      <w:r>
        <w:rPr>
          <w:rFonts w:hint="eastAsia"/>
          <w:lang w:eastAsia="zh-CN"/>
        </w:rPr>
        <w:t>(</w:t>
      </w:r>
      <w:r>
        <w:rPr>
          <w:lang w:eastAsia="zh-CN"/>
        </w:rPr>
        <w:t>陵</w:t>
      </w:r>
      <w:r>
        <w:rPr>
          <w:rFonts w:hint="eastAsia"/>
          <w:lang w:eastAsia="zh-CN"/>
        </w:rPr>
        <w:t>)</w:t>
      </w:r>
      <w:r>
        <w:rPr>
          <w:lang w:eastAsia="zh-CN"/>
        </w:rPr>
        <w:t>祁</w:t>
      </w:r>
      <w:r>
        <w:rPr>
          <w:rFonts w:hint="eastAsia"/>
          <w:lang w:eastAsia="zh-CN"/>
        </w:rPr>
        <w:t>(</w:t>
      </w:r>
      <w:r>
        <w:rPr>
          <w:lang w:eastAsia="zh-CN"/>
        </w:rPr>
        <w:t>阳</w:t>
      </w:r>
      <w:r>
        <w:rPr>
          <w:rFonts w:hint="eastAsia"/>
          <w:lang w:eastAsia="zh-CN"/>
        </w:rPr>
        <w:t>)</w:t>
      </w:r>
      <w:r>
        <w:rPr>
          <w:lang w:eastAsia="zh-CN"/>
        </w:rPr>
        <w:t>盆地</w:t>
      </w:r>
      <w:r>
        <w:rPr>
          <w:rFonts w:hint="eastAsia"/>
          <w:lang w:eastAsia="zh-CN"/>
        </w:rPr>
        <w:t>”</w:t>
      </w:r>
      <w:r>
        <w:rPr>
          <w:lang w:eastAsia="zh-CN"/>
        </w:rPr>
        <w:t>与</w:t>
      </w:r>
      <w:r>
        <w:rPr>
          <w:rFonts w:hint="eastAsia"/>
          <w:lang w:eastAsia="zh-CN"/>
        </w:rPr>
        <w:t>“</w:t>
      </w:r>
      <w:r>
        <w:rPr>
          <w:lang w:eastAsia="zh-CN"/>
        </w:rPr>
        <w:t>道</w:t>
      </w:r>
      <w:r>
        <w:rPr>
          <w:rFonts w:hint="eastAsia"/>
          <w:lang w:eastAsia="zh-CN"/>
        </w:rPr>
        <w:t>(</w:t>
      </w:r>
      <w:r>
        <w:rPr>
          <w:lang w:eastAsia="zh-CN"/>
        </w:rPr>
        <w:t>县</w:t>
      </w:r>
      <w:r>
        <w:rPr>
          <w:rFonts w:hint="eastAsia"/>
          <w:lang w:eastAsia="zh-CN"/>
        </w:rPr>
        <w:t>)</w:t>
      </w:r>
      <w:r>
        <w:rPr>
          <w:lang w:eastAsia="zh-CN"/>
        </w:rPr>
        <w:t>郴</w:t>
      </w:r>
      <w:r>
        <w:rPr>
          <w:rFonts w:hint="eastAsia"/>
          <w:lang w:eastAsia="zh-CN"/>
        </w:rPr>
        <w:t>(</w:t>
      </w:r>
      <w:r>
        <w:rPr>
          <w:lang w:eastAsia="zh-CN"/>
        </w:rPr>
        <w:t>州</w:t>
      </w:r>
      <w:r>
        <w:rPr>
          <w:rFonts w:hint="eastAsia"/>
          <w:lang w:eastAsia="zh-CN"/>
        </w:rPr>
        <w:t>)</w:t>
      </w:r>
      <w:r>
        <w:rPr>
          <w:lang w:eastAsia="zh-CN"/>
        </w:rPr>
        <w:t>盆地</w:t>
      </w:r>
      <w:r>
        <w:rPr>
          <w:rFonts w:hint="eastAsia"/>
          <w:lang w:eastAsia="zh-CN"/>
        </w:rPr>
        <w:t>”</w:t>
      </w:r>
      <w:r>
        <w:rPr>
          <w:lang w:eastAsia="zh-CN"/>
        </w:rPr>
        <w:t>之间的连绵大山，把滔滔潇水阻隔。二龙知罪孽深重难赦，向禹苦苦哀求，宁可终生挨饿，不可一日无水。禹动了恻隐之心，令二龙在崇山峻岭中游出一段泷河畅通潇水，然后把它们的形状映印在高山上，用神棒一捅一划放它们归大海，留下了今在山上的龙潭、大黄江源和禹龙岌。好多年后，观音菩萨见了这座左青龙</w:t>
      </w:r>
      <w:r>
        <w:rPr>
          <w:rFonts w:hint="eastAsia"/>
          <w:lang w:eastAsia="zh-CN"/>
        </w:rPr>
        <w:t>(</w:t>
      </w:r>
      <w:r>
        <w:rPr>
          <w:lang w:eastAsia="zh-CN"/>
        </w:rPr>
        <w:t>青龙岌</w:t>
      </w:r>
      <w:r>
        <w:rPr>
          <w:rFonts w:hint="eastAsia"/>
          <w:lang w:eastAsia="zh-CN"/>
        </w:rPr>
        <w:t>)</w:t>
      </w:r>
      <w:r>
        <w:rPr>
          <w:lang w:eastAsia="zh-CN"/>
        </w:rPr>
        <w:t>、右黄龙</w:t>
      </w:r>
      <w:r>
        <w:rPr>
          <w:rFonts w:hint="eastAsia"/>
          <w:lang w:eastAsia="zh-CN"/>
        </w:rPr>
        <w:t>(</w:t>
      </w:r>
      <w:r>
        <w:rPr>
          <w:lang w:eastAsia="zh-CN"/>
        </w:rPr>
        <w:t>黄龙岌</w:t>
      </w:r>
      <w:r>
        <w:rPr>
          <w:rFonts w:hint="eastAsia"/>
          <w:lang w:eastAsia="zh-CN"/>
        </w:rPr>
        <w:t>)</w:t>
      </w:r>
      <w:r>
        <w:rPr>
          <w:lang w:eastAsia="zh-CN"/>
        </w:rPr>
        <w:t>、中间是珍珠的</w:t>
      </w:r>
      <w:r>
        <w:rPr>
          <w:rFonts w:hint="eastAsia"/>
          <w:lang w:eastAsia="zh-CN"/>
        </w:rPr>
        <w:t>“</w:t>
      </w:r>
      <w:r>
        <w:rPr>
          <w:lang w:eastAsia="zh-CN"/>
        </w:rPr>
        <w:t>二龙戏珠</w:t>
      </w:r>
      <w:r>
        <w:rPr>
          <w:rFonts w:hint="eastAsia"/>
          <w:lang w:eastAsia="zh-CN"/>
        </w:rPr>
        <w:t>”</w:t>
      </w:r>
      <w:r>
        <w:rPr>
          <w:lang w:eastAsia="zh-CN"/>
        </w:rPr>
        <w:t>宝地，即招来云雾仙子，把这座巍峨大山云封雾罩了起来，使之终年不见天日。再后来，有风水先生的祖师爷郑一郎、郑二郎路过此地，因一连三次闯不进这云雾里面去，就燃起纸钱烛香跪告天地，祈祷三天三夜，感动了上苍，玉帝召来观音，撤去云雾幔纱现出本来面目。两个地仙见了感叹一回，三叩九拜而起，正欲离去，却见此山竟无太阳光照，于是又双双跪告天庭，玉帝准旨，即下令每天的太阳最早照耀在山上，自此</w:t>
      </w:r>
      <w:r>
        <w:rPr>
          <w:rFonts w:hint="eastAsia"/>
          <w:lang w:eastAsia="zh-CN"/>
        </w:rPr>
        <w:t>“</w:t>
      </w:r>
      <w:r>
        <w:rPr>
          <w:lang w:eastAsia="zh-CN"/>
        </w:rPr>
        <w:t>山顶五更先见日</w:t>
      </w:r>
      <w:r>
        <w:rPr>
          <w:rFonts w:hint="eastAsia"/>
          <w:lang w:eastAsia="zh-CN"/>
        </w:rPr>
        <w:t>”</w:t>
      </w:r>
      <w:r>
        <w:rPr>
          <w:lang w:eastAsia="zh-CN"/>
        </w:rPr>
        <w:t>，故名曰阳明山。</w:t>
      </w:r>
    </w:p>
    <w:p w14:paraId="2C8D24F0">
      <w:pPr>
        <w:ind w:firstLine="480"/>
        <w:rPr>
          <w:lang w:eastAsia="zh-CN"/>
        </w:rPr>
      </w:pPr>
      <w:r>
        <w:rPr>
          <w:rFonts w:hint="eastAsia"/>
          <w:lang w:eastAsia="zh-CN"/>
        </w:rPr>
        <w:t>(5)</w:t>
      </w:r>
      <w:r>
        <w:rPr>
          <w:lang w:eastAsia="zh-CN"/>
        </w:rPr>
        <w:t>旅游商品</w:t>
      </w:r>
    </w:p>
    <w:p w14:paraId="3DCEE0AE">
      <w:pPr>
        <w:ind w:firstLine="480"/>
        <w:rPr>
          <w:lang w:eastAsia="zh-CN"/>
        </w:rPr>
      </w:pPr>
      <w:r>
        <w:rPr>
          <w:lang w:eastAsia="zh-CN"/>
        </w:rPr>
        <w:t>阳明山风景秀美、物产富饶，手工艺品和传统食品都独具特色和风味，扬名在外。</w:t>
      </w:r>
    </w:p>
    <w:p w14:paraId="448E56B7">
      <w:pPr>
        <w:ind w:firstLine="482"/>
        <w:rPr>
          <w:lang w:eastAsia="zh-CN"/>
        </w:rPr>
      </w:pPr>
      <w:r>
        <w:rPr>
          <w:b/>
          <w:bCs/>
          <w:lang w:eastAsia="zh-CN"/>
        </w:rPr>
        <w:t>通气竹筷：</w:t>
      </w:r>
      <w:r>
        <w:rPr>
          <w:lang w:eastAsia="zh-CN"/>
        </w:rPr>
        <w:t>自唐朝起，阳明山的</w:t>
      </w:r>
      <w:r>
        <w:rPr>
          <w:rFonts w:hint="eastAsia"/>
          <w:lang w:eastAsia="zh-CN"/>
        </w:rPr>
        <w:t>“</w:t>
      </w:r>
      <w:r>
        <w:rPr>
          <w:lang w:eastAsia="zh-CN"/>
        </w:rPr>
        <w:t>通气竹筷</w:t>
      </w:r>
      <w:r>
        <w:rPr>
          <w:rFonts w:hint="eastAsia"/>
          <w:lang w:eastAsia="zh-CN"/>
        </w:rPr>
        <w:t>”</w:t>
      </w:r>
      <w:r>
        <w:rPr>
          <w:lang w:eastAsia="zh-CN"/>
        </w:rPr>
        <w:t>就已成为贡品。阳明山楠竹生产的传统竹筷，不霉不腐、越用越亮爽，有杀菌、防癌作用，最神奇的是通气，古为皇上贡品，今驰名中外远销东南亚，有</w:t>
      </w:r>
      <w:r>
        <w:rPr>
          <w:rFonts w:eastAsiaTheme="majorEastAsia"/>
          <w:lang w:eastAsia="zh-CN"/>
        </w:rPr>
        <w:t>“</w:t>
      </w:r>
      <w:r>
        <w:rPr>
          <w:lang w:eastAsia="zh-CN"/>
        </w:rPr>
        <w:t>阳明产奇筠，制作玉箸莹，伸入清水里，一吹气泡升</w:t>
      </w:r>
      <w:r>
        <w:rPr>
          <w:rFonts w:eastAsiaTheme="minorEastAsia"/>
          <w:lang w:eastAsia="zh-CN"/>
        </w:rPr>
        <w:t>”</w:t>
      </w:r>
      <w:r>
        <w:rPr>
          <w:lang w:eastAsia="zh-CN"/>
        </w:rPr>
        <w:t>诗。传说这里的浩淼竹海是</w:t>
      </w:r>
      <w:r>
        <w:rPr>
          <w:rFonts w:eastAsiaTheme="majorEastAsia"/>
          <w:lang w:eastAsia="zh-CN"/>
        </w:rPr>
        <w:t>“</w:t>
      </w:r>
      <w:r>
        <w:rPr>
          <w:lang w:eastAsia="zh-CN"/>
        </w:rPr>
        <w:t>八仙</w:t>
      </w:r>
      <w:r>
        <w:rPr>
          <w:rFonts w:eastAsiaTheme="majorEastAsia"/>
          <w:lang w:eastAsia="zh-CN"/>
        </w:rPr>
        <w:t>”</w:t>
      </w:r>
      <w:r>
        <w:rPr>
          <w:lang w:eastAsia="zh-CN"/>
        </w:rPr>
        <w:t>中铁拐李的一群羊变的，是韩仙子的玉笛吹通气的。</w:t>
      </w:r>
    </w:p>
    <w:p w14:paraId="23A18CB7">
      <w:pPr>
        <w:ind w:firstLine="482"/>
        <w:rPr>
          <w:lang w:eastAsia="zh-CN"/>
        </w:rPr>
      </w:pPr>
      <w:r>
        <w:rPr>
          <w:b/>
          <w:bCs/>
          <w:lang w:eastAsia="zh-CN"/>
        </w:rPr>
        <w:t>麻将凉席：</w:t>
      </w:r>
      <w:r>
        <w:rPr>
          <w:lang w:eastAsia="zh-CN"/>
        </w:rPr>
        <w:t>公园内生产的</w:t>
      </w:r>
      <w:r>
        <w:rPr>
          <w:rFonts w:eastAsiaTheme="majorEastAsia"/>
          <w:lang w:eastAsia="zh-CN"/>
        </w:rPr>
        <w:t>“</w:t>
      </w:r>
      <w:r>
        <w:rPr>
          <w:lang w:eastAsia="zh-CN"/>
        </w:rPr>
        <w:t>阳明山</w:t>
      </w:r>
      <w:r>
        <w:rPr>
          <w:rFonts w:eastAsiaTheme="majorEastAsia"/>
          <w:lang w:eastAsia="zh-CN"/>
        </w:rPr>
        <w:t>”</w:t>
      </w:r>
      <w:r>
        <w:rPr>
          <w:lang w:eastAsia="zh-CN"/>
        </w:rPr>
        <w:t>牌麻将凉席，凉爽，光滑透亮，不霉不腐，经久耐用。</w:t>
      </w:r>
    </w:p>
    <w:p w14:paraId="07A000FB">
      <w:pPr>
        <w:ind w:firstLine="482"/>
        <w:rPr>
          <w:lang w:eastAsia="zh-CN"/>
        </w:rPr>
      </w:pPr>
      <w:r>
        <w:rPr>
          <w:b/>
          <w:bCs/>
          <w:lang w:eastAsia="zh-CN"/>
        </w:rPr>
        <w:t>腊肉：</w:t>
      </w:r>
      <w:r>
        <w:rPr>
          <w:lang w:eastAsia="zh-CN"/>
        </w:rPr>
        <w:t>将冬至杀的过年猪肉切成3、5斤一块，洗净，沥干水，用食盐腌一二天，挂火塘上长期柴火烟熏，不离火，无论煮吃、炖吃、蒸吃均可，其味香醇可口，且有清火之功效。</w:t>
      </w:r>
    </w:p>
    <w:p w14:paraId="20524F03">
      <w:pPr>
        <w:ind w:firstLine="482"/>
        <w:rPr>
          <w:lang w:eastAsia="zh-CN"/>
        </w:rPr>
      </w:pPr>
      <w:r>
        <w:rPr>
          <w:b/>
          <w:bCs/>
          <w:lang w:eastAsia="zh-CN"/>
        </w:rPr>
        <w:t>霉豆腐：</w:t>
      </w:r>
      <w:r>
        <w:rPr>
          <w:lang w:eastAsia="zh-CN"/>
        </w:rPr>
        <w:t>公园内腌制的霉豆腐味道极佳，独具一格，氨基酸含量高，人人爱吃，百食而不厌，与这里的水、气候有关。</w:t>
      </w:r>
    </w:p>
    <w:p w14:paraId="10ADF7EA">
      <w:pPr>
        <w:ind w:firstLine="482"/>
        <w:rPr>
          <w:lang w:eastAsia="zh-CN"/>
        </w:rPr>
      </w:pPr>
      <w:r>
        <w:rPr>
          <w:b/>
          <w:bCs/>
          <w:lang w:eastAsia="zh-CN"/>
        </w:rPr>
        <w:t>滚地黄瓜：</w:t>
      </w:r>
      <w:r>
        <w:rPr>
          <w:lang w:eastAsia="zh-CN"/>
        </w:rPr>
        <w:t>黄瓜的一种，因不搭架、任其在地上爬行，故名。每年始于农历的五月至霜降，个大短粗，每根5至6寸长、重半斤有余，亩产5000多斤，但离开阳明山就变种。</w:t>
      </w:r>
    </w:p>
    <w:p w14:paraId="7D0C8CF8">
      <w:pPr>
        <w:ind w:firstLine="482"/>
        <w:rPr>
          <w:lang w:eastAsia="zh-CN"/>
        </w:rPr>
      </w:pPr>
      <w:r>
        <w:rPr>
          <w:b/>
          <w:bCs/>
          <w:lang w:eastAsia="zh-CN"/>
        </w:rPr>
        <w:t>雪莲果：</w:t>
      </w:r>
      <w:r>
        <w:rPr>
          <w:lang w:eastAsia="zh-CN"/>
        </w:rPr>
        <w:t>每年打霜之后挖回，生吃香甜嫩脆，水分高，可酿酒，有去湿、暖肠胃、治疗胃病功效。</w:t>
      </w:r>
    </w:p>
    <w:p w14:paraId="6588F270">
      <w:pPr>
        <w:ind w:firstLine="482"/>
        <w:rPr>
          <w:lang w:eastAsia="zh-CN"/>
        </w:rPr>
      </w:pPr>
      <w:r>
        <w:rPr>
          <w:b/>
          <w:bCs/>
          <w:lang w:eastAsia="zh-CN"/>
        </w:rPr>
        <w:t>蕨菜：</w:t>
      </w:r>
      <w:r>
        <w:rPr>
          <w:lang w:eastAsia="zh-CN"/>
        </w:rPr>
        <w:t>山珍之一，无污染绿色食品，盛生于</w:t>
      </w:r>
      <w:r>
        <w:rPr>
          <w:rFonts w:hint="eastAsia"/>
          <w:lang w:eastAsia="zh-CN"/>
        </w:rPr>
        <w:t>“</w:t>
      </w:r>
      <w:r>
        <w:rPr>
          <w:lang w:eastAsia="zh-CN"/>
        </w:rPr>
        <w:t>二荒</w:t>
      </w:r>
      <w:r>
        <w:rPr>
          <w:rFonts w:hint="eastAsia"/>
          <w:lang w:eastAsia="zh-CN"/>
        </w:rPr>
        <w:t>”</w:t>
      </w:r>
      <w:r>
        <w:rPr>
          <w:lang w:eastAsia="zh-CN"/>
        </w:rPr>
        <w:t>山地，因初生状如雀足之拳，又如人足之蹶，而得名，有开胃、生津、化食、防癌之功效。春末夏初，摘其嫩茎，酸辣生炒，脆而鲜美；以开水煎软，可凉拌亦可炒食，酥而味佳；烤干后煮食，脆而香。</w:t>
      </w:r>
    </w:p>
    <w:p w14:paraId="51C9A5B4">
      <w:pPr>
        <w:ind w:firstLine="482"/>
        <w:rPr>
          <w:lang w:eastAsia="zh-CN"/>
        </w:rPr>
      </w:pPr>
      <w:r>
        <w:rPr>
          <w:b/>
          <w:bCs/>
          <w:lang w:eastAsia="zh-CN"/>
        </w:rPr>
        <w:t>野芹菜：</w:t>
      </w:r>
      <w:r>
        <w:rPr>
          <w:lang w:eastAsia="zh-CN"/>
        </w:rPr>
        <w:t>民间俗称，山珍之一。根生植物，出苗即为茎，茎多为淡紫色，有节，无花果，生长在大山深壑的溪流边，成簇，茂密，中春生长至霜冻殁；仅叶与种植芹菜大致相近，但粗糙。摘回后去叶只留茎，洗净，切成节，加剁辣椒旺火油炒，熟即出锅，奇香特脆，味美，开胃生津，有治感冒、镇静、增加血液循环、降血压和防治肝、肾、胃癌、糖尿病等功效。</w:t>
      </w:r>
    </w:p>
    <w:p w14:paraId="3FE6BD43">
      <w:pPr>
        <w:ind w:firstLine="482"/>
        <w:rPr>
          <w:lang w:eastAsia="zh-CN"/>
        </w:rPr>
      </w:pPr>
      <w:r>
        <w:rPr>
          <w:b/>
          <w:bCs/>
          <w:lang w:eastAsia="zh-CN"/>
        </w:rPr>
        <w:t>苦菜：</w:t>
      </w:r>
      <w:r>
        <w:rPr>
          <w:lang w:eastAsia="zh-CN"/>
        </w:rPr>
        <w:t>山珍之一，无污染绿色食品，生</w:t>
      </w:r>
      <w:r>
        <w:rPr>
          <w:rFonts w:eastAsiaTheme="minorEastAsia"/>
          <w:lang w:eastAsia="zh-CN"/>
        </w:rPr>
        <w:t>长在“二荒”</w:t>
      </w:r>
      <w:r>
        <w:rPr>
          <w:lang w:eastAsia="zh-CN"/>
        </w:rPr>
        <w:t>山地或路旁。味苦，甘凉，有清热、解毒、开胃生津、延年益寿之功效。生炒、水煮后炒或晾干了贮藏等均可。据说，当年万寿寺众僧得了瘟疫，竟是吃这种苦菜治好了。如今，不少人拿它泡茶喝。</w:t>
      </w:r>
    </w:p>
    <w:p w14:paraId="11F78923">
      <w:pPr>
        <w:pStyle w:val="4"/>
      </w:pPr>
      <w:r>
        <w:t>2.1.9景观资源调查</w:t>
      </w:r>
    </w:p>
    <w:p w14:paraId="6054B65D">
      <w:pPr>
        <w:ind w:firstLine="480"/>
        <w:rPr>
          <w:lang w:eastAsia="zh-CN"/>
        </w:rPr>
      </w:pPr>
      <w:r>
        <w:rPr>
          <w:rFonts w:hint="eastAsia"/>
          <w:lang w:eastAsia="zh-CN"/>
        </w:rPr>
        <w:t>(</w:t>
      </w:r>
      <w:r>
        <w:rPr>
          <w:lang w:eastAsia="zh-CN"/>
        </w:rPr>
        <w:t>1</w:t>
      </w:r>
      <w:r>
        <w:rPr>
          <w:rFonts w:hint="eastAsia"/>
          <w:lang w:eastAsia="zh-CN"/>
        </w:rPr>
        <w:t>)</w:t>
      </w:r>
      <w:r>
        <w:rPr>
          <w:lang w:eastAsia="zh-CN"/>
        </w:rPr>
        <w:t>潇水湖</w:t>
      </w:r>
    </w:p>
    <w:p w14:paraId="2CE505E6">
      <w:pPr>
        <w:ind w:firstLine="480"/>
        <w:rPr>
          <w:lang w:eastAsia="zh-CN"/>
        </w:rPr>
      </w:pPr>
      <w:r>
        <w:rPr>
          <w:lang w:eastAsia="zh-CN"/>
        </w:rPr>
        <w:t>潇水河位于阳明山、紫金山两大名山之间，奔涌汇入湘江，是双牌县旅游区域布局“两山一水一城”格局中的“一水”，距离阳明山林场36km。</w:t>
      </w:r>
    </w:p>
    <w:p w14:paraId="6920028C">
      <w:pPr>
        <w:ind w:firstLine="480"/>
        <w:rPr>
          <w:lang w:eastAsia="zh-CN"/>
        </w:rPr>
      </w:pPr>
      <w:r>
        <w:rPr>
          <w:lang w:eastAsia="zh-CN"/>
        </w:rPr>
        <w:t>潇水湖美在自然。沿湖而上，湖水漫江碧透，上百里水面平静似镜，其水比漓江清，比西湖秀，湖面小船来往穿梭，两岸青山绿波翻滚，刀削似的岩石、如神似佛般的峰峦直插水中，“两岸猿声啼不住，轻舟已过万重山”，沿途景色美不胜收，恍若人间仙境。有诗人赞曰，“百里平湖美如画，两岸青山千层绿”。潇水湖长约</w:t>
      </w:r>
      <w:r>
        <w:rPr>
          <w:rFonts w:hint="eastAsia"/>
          <w:lang w:eastAsia="zh-CN"/>
        </w:rPr>
        <w:t>100</w:t>
      </w:r>
      <w:r>
        <w:rPr>
          <w:lang w:eastAsia="zh-CN"/>
        </w:rPr>
        <w:t>km，而宽窄不一。宽处，浩浩荡荡几华里；窄处，船行而侧入；最深处，</w:t>
      </w:r>
      <w:r>
        <w:rPr>
          <w:rFonts w:hint="eastAsia"/>
          <w:lang w:eastAsia="zh-CN"/>
        </w:rPr>
        <w:t>100</w:t>
      </w:r>
      <w:r>
        <w:rPr>
          <w:lang w:eastAsia="zh-CN"/>
        </w:rPr>
        <w:t>余m，平均也为</w:t>
      </w:r>
      <w:r>
        <w:rPr>
          <w:rFonts w:hint="eastAsia"/>
          <w:lang w:eastAsia="zh-CN"/>
        </w:rPr>
        <w:t>30</w:t>
      </w:r>
      <w:r>
        <w:rPr>
          <w:lang w:eastAsia="zh-CN"/>
        </w:rPr>
        <w:t>m以上，库容达八个亿。沿湖上下，自然景点星罗棋布，青龙洞、月亮湾岛、黄龙山、瑶乡民俗文化村、江村八景等景点如一颗颗璀璨的明珠镶嵌在一幅流动的画卷上；历史古迹俯仰可拾，民俗风情异彩纷呈，是湖南及至两广仁者近山、智者乐水及广大市民休闲、揽胜，吊古的绝佳之地。</w:t>
      </w:r>
    </w:p>
    <w:p w14:paraId="0C0EA555">
      <w:pPr>
        <w:ind w:firstLine="480"/>
        <w:rPr>
          <w:lang w:eastAsia="zh-CN"/>
        </w:rPr>
      </w:pPr>
      <w:r>
        <w:rPr>
          <w:rFonts w:hint="eastAsia"/>
          <w:lang w:eastAsia="zh-CN"/>
        </w:rPr>
        <w:t>(</w:t>
      </w:r>
      <w:r>
        <w:rPr>
          <w:lang w:eastAsia="zh-CN"/>
        </w:rPr>
        <w:t>2</w:t>
      </w:r>
      <w:r>
        <w:rPr>
          <w:rFonts w:hint="eastAsia"/>
          <w:lang w:eastAsia="zh-CN"/>
        </w:rPr>
        <w:t>)</w:t>
      </w:r>
      <w:r>
        <w:rPr>
          <w:lang w:eastAsia="zh-CN"/>
        </w:rPr>
        <w:t>紫金山</w:t>
      </w:r>
    </w:p>
    <w:p w14:paraId="28E953A5">
      <w:pPr>
        <w:ind w:firstLine="480"/>
        <w:rPr>
          <w:lang w:eastAsia="zh-CN"/>
        </w:rPr>
      </w:pPr>
      <w:r>
        <w:rPr>
          <w:lang w:eastAsia="zh-CN"/>
        </w:rPr>
        <w:t>紫金山位于双牌县城西部的天光坳，位于潇水河西面，南与道县相邻，北与零陵区相界，西与广西全州相连，朝夕阳光照耀，山如紫金，是双牌县旅游区域布局“两山一水一城”格局中的“两山”之一。</w:t>
      </w:r>
    </w:p>
    <w:p w14:paraId="1A3AA966">
      <w:pPr>
        <w:ind w:firstLine="480"/>
        <w:rPr>
          <w:lang w:eastAsia="zh-CN"/>
        </w:rPr>
      </w:pPr>
      <w:r>
        <w:rPr>
          <w:lang w:eastAsia="zh-CN"/>
        </w:rPr>
        <w:t>紫金山山体雄浑，奇特地貌令人心往神驰。紫金山沟壑纵横，溪河四溢，或高山悬练，或谷底潜行，灵动异常。当太阳升起，光线最先从此射入山内，仿若天光内泻。一路拔升千余米，至山顶忽然化为一片数百亩的大草甸，上面分布着三个高山泉眼，每池水深数尺，径余数米，汩汩涌涌，透透亮亮，集天光云影，纳杰地灵气，千载以下，从未干涸，被誉为“三大天池”。</w:t>
      </w:r>
    </w:p>
    <w:p w14:paraId="57817A55">
      <w:pPr>
        <w:ind w:firstLine="480"/>
        <w:rPr>
          <w:lang w:eastAsia="zh-CN"/>
        </w:rPr>
      </w:pPr>
      <w:r>
        <w:rPr>
          <w:rFonts w:hint="eastAsia"/>
          <w:lang w:eastAsia="zh-CN"/>
        </w:rPr>
        <w:t>(</w:t>
      </w:r>
      <w:r>
        <w:rPr>
          <w:lang w:eastAsia="zh-CN"/>
        </w:rPr>
        <w:t>3</w:t>
      </w:r>
      <w:r>
        <w:rPr>
          <w:rFonts w:hint="eastAsia"/>
          <w:lang w:eastAsia="zh-CN"/>
        </w:rPr>
        <w:t>)</w:t>
      </w:r>
      <w:r>
        <w:rPr>
          <w:lang w:eastAsia="zh-CN"/>
        </w:rPr>
        <w:t>桐子坳</w:t>
      </w:r>
    </w:p>
    <w:p w14:paraId="1D3EE546">
      <w:pPr>
        <w:ind w:firstLine="480"/>
        <w:rPr>
          <w:lang w:eastAsia="zh-CN"/>
        </w:rPr>
      </w:pPr>
      <w:r>
        <w:rPr>
          <w:lang w:eastAsia="zh-CN"/>
        </w:rPr>
        <w:t>桐子坳村位于永州双牌县，距离阳明山国家森林公园约10km。由于这里生长着大片银杏，每到秋季就吸引着大量的摄影爱好者前去，已成为双牌一道亮丽的风景名胜。</w:t>
      </w:r>
    </w:p>
    <w:p w14:paraId="10EE7278">
      <w:pPr>
        <w:ind w:firstLine="480"/>
        <w:rPr>
          <w:lang w:eastAsia="zh-CN"/>
        </w:rPr>
      </w:pPr>
      <w:r>
        <w:rPr>
          <w:lang w:eastAsia="zh-CN"/>
        </w:rPr>
        <w:t>到了桐子坳村，便能看见山中那一大片金黄的银杏树林，连绵十多km，似香山的枫叶，似五光十色的九寨沟，似塞北的金秋胡杨，满目金黄。桐子坳一带共有银杏树200多棵，其中上百年的就有90多株，而20</w:t>
      </w:r>
      <w:r>
        <w:rPr>
          <w:rFonts w:hint="eastAsia"/>
          <w:lang w:eastAsia="zh-CN"/>
        </w:rPr>
        <w:t>—</w:t>
      </w:r>
      <w:r>
        <w:rPr>
          <w:lang w:eastAsia="zh-CN"/>
        </w:rPr>
        <w:t>30棵连片成林的就有四、五处。进到这一片片的银杏林里，人们仿佛进入了一个金黄色的梦幻。阳光从树叶间折射下来，金黄色的银杏，金黄色的落叶，加之山高谷幽、森林茂密、民屋古居，仿若一幅流光溢彩的油画，令人流连忘返。</w:t>
      </w:r>
    </w:p>
    <w:p w14:paraId="26AA1660">
      <w:pPr>
        <w:pStyle w:val="4"/>
      </w:pPr>
      <w:bookmarkStart w:id="24" w:name="_Toc12809"/>
      <w:r>
        <w:t>2.1.10森林资源特点分析</w:t>
      </w:r>
      <w:bookmarkEnd w:id="24"/>
    </w:p>
    <w:p w14:paraId="66291DDD">
      <w:pPr>
        <w:ind w:firstLine="480"/>
        <w:rPr>
          <w:lang w:eastAsia="zh-CN"/>
        </w:rPr>
      </w:pPr>
      <w:r>
        <w:rPr>
          <w:rFonts w:hint="eastAsia"/>
          <w:lang w:eastAsia="zh-CN"/>
        </w:rPr>
        <w:t>(</w:t>
      </w:r>
      <w:r>
        <w:rPr>
          <w:lang w:eastAsia="zh-CN"/>
        </w:rPr>
        <w:t>1</w:t>
      </w:r>
      <w:r>
        <w:rPr>
          <w:rFonts w:hint="eastAsia"/>
          <w:lang w:eastAsia="zh-CN"/>
        </w:rPr>
        <w:t>)</w:t>
      </w:r>
      <w:r>
        <w:rPr>
          <w:lang w:eastAsia="zh-CN"/>
        </w:rPr>
        <w:t>林场经营土地集中</w:t>
      </w:r>
    </w:p>
    <w:p w14:paraId="526BA1F1">
      <w:pPr>
        <w:ind w:firstLine="480"/>
        <w:rPr>
          <w:lang w:eastAsia="zh-CN"/>
        </w:rPr>
      </w:pPr>
      <w:r>
        <w:rPr>
          <w:lang w:eastAsia="zh-CN"/>
        </w:rPr>
        <w:t>林场下辖7个作业分场，土地集中，2015年林场实行体制改革，将代管的乡镇剥离，林场总面积、林地面积等有所减少，但是解决了林场林地土地权属遗留问题。</w:t>
      </w:r>
    </w:p>
    <w:p w14:paraId="063081A8">
      <w:pPr>
        <w:ind w:firstLine="480"/>
        <w:rPr>
          <w:lang w:eastAsia="zh-CN"/>
        </w:rPr>
      </w:pPr>
      <w:r>
        <w:rPr>
          <w:rFonts w:hint="eastAsia"/>
          <w:lang w:eastAsia="zh-CN"/>
        </w:rPr>
        <w:t>(</w:t>
      </w:r>
      <w:r>
        <w:rPr>
          <w:lang w:eastAsia="zh-CN"/>
        </w:rPr>
        <w:t>2</w:t>
      </w:r>
      <w:r>
        <w:rPr>
          <w:rFonts w:hint="eastAsia"/>
          <w:lang w:eastAsia="zh-CN"/>
        </w:rPr>
        <w:t>)</w:t>
      </w:r>
      <w:r>
        <w:rPr>
          <w:lang w:eastAsia="zh-CN"/>
        </w:rPr>
        <w:t>森林质量较好</w:t>
      </w:r>
    </w:p>
    <w:p w14:paraId="0DEABB1D">
      <w:pPr>
        <w:ind w:firstLine="480"/>
        <w:rPr>
          <w:lang w:eastAsia="zh-CN"/>
        </w:rPr>
      </w:pPr>
      <w:r>
        <w:rPr>
          <w:lang w:eastAsia="zh-CN"/>
        </w:rPr>
        <w:t>林场乔木林单位蓄积质量较好，2023年全省平均蓄积62.59m</w:t>
      </w:r>
      <w:r>
        <w:rPr>
          <w:vertAlign w:val="superscript"/>
          <w:lang w:eastAsia="zh-CN"/>
        </w:rPr>
        <w:t>3</w:t>
      </w:r>
      <w:r>
        <w:rPr>
          <w:rFonts w:hint="eastAsia"/>
          <w:vertAlign w:val="baseline"/>
          <w:lang w:val="en-US" w:eastAsia="zh-CN"/>
        </w:rPr>
        <w:t>/hm</w:t>
      </w:r>
      <w:r>
        <w:rPr>
          <w:rFonts w:hint="eastAsia"/>
          <w:vertAlign w:val="superscript"/>
          <w:lang w:val="en-US" w:eastAsia="zh-CN"/>
        </w:rPr>
        <w:t>2</w:t>
      </w:r>
      <w:r>
        <w:rPr>
          <w:lang w:eastAsia="zh-CN"/>
        </w:rPr>
        <w:t>，而林场杉木组蓄积</w:t>
      </w:r>
      <w:r>
        <w:rPr>
          <w:rFonts w:hint="eastAsia"/>
          <w:lang w:eastAsia="zh-CN"/>
        </w:rPr>
        <w:t>154.4</w:t>
      </w:r>
      <w:r>
        <w:rPr>
          <w:lang w:eastAsia="zh-CN"/>
        </w:rPr>
        <w:t>m</w:t>
      </w:r>
      <w:r>
        <w:rPr>
          <w:vertAlign w:val="superscript"/>
          <w:lang w:eastAsia="zh-CN"/>
        </w:rPr>
        <w:t>3</w:t>
      </w:r>
      <w:r>
        <w:rPr>
          <w:rFonts w:hint="eastAsia"/>
          <w:vertAlign w:val="baseline"/>
          <w:lang w:val="en-US" w:eastAsia="zh-CN"/>
        </w:rPr>
        <w:t>/hm</w:t>
      </w:r>
      <w:r>
        <w:rPr>
          <w:rFonts w:hint="eastAsia"/>
          <w:vertAlign w:val="superscript"/>
          <w:lang w:val="en-US" w:eastAsia="zh-CN"/>
        </w:rPr>
        <w:t>2</w:t>
      </w:r>
      <w:r>
        <w:rPr>
          <w:lang w:eastAsia="zh-CN"/>
        </w:rPr>
        <w:t>，马尾松组蓄积</w:t>
      </w:r>
      <w:r>
        <w:rPr>
          <w:rFonts w:hint="eastAsia"/>
          <w:lang w:eastAsia="zh-CN"/>
        </w:rPr>
        <w:t>104.1</w:t>
      </w:r>
      <w:r>
        <w:rPr>
          <w:lang w:eastAsia="zh-CN"/>
        </w:rPr>
        <w:t>m</w:t>
      </w:r>
      <w:r>
        <w:rPr>
          <w:vertAlign w:val="superscript"/>
          <w:lang w:eastAsia="zh-CN"/>
        </w:rPr>
        <w:t>3</w:t>
      </w:r>
      <w:r>
        <w:rPr>
          <w:rFonts w:hint="eastAsia"/>
          <w:vertAlign w:val="baseline"/>
          <w:lang w:val="en-US" w:eastAsia="zh-CN"/>
        </w:rPr>
        <w:t>/hm</w:t>
      </w:r>
      <w:r>
        <w:rPr>
          <w:rFonts w:hint="eastAsia"/>
          <w:vertAlign w:val="superscript"/>
          <w:lang w:val="en-US" w:eastAsia="zh-CN"/>
        </w:rPr>
        <w:t>2</w:t>
      </w:r>
      <w:r>
        <w:rPr>
          <w:lang w:eastAsia="zh-CN"/>
        </w:rPr>
        <w:t>，湿地松蓄积53.72m</w:t>
      </w:r>
      <w:r>
        <w:rPr>
          <w:vertAlign w:val="superscript"/>
          <w:lang w:eastAsia="zh-CN"/>
        </w:rPr>
        <w:t>3</w:t>
      </w:r>
      <w:r>
        <w:rPr>
          <w:rFonts w:hint="eastAsia"/>
          <w:vertAlign w:val="baseline"/>
          <w:lang w:val="en-US" w:eastAsia="zh-CN"/>
        </w:rPr>
        <w:t>/hm</w:t>
      </w:r>
      <w:r>
        <w:rPr>
          <w:rFonts w:hint="eastAsia"/>
          <w:vertAlign w:val="superscript"/>
          <w:lang w:val="en-US" w:eastAsia="zh-CN"/>
        </w:rPr>
        <w:t>2</w:t>
      </w:r>
      <w:r>
        <w:rPr>
          <w:lang w:eastAsia="zh-CN"/>
        </w:rPr>
        <w:t>，柏木蓄积1</w:t>
      </w:r>
      <w:r>
        <w:rPr>
          <w:rFonts w:hint="eastAsia"/>
          <w:lang w:eastAsia="zh-CN"/>
        </w:rPr>
        <w:t>96.38</w:t>
      </w:r>
      <w:r>
        <w:rPr>
          <w:lang w:eastAsia="zh-CN"/>
        </w:rPr>
        <w:t>9m</w:t>
      </w:r>
      <w:r>
        <w:rPr>
          <w:vertAlign w:val="superscript"/>
          <w:lang w:eastAsia="zh-CN"/>
        </w:rPr>
        <w:t>3</w:t>
      </w:r>
      <w:r>
        <w:rPr>
          <w:rFonts w:hint="eastAsia"/>
          <w:vertAlign w:val="baseline"/>
          <w:lang w:val="en-US" w:eastAsia="zh-CN"/>
        </w:rPr>
        <w:t>/hm</w:t>
      </w:r>
      <w:r>
        <w:rPr>
          <w:rFonts w:hint="eastAsia"/>
          <w:vertAlign w:val="superscript"/>
          <w:lang w:val="en-US" w:eastAsia="zh-CN"/>
        </w:rPr>
        <w:t>2</w:t>
      </w:r>
      <w:r>
        <w:rPr>
          <w:lang w:eastAsia="zh-CN"/>
        </w:rPr>
        <w:t>，桉树组蓄积66.58m</w:t>
      </w:r>
      <w:r>
        <w:rPr>
          <w:vertAlign w:val="superscript"/>
          <w:lang w:eastAsia="zh-CN"/>
        </w:rPr>
        <w:t>3</w:t>
      </w:r>
      <w:r>
        <w:rPr>
          <w:rFonts w:hint="eastAsia"/>
          <w:vertAlign w:val="baseline"/>
          <w:lang w:val="en-US" w:eastAsia="zh-CN"/>
        </w:rPr>
        <w:t>/hm</w:t>
      </w:r>
      <w:r>
        <w:rPr>
          <w:rFonts w:hint="eastAsia"/>
          <w:vertAlign w:val="superscript"/>
          <w:lang w:val="en-US" w:eastAsia="zh-CN"/>
        </w:rPr>
        <w:t>2</w:t>
      </w:r>
      <w:r>
        <w:rPr>
          <w:lang w:eastAsia="zh-CN"/>
        </w:rPr>
        <w:t>，阔叶树组蓄积86.59m</w:t>
      </w:r>
      <w:r>
        <w:rPr>
          <w:vertAlign w:val="superscript"/>
          <w:lang w:eastAsia="zh-CN"/>
        </w:rPr>
        <w:t>3</w:t>
      </w:r>
      <w:r>
        <w:rPr>
          <w:rFonts w:hint="eastAsia"/>
          <w:vertAlign w:val="baseline"/>
          <w:lang w:val="en-US" w:eastAsia="zh-CN"/>
        </w:rPr>
        <w:t>/hm</w:t>
      </w:r>
      <w:r>
        <w:rPr>
          <w:rFonts w:hint="eastAsia"/>
          <w:vertAlign w:val="superscript"/>
          <w:lang w:val="en-US" w:eastAsia="zh-CN"/>
        </w:rPr>
        <w:t>2</w:t>
      </w:r>
      <w:r>
        <w:rPr>
          <w:lang w:eastAsia="zh-CN"/>
        </w:rPr>
        <w:t>。</w:t>
      </w:r>
    </w:p>
    <w:p w14:paraId="0118FA0A">
      <w:pPr>
        <w:ind w:firstLine="480"/>
        <w:rPr>
          <w:lang w:eastAsia="zh-CN"/>
        </w:rPr>
      </w:pPr>
      <w:r>
        <w:rPr>
          <w:rFonts w:hint="eastAsia"/>
          <w:lang w:eastAsia="zh-CN"/>
        </w:rPr>
        <w:t>(</w:t>
      </w:r>
      <w:r>
        <w:rPr>
          <w:lang w:eastAsia="zh-CN"/>
        </w:rPr>
        <w:t>3</w:t>
      </w:r>
      <w:r>
        <w:rPr>
          <w:rFonts w:hint="eastAsia"/>
          <w:lang w:eastAsia="zh-CN"/>
        </w:rPr>
        <w:t>)</w:t>
      </w:r>
      <w:r>
        <w:rPr>
          <w:lang w:eastAsia="zh-CN"/>
        </w:rPr>
        <w:t>树种结构比较合理</w:t>
      </w:r>
    </w:p>
    <w:p w14:paraId="363D1572">
      <w:pPr>
        <w:ind w:firstLine="480"/>
        <w:rPr>
          <w:lang w:eastAsia="zh-CN"/>
        </w:rPr>
      </w:pPr>
      <w:r>
        <w:rPr>
          <w:lang w:eastAsia="zh-CN"/>
        </w:rPr>
        <w:t>林场内乔木林优势树种组包括杉木组、马尾松、国外松、桉树组、柏木组、阔叶树组，其中阔叶组比例达到了61.13%，这种树种结构对于综合利用土地肥力、病虫害防治、促进森林植被正向演替、最大限度发挥森林综合效益等都非常有利。</w:t>
      </w:r>
    </w:p>
    <w:p w14:paraId="606C78A6">
      <w:pPr>
        <w:ind w:firstLine="480"/>
        <w:rPr>
          <w:lang w:eastAsia="zh-CN"/>
        </w:rPr>
      </w:pPr>
      <w:r>
        <w:rPr>
          <w:rFonts w:hint="eastAsia"/>
          <w:lang w:eastAsia="zh-CN"/>
        </w:rPr>
        <w:t>(</w:t>
      </w:r>
      <w:r>
        <w:rPr>
          <w:lang w:eastAsia="zh-CN"/>
        </w:rPr>
        <w:t>3</w:t>
      </w:r>
      <w:r>
        <w:rPr>
          <w:rFonts w:hint="eastAsia"/>
          <w:lang w:eastAsia="zh-CN"/>
        </w:rPr>
        <w:t>)</w:t>
      </w:r>
      <w:r>
        <w:rPr>
          <w:lang w:eastAsia="zh-CN"/>
        </w:rPr>
        <w:t>森林景观资源丰富</w:t>
      </w:r>
    </w:p>
    <w:p w14:paraId="3C5D737D">
      <w:pPr>
        <w:ind w:firstLine="480"/>
        <w:rPr>
          <w:lang w:eastAsia="zh-CN"/>
        </w:rPr>
      </w:pPr>
      <w:r>
        <w:rPr>
          <w:lang w:eastAsia="zh-CN"/>
        </w:rPr>
        <w:t>阳明山林场内的植被类型和植物种类组成具有湘南区域的典型性和代表性，如保存完好的藜蒴栲林、小红栲林等，低海拔地段至今仍保存有大面积的观光木、蕈树等的常绿阔叶林，这在亚热带地区同样弥足珍贵。800m以上有福建柏等湘南山地代表性的针叶树种。此外，硬斗石栎、假地枫皮、多种杜鹃为主要建群种的山顶矮林、以长柄双花木为主要建群种的中山灌丛也是湘南区域所特有的，并具有很高的观赏性。保存完整的森林生态系统孕育了丰富的生物多样性，多达19种的珍稀濒危保护植物在这里集中分布，使之不仅成为资源的保存地，也为自然科普教育提供了绝佳的展示场。丰富的森林植被类型造就了浩瀚的森林景观。</w:t>
      </w:r>
    </w:p>
    <w:p w14:paraId="68244D90">
      <w:pPr>
        <w:pStyle w:val="3"/>
        <w:rPr>
          <w:lang w:eastAsia="zh-CN"/>
        </w:rPr>
      </w:pPr>
      <w:bookmarkStart w:id="25" w:name="bookmark16"/>
      <w:bookmarkEnd w:id="25"/>
      <w:bookmarkStart w:id="26" w:name="bookmark14"/>
      <w:bookmarkEnd w:id="26"/>
      <w:bookmarkStart w:id="27" w:name="_Toc9820"/>
      <w:r>
        <w:rPr>
          <w:lang w:eastAsia="zh-CN"/>
        </w:rPr>
        <w:t>2.2生态产品生产能力评价</w:t>
      </w:r>
      <w:bookmarkEnd w:id="27"/>
    </w:p>
    <w:p w14:paraId="53C06E45">
      <w:pPr>
        <w:pStyle w:val="4"/>
      </w:pPr>
      <w:bookmarkStart w:id="28" w:name="_Toc28389"/>
      <w:r>
        <w:rPr>
          <w:rFonts w:hint="eastAsia"/>
        </w:rPr>
        <w:t>2.2.1</w:t>
      </w:r>
      <w:r>
        <w:t>生态服务产品生产能力</w:t>
      </w:r>
      <w:bookmarkEnd w:id="28"/>
    </w:p>
    <w:p w14:paraId="1853288E">
      <w:pPr>
        <w:spacing w:before="51"/>
        <w:ind w:firstLine="480"/>
        <w:rPr>
          <w:rFonts w:cs="Times New Roman"/>
          <w:szCs w:val="24"/>
          <w:lang w:eastAsia="zh-CN"/>
        </w:rPr>
      </w:pPr>
      <w:r>
        <w:rPr>
          <w:rFonts w:cs="Times New Roman"/>
          <w:szCs w:val="24"/>
          <w:lang w:eastAsia="zh-CN"/>
        </w:rPr>
        <w:t>按有林地</w:t>
      </w:r>
      <w:r>
        <w:rPr>
          <w:rFonts w:hint="eastAsia" w:cs="Times New Roman"/>
          <w:szCs w:val="24"/>
          <w:lang w:eastAsia="zh-CN"/>
        </w:rPr>
        <w:t>11037.01</w:t>
      </w:r>
      <w:r>
        <w:rPr>
          <w:rFonts w:cs="Times New Roman"/>
          <w:szCs w:val="24"/>
          <w:lang w:eastAsia="zh-CN"/>
        </w:rPr>
        <w:t>hm</w:t>
      </w:r>
      <w:r>
        <w:rPr>
          <w:rFonts w:cs="Times New Roman"/>
          <w:szCs w:val="24"/>
          <w:vertAlign w:val="superscript"/>
          <w:lang w:eastAsia="zh-CN"/>
        </w:rPr>
        <w:t>2</w:t>
      </w:r>
      <w:r>
        <w:rPr>
          <w:rFonts w:cs="Times New Roman"/>
          <w:szCs w:val="24"/>
          <w:lang w:eastAsia="zh-CN"/>
        </w:rPr>
        <w:t>计算，每年可释放氧气8390.9t，蓄水4196229.0t，吸收二氧化碳12590.2t，吸附尘埃951145.2t，吸收二氧化硫2519.6t，每年可保全土壤811270.9t，保全氮2252.3t，保全磷666.58t，保全钾13788.9t。</w:t>
      </w:r>
    </w:p>
    <w:p w14:paraId="4947A11C">
      <w:pPr>
        <w:pStyle w:val="4"/>
      </w:pPr>
      <w:bookmarkStart w:id="29" w:name="_Toc11751"/>
      <w:r>
        <w:rPr>
          <w:rFonts w:hint="eastAsia"/>
        </w:rPr>
        <w:t>2.2.2</w:t>
      </w:r>
      <w:r>
        <w:t>社会服务产品生产能力</w:t>
      </w:r>
      <w:bookmarkEnd w:id="29"/>
    </w:p>
    <w:p w14:paraId="5BFC7AA0">
      <w:pPr>
        <w:ind w:firstLine="480"/>
        <w:rPr>
          <w:lang w:eastAsia="zh-CN"/>
        </w:rPr>
      </w:pPr>
      <w:r>
        <w:rPr>
          <w:lang w:eastAsia="zh-CN"/>
        </w:rPr>
        <w:t>按有林地</w:t>
      </w:r>
      <w:r>
        <w:rPr>
          <w:rFonts w:hint="eastAsia"/>
          <w:lang w:eastAsia="zh-CN"/>
        </w:rPr>
        <w:t>11037.01</w:t>
      </w:r>
      <w:r>
        <w:rPr>
          <w:lang w:eastAsia="zh-CN"/>
        </w:rPr>
        <w:t>hm</w:t>
      </w:r>
      <w:r>
        <w:rPr>
          <w:vertAlign w:val="superscript"/>
          <w:lang w:eastAsia="zh-CN"/>
        </w:rPr>
        <w:t>2</w:t>
      </w:r>
      <w:r>
        <w:rPr>
          <w:lang w:eastAsia="zh-CN"/>
        </w:rPr>
        <w:t>计算，每年森林游憩9000万人次，森林康养9000万人次。</w:t>
      </w:r>
    </w:p>
    <w:p w14:paraId="13B0EC3A">
      <w:pPr>
        <w:spacing w:line="240" w:lineRule="auto"/>
        <w:ind w:firstLine="0" w:firstLineChars="0"/>
        <w:jc w:val="center"/>
        <w:rPr>
          <w:rFonts w:eastAsia="黑体" w:cs="Times New Roman"/>
          <w:b/>
          <w:bCs/>
          <w:szCs w:val="24"/>
          <w:lang w:eastAsia="zh-CN"/>
        </w:rPr>
      </w:pPr>
      <w:r>
        <w:rPr>
          <w:rFonts w:eastAsia="黑体" w:cs="Times New Roman"/>
          <w:b/>
          <w:bCs/>
          <w:szCs w:val="24"/>
          <w:lang w:eastAsia="zh-CN"/>
        </w:rPr>
        <w:t>表2-5双牌县阳明山国有林场生态产品生产能力统计表</w:t>
      </w:r>
    </w:p>
    <w:p w14:paraId="056319CE">
      <w:pPr>
        <w:spacing w:line="240" w:lineRule="auto"/>
        <w:ind w:firstLine="0" w:firstLineChars="0"/>
        <w:jc w:val="right"/>
        <w:rPr>
          <w:rFonts w:cs="Times New Roman"/>
          <w:sz w:val="21"/>
          <w:lang w:eastAsia="zh-CN"/>
        </w:rPr>
      </w:pPr>
      <w:r>
        <w:rPr>
          <w:rFonts w:cs="Times New Roman"/>
          <w:sz w:val="21"/>
          <w:lang w:eastAsia="zh-CN"/>
        </w:rPr>
        <w:t>单位：hm</w:t>
      </w:r>
      <w:r>
        <w:rPr>
          <w:rFonts w:cs="Times New Roman"/>
          <w:sz w:val="21"/>
          <w:vertAlign w:val="superscript"/>
          <w:lang w:eastAsia="zh-CN"/>
        </w:rPr>
        <w:t>2</w:t>
      </w:r>
      <w:r>
        <w:rPr>
          <w:rFonts w:cs="Times New Roman"/>
          <w:sz w:val="21"/>
          <w:lang w:eastAsia="zh-CN"/>
        </w:rPr>
        <w:t>、t、人次、元等</w:t>
      </w:r>
    </w:p>
    <w:tbl>
      <w:tblPr>
        <w:tblStyle w:val="21"/>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334"/>
        <w:gridCol w:w="1749"/>
        <w:gridCol w:w="2200"/>
        <w:gridCol w:w="2419"/>
      </w:tblGrid>
      <w:tr w14:paraId="5D4220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blHeader/>
        </w:trPr>
        <w:tc>
          <w:tcPr>
            <w:tcW w:w="1341" w:type="pct"/>
            <w:vAlign w:val="center"/>
          </w:tcPr>
          <w:p w14:paraId="45E1B82C">
            <w:pPr>
              <w:spacing w:line="240" w:lineRule="auto"/>
              <w:ind w:firstLine="0" w:firstLineChars="0"/>
              <w:jc w:val="center"/>
              <w:rPr>
                <w:rFonts w:cs="Times New Roman"/>
                <w:sz w:val="21"/>
              </w:rPr>
            </w:pPr>
            <w:r>
              <w:rPr>
                <w:rFonts w:cs="Times New Roman"/>
                <w:sz w:val="21"/>
              </w:rPr>
              <w:t>产品类别</w:t>
            </w:r>
          </w:p>
        </w:tc>
        <w:tc>
          <w:tcPr>
            <w:tcW w:w="1005" w:type="pct"/>
            <w:vAlign w:val="center"/>
          </w:tcPr>
          <w:p w14:paraId="7F633CA2">
            <w:pPr>
              <w:spacing w:line="240" w:lineRule="auto"/>
              <w:ind w:firstLine="0" w:firstLineChars="0"/>
              <w:jc w:val="center"/>
              <w:rPr>
                <w:rFonts w:cs="Times New Roman"/>
                <w:sz w:val="21"/>
              </w:rPr>
            </w:pPr>
            <w:r>
              <w:rPr>
                <w:rFonts w:cs="Times New Roman"/>
                <w:sz w:val="21"/>
              </w:rPr>
              <w:t>产品</w:t>
            </w:r>
          </w:p>
        </w:tc>
        <w:tc>
          <w:tcPr>
            <w:tcW w:w="1264" w:type="pct"/>
            <w:vAlign w:val="center"/>
          </w:tcPr>
          <w:p w14:paraId="1D1A0C17">
            <w:pPr>
              <w:spacing w:line="240" w:lineRule="auto"/>
              <w:ind w:firstLine="0" w:firstLineChars="0"/>
              <w:jc w:val="center"/>
              <w:rPr>
                <w:rFonts w:cs="Times New Roman"/>
                <w:sz w:val="21"/>
              </w:rPr>
            </w:pPr>
            <w:r>
              <w:rPr>
                <w:rFonts w:cs="Times New Roman"/>
                <w:sz w:val="21"/>
              </w:rPr>
              <w:t>经营面积或数量</w:t>
            </w:r>
          </w:p>
        </w:tc>
        <w:tc>
          <w:tcPr>
            <w:tcW w:w="1390" w:type="pct"/>
            <w:vAlign w:val="center"/>
          </w:tcPr>
          <w:p w14:paraId="0B4E7DF0">
            <w:pPr>
              <w:spacing w:line="240" w:lineRule="auto"/>
              <w:ind w:firstLine="0" w:firstLineChars="0"/>
              <w:jc w:val="center"/>
              <w:rPr>
                <w:rFonts w:cs="Times New Roman"/>
                <w:sz w:val="21"/>
              </w:rPr>
            </w:pPr>
            <w:r>
              <w:rPr>
                <w:rFonts w:cs="Times New Roman"/>
                <w:sz w:val="21"/>
              </w:rPr>
              <w:t>产品产量</w:t>
            </w:r>
          </w:p>
        </w:tc>
      </w:tr>
      <w:tr w14:paraId="3F6CBE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341" w:type="pct"/>
            <w:vMerge w:val="restart"/>
            <w:vAlign w:val="center"/>
          </w:tcPr>
          <w:p w14:paraId="4CF03BCC">
            <w:pPr>
              <w:spacing w:line="240" w:lineRule="auto"/>
              <w:ind w:firstLine="0" w:firstLineChars="0"/>
              <w:jc w:val="center"/>
              <w:rPr>
                <w:rFonts w:cs="Times New Roman"/>
                <w:sz w:val="21"/>
                <w:lang w:eastAsia="zh-CN"/>
              </w:rPr>
            </w:pPr>
            <w:r>
              <w:rPr>
                <w:rFonts w:cs="Times New Roman"/>
                <w:sz w:val="21"/>
                <w:lang w:eastAsia="zh-CN"/>
              </w:rPr>
              <w:t>生态服务产品生产能力</w:t>
            </w:r>
          </w:p>
        </w:tc>
        <w:tc>
          <w:tcPr>
            <w:tcW w:w="1005" w:type="pct"/>
            <w:vAlign w:val="center"/>
          </w:tcPr>
          <w:p w14:paraId="3732E238">
            <w:pPr>
              <w:spacing w:line="240" w:lineRule="auto"/>
              <w:ind w:firstLine="0" w:firstLineChars="0"/>
              <w:jc w:val="center"/>
              <w:rPr>
                <w:rFonts w:cs="Times New Roman"/>
                <w:sz w:val="21"/>
              </w:rPr>
            </w:pPr>
            <w:r>
              <w:rPr>
                <w:rFonts w:cs="Times New Roman"/>
                <w:sz w:val="21"/>
              </w:rPr>
              <w:t>释放氧气</w:t>
            </w:r>
          </w:p>
        </w:tc>
        <w:tc>
          <w:tcPr>
            <w:tcW w:w="1264" w:type="pct"/>
            <w:vAlign w:val="center"/>
          </w:tcPr>
          <w:p w14:paraId="361D4168">
            <w:pPr>
              <w:spacing w:line="240" w:lineRule="auto"/>
              <w:ind w:firstLine="0" w:firstLineChars="0"/>
              <w:jc w:val="center"/>
              <w:rPr>
                <w:rFonts w:cs="Times New Roman"/>
                <w:sz w:val="21"/>
                <w:lang w:eastAsia="zh-CN"/>
              </w:rPr>
            </w:pPr>
            <w:r>
              <w:rPr>
                <w:rFonts w:hint="eastAsia" w:cs="Times New Roman"/>
                <w:sz w:val="21"/>
                <w:lang w:eastAsia="zh-CN"/>
              </w:rPr>
              <w:t>11037.01</w:t>
            </w:r>
          </w:p>
        </w:tc>
        <w:tc>
          <w:tcPr>
            <w:tcW w:w="1390" w:type="pct"/>
            <w:vAlign w:val="center"/>
          </w:tcPr>
          <w:p w14:paraId="1B62FC10">
            <w:pPr>
              <w:spacing w:line="240" w:lineRule="auto"/>
              <w:ind w:firstLine="0" w:firstLineChars="0"/>
              <w:jc w:val="center"/>
              <w:rPr>
                <w:rFonts w:cs="Times New Roman"/>
                <w:sz w:val="21"/>
              </w:rPr>
            </w:pPr>
            <w:r>
              <w:rPr>
                <w:rFonts w:cs="Times New Roman"/>
                <w:sz w:val="21"/>
              </w:rPr>
              <w:t>8390.9</w:t>
            </w:r>
          </w:p>
        </w:tc>
      </w:tr>
      <w:tr w14:paraId="547191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341" w:type="pct"/>
            <w:vMerge w:val="continue"/>
            <w:vAlign w:val="center"/>
          </w:tcPr>
          <w:p w14:paraId="49C26EE0">
            <w:pPr>
              <w:spacing w:line="240" w:lineRule="auto"/>
              <w:ind w:firstLine="0" w:firstLineChars="0"/>
              <w:jc w:val="center"/>
              <w:rPr>
                <w:rFonts w:cs="Times New Roman"/>
                <w:sz w:val="21"/>
              </w:rPr>
            </w:pPr>
          </w:p>
        </w:tc>
        <w:tc>
          <w:tcPr>
            <w:tcW w:w="1005" w:type="pct"/>
            <w:vAlign w:val="center"/>
          </w:tcPr>
          <w:p w14:paraId="432475E5">
            <w:pPr>
              <w:spacing w:line="240" w:lineRule="auto"/>
              <w:ind w:firstLine="0" w:firstLineChars="0"/>
              <w:jc w:val="center"/>
              <w:rPr>
                <w:rFonts w:cs="Times New Roman"/>
                <w:sz w:val="21"/>
              </w:rPr>
            </w:pPr>
            <w:r>
              <w:rPr>
                <w:rFonts w:cs="Times New Roman"/>
                <w:sz w:val="21"/>
              </w:rPr>
              <w:t>蓄水</w:t>
            </w:r>
          </w:p>
        </w:tc>
        <w:tc>
          <w:tcPr>
            <w:tcW w:w="1264" w:type="pct"/>
            <w:vAlign w:val="center"/>
          </w:tcPr>
          <w:p w14:paraId="68CBA8F5">
            <w:pPr>
              <w:spacing w:line="240" w:lineRule="auto"/>
              <w:ind w:firstLine="0" w:firstLineChars="0"/>
              <w:jc w:val="center"/>
              <w:rPr>
                <w:rFonts w:cs="Times New Roman"/>
                <w:sz w:val="21"/>
                <w:lang w:eastAsia="zh-CN"/>
              </w:rPr>
            </w:pPr>
            <w:r>
              <w:rPr>
                <w:rFonts w:hint="eastAsia" w:cs="Times New Roman"/>
                <w:sz w:val="21"/>
                <w:lang w:eastAsia="zh-CN"/>
              </w:rPr>
              <w:t>11037.01</w:t>
            </w:r>
          </w:p>
        </w:tc>
        <w:tc>
          <w:tcPr>
            <w:tcW w:w="1390" w:type="pct"/>
            <w:vAlign w:val="center"/>
          </w:tcPr>
          <w:p w14:paraId="681DA5E1">
            <w:pPr>
              <w:spacing w:line="240" w:lineRule="auto"/>
              <w:ind w:firstLine="0" w:firstLineChars="0"/>
              <w:jc w:val="center"/>
              <w:rPr>
                <w:rFonts w:cs="Times New Roman"/>
                <w:sz w:val="21"/>
              </w:rPr>
            </w:pPr>
            <w:r>
              <w:rPr>
                <w:rFonts w:cs="Times New Roman"/>
                <w:sz w:val="21"/>
              </w:rPr>
              <w:t>4196229.0</w:t>
            </w:r>
          </w:p>
        </w:tc>
      </w:tr>
      <w:tr w14:paraId="133910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341" w:type="pct"/>
            <w:vMerge w:val="continue"/>
            <w:vAlign w:val="center"/>
          </w:tcPr>
          <w:p w14:paraId="23ECFF72">
            <w:pPr>
              <w:spacing w:line="240" w:lineRule="auto"/>
              <w:ind w:firstLine="0" w:firstLineChars="0"/>
              <w:jc w:val="center"/>
              <w:rPr>
                <w:rFonts w:cs="Times New Roman"/>
                <w:sz w:val="21"/>
              </w:rPr>
            </w:pPr>
          </w:p>
        </w:tc>
        <w:tc>
          <w:tcPr>
            <w:tcW w:w="1005" w:type="pct"/>
            <w:vAlign w:val="center"/>
          </w:tcPr>
          <w:p w14:paraId="56107B19">
            <w:pPr>
              <w:spacing w:line="240" w:lineRule="auto"/>
              <w:ind w:firstLine="0" w:firstLineChars="0"/>
              <w:jc w:val="center"/>
              <w:rPr>
                <w:rFonts w:cs="Times New Roman"/>
                <w:sz w:val="21"/>
              </w:rPr>
            </w:pPr>
            <w:r>
              <w:rPr>
                <w:rFonts w:cs="Times New Roman"/>
                <w:sz w:val="21"/>
              </w:rPr>
              <w:t>吸收二氧化碳</w:t>
            </w:r>
          </w:p>
        </w:tc>
        <w:tc>
          <w:tcPr>
            <w:tcW w:w="1264" w:type="pct"/>
            <w:vAlign w:val="center"/>
          </w:tcPr>
          <w:p w14:paraId="514F613F">
            <w:pPr>
              <w:spacing w:line="240" w:lineRule="auto"/>
              <w:ind w:firstLine="0" w:firstLineChars="0"/>
              <w:jc w:val="center"/>
              <w:rPr>
                <w:rFonts w:cs="Times New Roman"/>
                <w:sz w:val="21"/>
                <w:lang w:eastAsia="zh-CN"/>
              </w:rPr>
            </w:pPr>
            <w:r>
              <w:rPr>
                <w:rFonts w:hint="eastAsia" w:cs="Times New Roman"/>
                <w:sz w:val="21"/>
                <w:lang w:eastAsia="zh-CN"/>
              </w:rPr>
              <w:t>11037.01</w:t>
            </w:r>
          </w:p>
        </w:tc>
        <w:tc>
          <w:tcPr>
            <w:tcW w:w="1390" w:type="pct"/>
            <w:vAlign w:val="center"/>
          </w:tcPr>
          <w:p w14:paraId="6D528EB1">
            <w:pPr>
              <w:spacing w:line="240" w:lineRule="auto"/>
              <w:ind w:firstLine="0" w:firstLineChars="0"/>
              <w:jc w:val="center"/>
              <w:rPr>
                <w:rFonts w:cs="Times New Roman"/>
                <w:sz w:val="21"/>
              </w:rPr>
            </w:pPr>
            <w:r>
              <w:rPr>
                <w:rFonts w:cs="Times New Roman"/>
                <w:sz w:val="21"/>
              </w:rPr>
              <w:t>12590.2</w:t>
            </w:r>
          </w:p>
        </w:tc>
      </w:tr>
      <w:tr w14:paraId="5FF60F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341" w:type="pct"/>
            <w:vMerge w:val="continue"/>
            <w:vAlign w:val="center"/>
          </w:tcPr>
          <w:p w14:paraId="0F2FE7D3">
            <w:pPr>
              <w:spacing w:line="240" w:lineRule="auto"/>
              <w:ind w:firstLine="0" w:firstLineChars="0"/>
              <w:jc w:val="center"/>
              <w:rPr>
                <w:rFonts w:cs="Times New Roman"/>
                <w:sz w:val="21"/>
              </w:rPr>
            </w:pPr>
          </w:p>
        </w:tc>
        <w:tc>
          <w:tcPr>
            <w:tcW w:w="1005" w:type="pct"/>
            <w:vAlign w:val="center"/>
          </w:tcPr>
          <w:p w14:paraId="3BDD34F6">
            <w:pPr>
              <w:spacing w:line="240" w:lineRule="auto"/>
              <w:ind w:firstLine="0" w:firstLineChars="0"/>
              <w:jc w:val="center"/>
              <w:rPr>
                <w:rFonts w:cs="Times New Roman"/>
                <w:sz w:val="21"/>
              </w:rPr>
            </w:pPr>
            <w:r>
              <w:rPr>
                <w:rFonts w:cs="Times New Roman"/>
                <w:sz w:val="21"/>
              </w:rPr>
              <w:t>散发杀菌剂</w:t>
            </w:r>
          </w:p>
        </w:tc>
        <w:tc>
          <w:tcPr>
            <w:tcW w:w="1264" w:type="pct"/>
            <w:vAlign w:val="center"/>
          </w:tcPr>
          <w:p w14:paraId="30459AC2">
            <w:pPr>
              <w:spacing w:line="240" w:lineRule="auto"/>
              <w:ind w:firstLine="0" w:firstLineChars="0"/>
              <w:jc w:val="center"/>
              <w:rPr>
                <w:rFonts w:cs="Times New Roman"/>
                <w:sz w:val="21"/>
                <w:lang w:eastAsia="zh-CN"/>
              </w:rPr>
            </w:pPr>
            <w:r>
              <w:rPr>
                <w:rFonts w:hint="eastAsia" w:cs="Times New Roman"/>
                <w:sz w:val="21"/>
                <w:lang w:eastAsia="zh-CN"/>
              </w:rPr>
              <w:t>11037.01</w:t>
            </w:r>
          </w:p>
        </w:tc>
        <w:tc>
          <w:tcPr>
            <w:tcW w:w="1390" w:type="pct"/>
            <w:vAlign w:val="center"/>
          </w:tcPr>
          <w:p w14:paraId="794ED2B3">
            <w:pPr>
              <w:spacing w:line="240" w:lineRule="auto"/>
              <w:ind w:firstLine="0" w:firstLineChars="0"/>
              <w:jc w:val="center"/>
              <w:rPr>
                <w:rFonts w:cs="Times New Roman"/>
                <w:sz w:val="21"/>
              </w:rPr>
            </w:pPr>
            <w:r>
              <w:rPr>
                <w:rFonts w:cs="Times New Roman"/>
                <w:sz w:val="21"/>
              </w:rPr>
              <w:t>68.7</w:t>
            </w:r>
          </w:p>
        </w:tc>
      </w:tr>
      <w:tr w14:paraId="02DAE1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341" w:type="pct"/>
            <w:vMerge w:val="continue"/>
            <w:vAlign w:val="center"/>
          </w:tcPr>
          <w:p w14:paraId="7DAFCA7D">
            <w:pPr>
              <w:spacing w:line="240" w:lineRule="auto"/>
              <w:ind w:firstLine="0" w:firstLineChars="0"/>
              <w:jc w:val="center"/>
              <w:rPr>
                <w:rFonts w:cs="Times New Roman"/>
                <w:sz w:val="21"/>
              </w:rPr>
            </w:pPr>
          </w:p>
        </w:tc>
        <w:tc>
          <w:tcPr>
            <w:tcW w:w="1005" w:type="pct"/>
            <w:vAlign w:val="center"/>
          </w:tcPr>
          <w:p w14:paraId="5BF82B9F">
            <w:pPr>
              <w:spacing w:line="240" w:lineRule="auto"/>
              <w:ind w:firstLine="0" w:firstLineChars="0"/>
              <w:jc w:val="center"/>
              <w:rPr>
                <w:rFonts w:cs="Times New Roman"/>
                <w:sz w:val="21"/>
              </w:rPr>
            </w:pPr>
            <w:r>
              <w:rPr>
                <w:rFonts w:cs="Times New Roman"/>
                <w:sz w:val="21"/>
              </w:rPr>
              <w:t>吸附尘埃</w:t>
            </w:r>
          </w:p>
        </w:tc>
        <w:tc>
          <w:tcPr>
            <w:tcW w:w="1264" w:type="pct"/>
            <w:vAlign w:val="center"/>
          </w:tcPr>
          <w:p w14:paraId="5AAE69AC">
            <w:pPr>
              <w:spacing w:line="240" w:lineRule="auto"/>
              <w:ind w:firstLine="0" w:firstLineChars="0"/>
              <w:jc w:val="center"/>
              <w:rPr>
                <w:rFonts w:cs="Times New Roman"/>
                <w:sz w:val="21"/>
                <w:lang w:eastAsia="zh-CN"/>
              </w:rPr>
            </w:pPr>
            <w:r>
              <w:rPr>
                <w:rFonts w:hint="eastAsia" w:cs="Times New Roman"/>
                <w:sz w:val="21"/>
                <w:lang w:eastAsia="zh-CN"/>
              </w:rPr>
              <w:t>11037.01</w:t>
            </w:r>
          </w:p>
        </w:tc>
        <w:tc>
          <w:tcPr>
            <w:tcW w:w="1390" w:type="pct"/>
            <w:vAlign w:val="center"/>
          </w:tcPr>
          <w:p w14:paraId="7018CF70">
            <w:pPr>
              <w:spacing w:line="240" w:lineRule="auto"/>
              <w:ind w:firstLine="0" w:firstLineChars="0"/>
              <w:jc w:val="center"/>
              <w:rPr>
                <w:rFonts w:cs="Times New Roman"/>
                <w:sz w:val="21"/>
              </w:rPr>
            </w:pPr>
            <w:r>
              <w:rPr>
                <w:rFonts w:cs="Times New Roman"/>
                <w:sz w:val="21"/>
              </w:rPr>
              <w:t>951145.2</w:t>
            </w:r>
          </w:p>
        </w:tc>
      </w:tr>
      <w:tr w14:paraId="13B3E6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1341" w:type="pct"/>
            <w:vMerge w:val="continue"/>
            <w:vAlign w:val="center"/>
          </w:tcPr>
          <w:p w14:paraId="2204995C">
            <w:pPr>
              <w:spacing w:line="240" w:lineRule="auto"/>
              <w:ind w:firstLine="0" w:firstLineChars="0"/>
              <w:jc w:val="center"/>
              <w:rPr>
                <w:rFonts w:cs="Times New Roman"/>
                <w:sz w:val="21"/>
              </w:rPr>
            </w:pPr>
          </w:p>
        </w:tc>
        <w:tc>
          <w:tcPr>
            <w:tcW w:w="1005" w:type="pct"/>
            <w:vAlign w:val="center"/>
          </w:tcPr>
          <w:p w14:paraId="257C1978">
            <w:pPr>
              <w:spacing w:line="240" w:lineRule="auto"/>
              <w:ind w:firstLine="0" w:firstLineChars="0"/>
              <w:jc w:val="center"/>
              <w:rPr>
                <w:rFonts w:cs="Times New Roman"/>
                <w:sz w:val="21"/>
              </w:rPr>
            </w:pPr>
            <w:r>
              <w:rPr>
                <w:rFonts w:cs="Times New Roman"/>
                <w:sz w:val="21"/>
              </w:rPr>
              <w:t>吸收二氧化硫</w:t>
            </w:r>
          </w:p>
        </w:tc>
        <w:tc>
          <w:tcPr>
            <w:tcW w:w="1264" w:type="pct"/>
            <w:vAlign w:val="center"/>
          </w:tcPr>
          <w:p w14:paraId="24E9E02B">
            <w:pPr>
              <w:spacing w:line="240" w:lineRule="auto"/>
              <w:ind w:firstLine="0" w:firstLineChars="0"/>
              <w:jc w:val="center"/>
              <w:rPr>
                <w:rFonts w:cs="Times New Roman"/>
                <w:sz w:val="21"/>
                <w:lang w:eastAsia="zh-CN"/>
              </w:rPr>
            </w:pPr>
            <w:r>
              <w:rPr>
                <w:rFonts w:hint="eastAsia" w:cs="Times New Roman"/>
                <w:sz w:val="21"/>
                <w:lang w:eastAsia="zh-CN"/>
              </w:rPr>
              <w:t>11037.01</w:t>
            </w:r>
          </w:p>
        </w:tc>
        <w:tc>
          <w:tcPr>
            <w:tcW w:w="1390" w:type="pct"/>
            <w:vAlign w:val="center"/>
          </w:tcPr>
          <w:p w14:paraId="3B49A7B7">
            <w:pPr>
              <w:spacing w:line="240" w:lineRule="auto"/>
              <w:ind w:firstLine="0" w:firstLineChars="0"/>
              <w:jc w:val="center"/>
              <w:rPr>
                <w:rFonts w:cs="Times New Roman"/>
                <w:sz w:val="21"/>
              </w:rPr>
            </w:pPr>
            <w:r>
              <w:rPr>
                <w:rFonts w:cs="Times New Roman"/>
                <w:sz w:val="21"/>
              </w:rPr>
              <w:t>2519.6</w:t>
            </w:r>
          </w:p>
        </w:tc>
      </w:tr>
      <w:tr w14:paraId="4021F2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1341" w:type="pct"/>
            <w:vMerge w:val="continue"/>
            <w:vAlign w:val="center"/>
          </w:tcPr>
          <w:p w14:paraId="778B9BFC">
            <w:pPr>
              <w:spacing w:line="240" w:lineRule="auto"/>
              <w:ind w:firstLine="0" w:firstLineChars="0"/>
              <w:jc w:val="center"/>
              <w:rPr>
                <w:rFonts w:cs="Times New Roman"/>
                <w:sz w:val="21"/>
              </w:rPr>
            </w:pPr>
          </w:p>
        </w:tc>
        <w:tc>
          <w:tcPr>
            <w:tcW w:w="1005" w:type="pct"/>
            <w:vAlign w:val="center"/>
          </w:tcPr>
          <w:p w14:paraId="41EC1AC4">
            <w:pPr>
              <w:spacing w:line="240" w:lineRule="auto"/>
              <w:ind w:firstLine="0" w:firstLineChars="0"/>
              <w:jc w:val="center"/>
              <w:rPr>
                <w:rFonts w:cs="Times New Roman"/>
                <w:sz w:val="21"/>
              </w:rPr>
            </w:pPr>
            <w:r>
              <w:rPr>
                <w:rFonts w:cs="Times New Roman"/>
                <w:sz w:val="21"/>
              </w:rPr>
              <w:t>保全土壤</w:t>
            </w:r>
          </w:p>
        </w:tc>
        <w:tc>
          <w:tcPr>
            <w:tcW w:w="1264" w:type="pct"/>
            <w:vAlign w:val="center"/>
          </w:tcPr>
          <w:p w14:paraId="19CBB3BD">
            <w:pPr>
              <w:spacing w:line="240" w:lineRule="auto"/>
              <w:ind w:firstLine="0" w:firstLineChars="0"/>
              <w:jc w:val="center"/>
              <w:rPr>
                <w:rFonts w:cs="Times New Roman"/>
                <w:sz w:val="21"/>
                <w:lang w:eastAsia="zh-CN"/>
              </w:rPr>
            </w:pPr>
            <w:r>
              <w:rPr>
                <w:rFonts w:hint="eastAsia" w:cs="Times New Roman"/>
                <w:sz w:val="21"/>
                <w:lang w:eastAsia="zh-CN"/>
              </w:rPr>
              <w:t>11037.01</w:t>
            </w:r>
          </w:p>
        </w:tc>
        <w:tc>
          <w:tcPr>
            <w:tcW w:w="1390" w:type="pct"/>
            <w:vAlign w:val="center"/>
          </w:tcPr>
          <w:p w14:paraId="36BB07AB">
            <w:pPr>
              <w:spacing w:line="240" w:lineRule="auto"/>
              <w:ind w:firstLine="0" w:firstLineChars="0"/>
              <w:jc w:val="center"/>
              <w:rPr>
                <w:rFonts w:cs="Times New Roman"/>
                <w:sz w:val="21"/>
              </w:rPr>
            </w:pPr>
            <w:r>
              <w:rPr>
                <w:rFonts w:cs="Times New Roman"/>
                <w:sz w:val="21"/>
              </w:rPr>
              <w:t>811270.9</w:t>
            </w:r>
          </w:p>
        </w:tc>
      </w:tr>
      <w:tr w14:paraId="0B4E5F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341" w:type="pct"/>
            <w:vMerge w:val="continue"/>
            <w:vAlign w:val="center"/>
          </w:tcPr>
          <w:p w14:paraId="716D8255">
            <w:pPr>
              <w:spacing w:line="240" w:lineRule="auto"/>
              <w:ind w:firstLine="0" w:firstLineChars="0"/>
              <w:jc w:val="center"/>
              <w:rPr>
                <w:rFonts w:cs="Times New Roman"/>
                <w:sz w:val="21"/>
              </w:rPr>
            </w:pPr>
          </w:p>
        </w:tc>
        <w:tc>
          <w:tcPr>
            <w:tcW w:w="1005" w:type="pct"/>
            <w:vAlign w:val="center"/>
          </w:tcPr>
          <w:p w14:paraId="112DF67C">
            <w:pPr>
              <w:spacing w:line="240" w:lineRule="auto"/>
              <w:ind w:firstLine="0" w:firstLineChars="0"/>
              <w:jc w:val="center"/>
              <w:rPr>
                <w:rFonts w:cs="Times New Roman"/>
                <w:sz w:val="21"/>
              </w:rPr>
            </w:pPr>
            <w:r>
              <w:rPr>
                <w:rFonts w:cs="Times New Roman"/>
                <w:sz w:val="21"/>
              </w:rPr>
              <w:t>保全氮</w:t>
            </w:r>
          </w:p>
        </w:tc>
        <w:tc>
          <w:tcPr>
            <w:tcW w:w="1264" w:type="pct"/>
            <w:vAlign w:val="center"/>
          </w:tcPr>
          <w:p w14:paraId="2B55B369">
            <w:pPr>
              <w:spacing w:line="240" w:lineRule="auto"/>
              <w:ind w:firstLine="0" w:firstLineChars="0"/>
              <w:jc w:val="center"/>
              <w:rPr>
                <w:rFonts w:cs="Times New Roman"/>
                <w:sz w:val="21"/>
                <w:lang w:eastAsia="zh-CN"/>
              </w:rPr>
            </w:pPr>
            <w:r>
              <w:rPr>
                <w:rFonts w:hint="eastAsia" w:cs="Times New Roman"/>
                <w:sz w:val="21"/>
                <w:lang w:eastAsia="zh-CN"/>
              </w:rPr>
              <w:t>11037.01</w:t>
            </w:r>
          </w:p>
        </w:tc>
        <w:tc>
          <w:tcPr>
            <w:tcW w:w="1390" w:type="pct"/>
            <w:vAlign w:val="center"/>
          </w:tcPr>
          <w:p w14:paraId="11D09E1C">
            <w:pPr>
              <w:spacing w:line="240" w:lineRule="auto"/>
              <w:ind w:firstLine="0" w:firstLineChars="0"/>
              <w:jc w:val="center"/>
              <w:rPr>
                <w:rFonts w:cs="Times New Roman"/>
                <w:sz w:val="21"/>
              </w:rPr>
            </w:pPr>
            <w:r>
              <w:rPr>
                <w:rFonts w:cs="Times New Roman"/>
                <w:sz w:val="21"/>
              </w:rPr>
              <w:t>2252.3</w:t>
            </w:r>
          </w:p>
        </w:tc>
      </w:tr>
      <w:tr w14:paraId="7DE25F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341" w:type="pct"/>
            <w:vMerge w:val="continue"/>
            <w:vAlign w:val="center"/>
          </w:tcPr>
          <w:p w14:paraId="58AA0F18">
            <w:pPr>
              <w:spacing w:line="240" w:lineRule="auto"/>
              <w:ind w:firstLine="0" w:firstLineChars="0"/>
              <w:jc w:val="center"/>
              <w:rPr>
                <w:rFonts w:cs="Times New Roman"/>
                <w:sz w:val="21"/>
              </w:rPr>
            </w:pPr>
          </w:p>
        </w:tc>
        <w:tc>
          <w:tcPr>
            <w:tcW w:w="1005" w:type="pct"/>
            <w:vAlign w:val="center"/>
          </w:tcPr>
          <w:p w14:paraId="0F11DF91">
            <w:pPr>
              <w:spacing w:line="240" w:lineRule="auto"/>
              <w:ind w:firstLine="0" w:firstLineChars="0"/>
              <w:jc w:val="center"/>
              <w:rPr>
                <w:rFonts w:cs="Times New Roman"/>
                <w:sz w:val="21"/>
              </w:rPr>
            </w:pPr>
            <w:r>
              <w:rPr>
                <w:rFonts w:cs="Times New Roman"/>
                <w:sz w:val="21"/>
              </w:rPr>
              <w:t>保全磷</w:t>
            </w:r>
          </w:p>
        </w:tc>
        <w:tc>
          <w:tcPr>
            <w:tcW w:w="1264" w:type="pct"/>
            <w:vAlign w:val="center"/>
          </w:tcPr>
          <w:p w14:paraId="3BBA7AF8">
            <w:pPr>
              <w:spacing w:line="240" w:lineRule="auto"/>
              <w:ind w:firstLine="0" w:firstLineChars="0"/>
              <w:jc w:val="center"/>
              <w:rPr>
                <w:rFonts w:cs="Times New Roman"/>
                <w:sz w:val="21"/>
                <w:lang w:eastAsia="zh-CN"/>
              </w:rPr>
            </w:pPr>
            <w:r>
              <w:rPr>
                <w:rFonts w:hint="eastAsia" w:cs="Times New Roman"/>
                <w:sz w:val="21"/>
                <w:lang w:eastAsia="zh-CN"/>
              </w:rPr>
              <w:t>11037.01</w:t>
            </w:r>
          </w:p>
        </w:tc>
        <w:tc>
          <w:tcPr>
            <w:tcW w:w="1390" w:type="pct"/>
            <w:vAlign w:val="center"/>
          </w:tcPr>
          <w:p w14:paraId="7C0C45E5">
            <w:pPr>
              <w:spacing w:line="240" w:lineRule="auto"/>
              <w:ind w:firstLine="0" w:firstLineChars="0"/>
              <w:jc w:val="center"/>
              <w:rPr>
                <w:rFonts w:cs="Times New Roman"/>
                <w:sz w:val="21"/>
                <w:lang w:eastAsia="zh-CN"/>
              </w:rPr>
            </w:pPr>
            <w:r>
              <w:rPr>
                <w:rFonts w:cs="Times New Roman"/>
                <w:sz w:val="21"/>
              </w:rPr>
              <w:t>6</w:t>
            </w:r>
            <w:r>
              <w:rPr>
                <w:rFonts w:cs="Times New Roman"/>
                <w:sz w:val="21"/>
                <w:lang w:eastAsia="zh-CN"/>
              </w:rPr>
              <w:t>66.58</w:t>
            </w:r>
          </w:p>
        </w:tc>
      </w:tr>
      <w:tr w14:paraId="763EB5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341" w:type="pct"/>
            <w:vMerge w:val="continue"/>
            <w:vAlign w:val="center"/>
          </w:tcPr>
          <w:p w14:paraId="7069F3EC">
            <w:pPr>
              <w:spacing w:line="240" w:lineRule="auto"/>
              <w:ind w:firstLine="0" w:firstLineChars="0"/>
              <w:jc w:val="center"/>
              <w:rPr>
                <w:rFonts w:cs="Times New Roman"/>
                <w:sz w:val="21"/>
              </w:rPr>
            </w:pPr>
          </w:p>
        </w:tc>
        <w:tc>
          <w:tcPr>
            <w:tcW w:w="1005" w:type="pct"/>
            <w:vAlign w:val="center"/>
          </w:tcPr>
          <w:p w14:paraId="2BBF95F4">
            <w:pPr>
              <w:spacing w:line="240" w:lineRule="auto"/>
              <w:ind w:firstLine="0" w:firstLineChars="0"/>
              <w:jc w:val="center"/>
              <w:rPr>
                <w:rFonts w:cs="Times New Roman"/>
                <w:sz w:val="21"/>
              </w:rPr>
            </w:pPr>
            <w:r>
              <w:rPr>
                <w:rFonts w:cs="Times New Roman"/>
                <w:sz w:val="21"/>
              </w:rPr>
              <w:t>保全钾</w:t>
            </w:r>
          </w:p>
        </w:tc>
        <w:tc>
          <w:tcPr>
            <w:tcW w:w="1264" w:type="pct"/>
            <w:vAlign w:val="center"/>
          </w:tcPr>
          <w:p w14:paraId="6FE876CC">
            <w:pPr>
              <w:spacing w:line="240" w:lineRule="auto"/>
              <w:ind w:firstLine="0" w:firstLineChars="0"/>
              <w:jc w:val="center"/>
              <w:rPr>
                <w:rFonts w:cs="Times New Roman"/>
                <w:sz w:val="21"/>
                <w:lang w:eastAsia="zh-CN"/>
              </w:rPr>
            </w:pPr>
            <w:r>
              <w:rPr>
                <w:rFonts w:hint="eastAsia" w:cs="Times New Roman"/>
                <w:sz w:val="21"/>
                <w:lang w:eastAsia="zh-CN"/>
              </w:rPr>
              <w:t>11037.01</w:t>
            </w:r>
          </w:p>
        </w:tc>
        <w:tc>
          <w:tcPr>
            <w:tcW w:w="1390" w:type="pct"/>
            <w:vAlign w:val="center"/>
          </w:tcPr>
          <w:p w14:paraId="4422630D">
            <w:pPr>
              <w:spacing w:line="240" w:lineRule="auto"/>
              <w:ind w:firstLine="0" w:firstLineChars="0"/>
              <w:jc w:val="center"/>
              <w:rPr>
                <w:rFonts w:cs="Times New Roman"/>
                <w:sz w:val="21"/>
              </w:rPr>
            </w:pPr>
            <w:r>
              <w:rPr>
                <w:rFonts w:cs="Times New Roman"/>
                <w:sz w:val="21"/>
              </w:rPr>
              <w:t>13788.9</w:t>
            </w:r>
          </w:p>
        </w:tc>
      </w:tr>
      <w:tr w14:paraId="66130A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341" w:type="pct"/>
            <w:vMerge w:val="restart"/>
            <w:tcBorders>
              <w:bottom w:val="nil"/>
            </w:tcBorders>
            <w:vAlign w:val="center"/>
          </w:tcPr>
          <w:p w14:paraId="5ED054C7">
            <w:pPr>
              <w:spacing w:line="240" w:lineRule="auto"/>
              <w:ind w:firstLine="0" w:firstLineChars="0"/>
              <w:jc w:val="center"/>
              <w:rPr>
                <w:rFonts w:cs="Times New Roman"/>
                <w:sz w:val="21"/>
                <w:lang w:eastAsia="zh-CN"/>
              </w:rPr>
            </w:pPr>
            <w:r>
              <w:rPr>
                <w:rFonts w:cs="Times New Roman"/>
                <w:sz w:val="21"/>
                <w:lang w:eastAsia="zh-CN"/>
              </w:rPr>
              <w:t>社会服务产品生产能力</w:t>
            </w:r>
          </w:p>
        </w:tc>
        <w:tc>
          <w:tcPr>
            <w:tcW w:w="1005" w:type="pct"/>
            <w:vAlign w:val="center"/>
          </w:tcPr>
          <w:p w14:paraId="79514D33">
            <w:pPr>
              <w:spacing w:line="240" w:lineRule="auto"/>
              <w:ind w:firstLine="0" w:firstLineChars="0"/>
              <w:jc w:val="center"/>
              <w:rPr>
                <w:rFonts w:cs="Times New Roman"/>
                <w:sz w:val="21"/>
              </w:rPr>
            </w:pPr>
            <w:r>
              <w:rPr>
                <w:rFonts w:cs="Times New Roman"/>
                <w:sz w:val="21"/>
              </w:rPr>
              <w:t>森林游憩</w:t>
            </w:r>
          </w:p>
        </w:tc>
        <w:tc>
          <w:tcPr>
            <w:tcW w:w="1264" w:type="pct"/>
            <w:vAlign w:val="center"/>
          </w:tcPr>
          <w:p w14:paraId="3F0BA7D8">
            <w:pPr>
              <w:spacing w:line="240" w:lineRule="auto"/>
              <w:ind w:firstLine="0" w:firstLineChars="0"/>
              <w:jc w:val="center"/>
              <w:rPr>
                <w:rFonts w:cs="Times New Roman"/>
                <w:sz w:val="21"/>
                <w:lang w:eastAsia="zh-CN"/>
              </w:rPr>
            </w:pPr>
            <w:r>
              <w:rPr>
                <w:rFonts w:hint="eastAsia" w:cs="Times New Roman"/>
                <w:sz w:val="21"/>
                <w:lang w:eastAsia="zh-CN"/>
              </w:rPr>
              <w:t>11037.01</w:t>
            </w:r>
          </w:p>
        </w:tc>
        <w:tc>
          <w:tcPr>
            <w:tcW w:w="1390" w:type="pct"/>
            <w:vAlign w:val="center"/>
          </w:tcPr>
          <w:p w14:paraId="3D32EF4C">
            <w:pPr>
              <w:spacing w:line="240" w:lineRule="auto"/>
              <w:ind w:firstLine="0" w:firstLineChars="0"/>
              <w:jc w:val="center"/>
              <w:rPr>
                <w:rFonts w:cs="Times New Roman"/>
                <w:sz w:val="21"/>
              </w:rPr>
            </w:pPr>
            <w:r>
              <w:rPr>
                <w:rFonts w:cs="Times New Roman"/>
                <w:sz w:val="21"/>
              </w:rPr>
              <w:t>9000</w:t>
            </w:r>
          </w:p>
        </w:tc>
      </w:tr>
      <w:tr w14:paraId="777E83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1341" w:type="pct"/>
            <w:vMerge w:val="continue"/>
            <w:tcBorders>
              <w:top w:val="nil"/>
            </w:tcBorders>
            <w:vAlign w:val="center"/>
          </w:tcPr>
          <w:p w14:paraId="038D8769">
            <w:pPr>
              <w:spacing w:line="240" w:lineRule="auto"/>
              <w:ind w:firstLine="0" w:firstLineChars="0"/>
              <w:jc w:val="center"/>
              <w:rPr>
                <w:rFonts w:cs="Times New Roman"/>
                <w:sz w:val="21"/>
              </w:rPr>
            </w:pPr>
          </w:p>
        </w:tc>
        <w:tc>
          <w:tcPr>
            <w:tcW w:w="1005" w:type="pct"/>
            <w:vAlign w:val="center"/>
          </w:tcPr>
          <w:p w14:paraId="67908495">
            <w:pPr>
              <w:spacing w:line="240" w:lineRule="auto"/>
              <w:ind w:firstLine="0" w:firstLineChars="0"/>
              <w:jc w:val="center"/>
              <w:rPr>
                <w:rFonts w:cs="Times New Roman"/>
                <w:sz w:val="21"/>
              </w:rPr>
            </w:pPr>
            <w:r>
              <w:rPr>
                <w:rFonts w:cs="Times New Roman"/>
                <w:sz w:val="21"/>
              </w:rPr>
              <w:t>森林康养</w:t>
            </w:r>
          </w:p>
        </w:tc>
        <w:tc>
          <w:tcPr>
            <w:tcW w:w="1264" w:type="pct"/>
            <w:vAlign w:val="center"/>
          </w:tcPr>
          <w:p w14:paraId="2E3B463C">
            <w:pPr>
              <w:spacing w:line="240" w:lineRule="auto"/>
              <w:ind w:firstLine="0" w:firstLineChars="0"/>
              <w:jc w:val="center"/>
              <w:rPr>
                <w:rFonts w:cs="Times New Roman"/>
                <w:sz w:val="21"/>
                <w:lang w:eastAsia="zh-CN"/>
              </w:rPr>
            </w:pPr>
            <w:r>
              <w:rPr>
                <w:rFonts w:hint="eastAsia" w:cs="Times New Roman"/>
                <w:sz w:val="21"/>
                <w:lang w:eastAsia="zh-CN"/>
              </w:rPr>
              <w:t>11037.01</w:t>
            </w:r>
          </w:p>
        </w:tc>
        <w:tc>
          <w:tcPr>
            <w:tcW w:w="1390" w:type="pct"/>
            <w:vAlign w:val="center"/>
          </w:tcPr>
          <w:p w14:paraId="33023A2C">
            <w:pPr>
              <w:spacing w:line="240" w:lineRule="auto"/>
              <w:ind w:firstLine="0" w:firstLineChars="0"/>
              <w:jc w:val="center"/>
              <w:rPr>
                <w:rFonts w:cs="Times New Roman"/>
                <w:sz w:val="21"/>
              </w:rPr>
            </w:pPr>
            <w:r>
              <w:rPr>
                <w:rFonts w:cs="Times New Roman"/>
                <w:sz w:val="21"/>
              </w:rPr>
              <w:t>9000</w:t>
            </w:r>
          </w:p>
        </w:tc>
      </w:tr>
    </w:tbl>
    <w:p w14:paraId="4B8E4795">
      <w:pPr>
        <w:pStyle w:val="3"/>
      </w:pPr>
      <w:bookmarkStart w:id="30" w:name="bookmark18"/>
      <w:bookmarkEnd w:id="30"/>
      <w:bookmarkStart w:id="31" w:name="_Toc15965"/>
      <w:r>
        <w:t>2.</w:t>
      </w:r>
      <w:r>
        <w:rPr>
          <w:lang w:eastAsia="zh-CN"/>
        </w:rPr>
        <w:t>3</w:t>
      </w:r>
      <w:r>
        <w:t>林场森林经营环境分析</w:t>
      </w:r>
      <w:bookmarkEnd w:id="31"/>
    </w:p>
    <w:p w14:paraId="2C5D00C3">
      <w:pPr>
        <w:pStyle w:val="4"/>
      </w:pPr>
      <w:bookmarkStart w:id="32" w:name="bookmark29"/>
      <w:bookmarkEnd w:id="32"/>
      <w:bookmarkStart w:id="33" w:name="bookmark27"/>
      <w:bookmarkEnd w:id="33"/>
      <w:bookmarkStart w:id="34" w:name="_Toc29750"/>
      <w:r>
        <w:t>2.3.1有利因素</w:t>
      </w:r>
      <w:bookmarkEnd w:id="34"/>
    </w:p>
    <w:p w14:paraId="06F30652">
      <w:pPr>
        <w:ind w:firstLine="480"/>
        <w:rPr>
          <w:lang w:eastAsia="zh-CN"/>
        </w:rPr>
      </w:pPr>
      <w:r>
        <w:rPr>
          <w:rFonts w:hint="eastAsia"/>
          <w:lang w:eastAsia="zh-CN"/>
        </w:rPr>
        <w:t>(</w:t>
      </w:r>
      <w:r>
        <w:rPr>
          <w:lang w:eastAsia="zh-CN"/>
        </w:rPr>
        <w:t>1</w:t>
      </w:r>
      <w:r>
        <w:rPr>
          <w:rFonts w:hint="eastAsia"/>
          <w:lang w:eastAsia="zh-CN"/>
        </w:rPr>
        <w:t>)</w:t>
      </w:r>
      <w:r>
        <w:rPr>
          <w:lang w:eastAsia="zh-CN"/>
        </w:rPr>
        <w:t>政府对林业发展高度重视</w:t>
      </w:r>
    </w:p>
    <w:p w14:paraId="34462439">
      <w:pPr>
        <w:ind w:firstLine="480"/>
        <w:rPr>
          <w:lang w:eastAsia="zh-CN"/>
        </w:rPr>
      </w:pPr>
      <w:r>
        <w:rPr>
          <w:lang w:eastAsia="zh-CN"/>
        </w:rPr>
        <w:t>党的十九大进一步明确，建设生态文明成为中华民族永续发展的千年大计，坚持人与自然和谐共生成为中国特色社会主义的基本方略，建设美丽中国成为建设社会主义现代化强国的奋斗目标，提供更多优质生态产品成为现代化建设的重要任务，绿水青山就是金山银山成为生态文明建设的核心理念。这些重大理论创新和战略部署，将对林业产生深层次、全方位的影响，为林业现代化建设提供前所未有的发展机遇。</w:t>
      </w:r>
    </w:p>
    <w:p w14:paraId="01E86D89">
      <w:pPr>
        <w:ind w:firstLine="480"/>
        <w:rPr>
          <w:lang w:eastAsia="zh-CN"/>
        </w:rPr>
      </w:pPr>
      <w:r>
        <w:rPr>
          <w:rFonts w:hint="eastAsia"/>
          <w:lang w:eastAsia="zh-CN"/>
        </w:rPr>
        <w:t>(</w:t>
      </w:r>
      <w:r>
        <w:rPr>
          <w:lang w:eastAsia="zh-CN"/>
        </w:rPr>
        <w:t>2</w:t>
      </w:r>
      <w:r>
        <w:rPr>
          <w:rFonts w:hint="eastAsia"/>
          <w:lang w:eastAsia="zh-CN"/>
        </w:rPr>
        <w:t>)</w:t>
      </w:r>
      <w:r>
        <w:rPr>
          <w:lang w:eastAsia="zh-CN"/>
        </w:rPr>
        <w:t>生态环境优势</w:t>
      </w:r>
    </w:p>
    <w:p w14:paraId="4CBED78B">
      <w:pPr>
        <w:ind w:firstLine="480"/>
        <w:rPr>
          <w:lang w:eastAsia="zh-CN"/>
        </w:rPr>
      </w:pPr>
      <w:r>
        <w:rPr>
          <w:lang w:eastAsia="zh-CN"/>
        </w:rPr>
        <w:t>阳明山国有林场所在区属中亚热带湿润季风气候区。全年气候具有温暖湿润、四季分明、光照充足、热量丰富、雨量充沛、雨日偏多、冬暖夏凉、无霜期长等特点。林场所在地区年平均气温17.5℃，年平均降雨量1600</w:t>
      </w:r>
      <w:r>
        <w:rPr>
          <w:rFonts w:hint="eastAsia"/>
          <w:lang w:eastAsia="zh-CN"/>
        </w:rPr>
        <w:t>—</w:t>
      </w:r>
      <w:r>
        <w:rPr>
          <w:lang w:eastAsia="zh-CN"/>
        </w:rPr>
        <w:t>1800mm，具有冬暖夏凉、无霜期长，气候宜人湿润的特点，造就了温暖舒适的恒温森林公园。阳明山森林公园的夏季是难得的避暑疗养胜地，冬季则常现云山雾海的奇幻景观，因此可以利用四季不同的气候特点，开发不同季节的特色产品。</w:t>
      </w:r>
    </w:p>
    <w:p w14:paraId="505FC0DF">
      <w:pPr>
        <w:ind w:firstLine="480"/>
        <w:rPr>
          <w:lang w:eastAsia="zh-CN"/>
        </w:rPr>
      </w:pPr>
      <w:r>
        <w:rPr>
          <w:lang w:eastAsia="zh-CN"/>
        </w:rPr>
        <w:t>林场内生态环境优美，冬暖夏凉，气候舒适宜人。阳明山境内长年云雾缭绕，景象万千。云雾起处，群峰在无边无际的云海中若隐若现，瞬息万变，刚刚还是晴空白云，转眼就</w:t>
      </w:r>
      <w:r>
        <w:rPr>
          <w:rFonts w:hint="eastAsia"/>
          <w:lang w:eastAsia="zh-CN"/>
        </w:rPr>
        <w:t>像</w:t>
      </w:r>
      <w:r>
        <w:rPr>
          <w:lang w:eastAsia="zh-CN"/>
        </w:rPr>
        <w:t>舞台上大帷幕直落，遮住了整个山坡；云腾烟涌，如万马奔驰，数步之遥，人形难辨，刹那间却又日光如剑，划破厚厚的云层，顿时五彩缤纷，远处的云雾全都披上了灿烂的金光，层林尽染，景象奇特动人，将巍巍阳明山衬托得如蓬莱仙境。因此，阳明山有“北有庐山、南有阳明”之美誉。境内70%的山地海拔在1000m以上，四条狭长盆地冷空气难进难出加之竹木生荫，境内平均气温14℃，最高不超过28℃，被游客誉为“不安空调不摇扇，三伏时节和被眠”的避暑疗养胜地，阳明山独特的气候与良好的生态环境，造就这里极佳的空气环境，阳明山所有景点空气负氧离子高达68000个/㎡，是都市闹区的百倍以上，非常适宜开展森林旅游、游憩观光、避暑康养、休闲度假。</w:t>
      </w:r>
    </w:p>
    <w:p w14:paraId="0476FF89">
      <w:pPr>
        <w:ind w:firstLine="480"/>
        <w:rPr>
          <w:lang w:eastAsia="zh-CN"/>
        </w:rPr>
      </w:pPr>
      <w:r>
        <w:rPr>
          <w:rFonts w:hint="eastAsia"/>
          <w:lang w:eastAsia="zh-CN"/>
        </w:rPr>
        <w:t>(</w:t>
      </w:r>
      <w:r>
        <w:rPr>
          <w:lang w:eastAsia="zh-CN"/>
        </w:rPr>
        <w:t>3</w:t>
      </w:r>
      <w:r>
        <w:rPr>
          <w:rFonts w:hint="eastAsia"/>
          <w:lang w:eastAsia="zh-CN"/>
        </w:rPr>
        <w:t>)</w:t>
      </w:r>
      <w:r>
        <w:rPr>
          <w:lang w:eastAsia="zh-CN"/>
        </w:rPr>
        <w:t>林场旅游资源丰富</w:t>
      </w:r>
    </w:p>
    <w:p w14:paraId="6435DA0C">
      <w:pPr>
        <w:ind w:firstLine="480"/>
        <w:rPr>
          <w:lang w:eastAsia="zh-CN"/>
        </w:rPr>
      </w:pPr>
      <w:r>
        <w:rPr>
          <w:lang w:eastAsia="zh-CN"/>
        </w:rPr>
        <w:t>随着国民经济的持续发展，人民日益增长的美好生活需要正推动着旅游业蓬勃发展，旅游产业正在快速发展为双牌县的国民经济新的增长点和支柱产业之一。双牌县阳明山国有林场融自然景观和人文景观于一体，旅游资源非常丰富，既有得天独厚的旅游资源和交通便利的地缘优势，又有旅游大发展的大环境。</w:t>
      </w:r>
    </w:p>
    <w:p w14:paraId="00FAEFCE">
      <w:pPr>
        <w:pStyle w:val="4"/>
      </w:pPr>
      <w:bookmarkStart w:id="35" w:name="_Toc32615"/>
      <w:r>
        <w:t>2.3.2不利因素</w:t>
      </w:r>
      <w:bookmarkEnd w:id="35"/>
    </w:p>
    <w:p w14:paraId="35CE6576">
      <w:pPr>
        <w:ind w:firstLine="480"/>
        <w:rPr>
          <w:lang w:eastAsia="zh-CN"/>
        </w:rPr>
      </w:pPr>
      <w:r>
        <w:rPr>
          <w:rFonts w:hint="eastAsia"/>
          <w:lang w:eastAsia="zh-CN"/>
        </w:rPr>
        <w:t>(</w:t>
      </w:r>
      <w:r>
        <w:rPr>
          <w:rFonts w:eastAsia="Arial"/>
          <w:lang w:eastAsia="zh-CN"/>
        </w:rPr>
        <w:t>1</w:t>
      </w:r>
      <w:r>
        <w:rPr>
          <w:rFonts w:hint="eastAsia"/>
          <w:lang w:eastAsia="zh-CN"/>
        </w:rPr>
        <w:t>)</w:t>
      </w:r>
      <w:r>
        <w:rPr>
          <w:lang w:eastAsia="zh-CN"/>
        </w:rPr>
        <w:t>资金缺乏，制约林场长远规划的实施。</w:t>
      </w:r>
    </w:p>
    <w:p w14:paraId="4A173F7A">
      <w:pPr>
        <w:ind w:firstLine="480"/>
        <w:rPr>
          <w:szCs w:val="24"/>
          <w:lang w:eastAsia="zh-CN"/>
        </w:rPr>
      </w:pPr>
      <w:r>
        <w:rPr>
          <w:szCs w:val="24"/>
          <w:lang w:eastAsia="zh-CN"/>
        </w:rPr>
        <w:t>林场现在虽然是公益一类事业单位，但95个编制中财政仅拨款43个编制的经费，林场从2001年来国家生态公益林保护工程正式启动和2009年国家级自然保护区的成立，林场进入了以生态保护为主的林业建设转变时期，没有木材采伐，经济收入大幅度减少，而扶持林业发展政策落实也不够到位，争取到一些项目，配套资金也难以到位；开发森林旅游、多种经营项目投入不足，生态优势转化为商品优势和经济效益难度大；金融部门对林场的政策性投入规模不大，林场长远规划的实施与资金投入矛盾仍比较突出。因此，如何</w:t>
      </w:r>
      <w:r>
        <w:rPr>
          <w:rFonts w:hint="eastAsia"/>
          <w:szCs w:val="24"/>
          <w:lang w:eastAsia="zh-CN"/>
        </w:rPr>
        <w:t>增加</w:t>
      </w:r>
      <w:r>
        <w:rPr>
          <w:szCs w:val="24"/>
          <w:lang w:eastAsia="zh-CN"/>
        </w:rPr>
        <w:t>资金投入成为林场林业发展的首要课题。</w:t>
      </w:r>
    </w:p>
    <w:p w14:paraId="78EB07EE">
      <w:pPr>
        <w:ind w:firstLine="480"/>
        <w:rPr>
          <w:lang w:eastAsia="zh-CN"/>
        </w:rPr>
      </w:pPr>
      <w:r>
        <w:rPr>
          <w:rFonts w:hint="eastAsia"/>
          <w:lang w:eastAsia="zh-CN"/>
        </w:rPr>
        <w:t>(</w:t>
      </w:r>
      <w:r>
        <w:rPr>
          <w:rFonts w:eastAsia="Arial"/>
          <w:lang w:eastAsia="zh-CN"/>
        </w:rPr>
        <w:t>2</w:t>
      </w:r>
      <w:r>
        <w:rPr>
          <w:rFonts w:hint="eastAsia"/>
          <w:lang w:eastAsia="zh-CN"/>
        </w:rPr>
        <w:t>)</w:t>
      </w:r>
      <w:r>
        <w:rPr>
          <w:lang w:eastAsia="zh-CN"/>
        </w:rPr>
        <w:t>森林保护与开发利用的矛盾较大。</w:t>
      </w:r>
    </w:p>
    <w:p w14:paraId="6B9C22C7">
      <w:pPr>
        <w:ind w:firstLine="480"/>
        <w:rPr>
          <w:szCs w:val="24"/>
          <w:lang w:eastAsia="zh-CN"/>
        </w:rPr>
      </w:pPr>
      <w:r>
        <w:rPr>
          <w:szCs w:val="24"/>
          <w:lang w:eastAsia="zh-CN"/>
        </w:rPr>
        <w:t>林场一方面要严格保护好森林生态系统和自然生态景观，维护生物多样性；另一方面林场要收入，职工要生活，森林旅游资源要开发，如何确定合适的规模，既有利于保护管理，又合理开发利用，促进林场的长远发展，已成为林场首要解决的问题。</w:t>
      </w:r>
    </w:p>
    <w:p w14:paraId="5FEF2D18">
      <w:pPr>
        <w:ind w:firstLine="480"/>
        <w:rPr>
          <w:lang w:eastAsia="zh-CN"/>
        </w:rPr>
      </w:pPr>
      <w:r>
        <w:rPr>
          <w:rFonts w:hint="eastAsia"/>
          <w:lang w:eastAsia="zh-CN"/>
        </w:rPr>
        <w:t>(</w:t>
      </w:r>
      <w:r>
        <w:rPr>
          <w:rFonts w:eastAsia="Arial"/>
          <w:lang w:eastAsia="zh-CN"/>
        </w:rPr>
        <w:t>3</w:t>
      </w:r>
      <w:r>
        <w:rPr>
          <w:rFonts w:hint="eastAsia"/>
          <w:lang w:eastAsia="zh-CN"/>
        </w:rPr>
        <w:t>)</w:t>
      </w:r>
      <w:r>
        <w:rPr>
          <w:lang w:eastAsia="zh-CN"/>
        </w:rPr>
        <w:t>专业人才缺乏，职工文化水平较低。</w:t>
      </w:r>
    </w:p>
    <w:p w14:paraId="75A1D4D9">
      <w:pPr>
        <w:ind w:firstLine="480"/>
        <w:rPr>
          <w:szCs w:val="24"/>
          <w:lang w:eastAsia="zh-CN"/>
        </w:rPr>
      </w:pPr>
      <w:r>
        <w:rPr>
          <w:szCs w:val="24"/>
          <w:lang w:eastAsia="zh-CN"/>
        </w:rPr>
        <w:t>在该场干部职工中，大专以上学历的22人，占23.1%，林业方面的5人，占5.3%。林场更缺乏野生动植物保护等相关专业的人才。现有职工也缺乏的岗位培训和技术培训，由于经费缺乏、待遇低，工作及生活条件艰苦，难以引进高水平的技术人员。</w:t>
      </w:r>
    </w:p>
    <w:p w14:paraId="5C6F6E95">
      <w:pPr>
        <w:ind w:firstLine="480"/>
        <w:rPr>
          <w:lang w:eastAsia="zh-CN"/>
        </w:rPr>
      </w:pPr>
      <w:r>
        <w:rPr>
          <w:lang w:eastAsia="zh-CN"/>
        </w:rPr>
        <w:t>可开发利用的自然资源没有合理的开发与利用。</w:t>
      </w:r>
    </w:p>
    <w:p w14:paraId="39F23DBE">
      <w:pPr>
        <w:ind w:firstLine="480"/>
        <w:rPr>
          <w:szCs w:val="24"/>
          <w:lang w:eastAsia="zh-CN"/>
        </w:rPr>
      </w:pPr>
      <w:r>
        <w:rPr>
          <w:szCs w:val="24"/>
          <w:lang w:eastAsia="zh-CN"/>
        </w:rPr>
        <w:t>林场经济动植物种类多，资源丰富。林场有药用植物700余种，素有“天然中草药宝库”的美誉；有许多极具开发利用价值的观赏植物，如伯乐树、杜鹃花等是本场的一大资源优势；林场有丰富的森林蔬菜资源，如竹笋、蕨菜、苦菜、野芹菜等，可供开发无公害绿色食品；同时生态旅憩资源十分丰富。然而，目前均未将这些自然资源优势转化为经济优势。因此，今后林场的建设要加大自然资源开发利用的力度，使其成为新的经济增长点，以增强林场的经济实力，促进林场的健康发展。</w:t>
      </w:r>
    </w:p>
    <w:p w14:paraId="1D378648">
      <w:pPr>
        <w:pStyle w:val="3"/>
        <w:rPr>
          <w:lang w:eastAsia="zh-CN"/>
        </w:rPr>
      </w:pPr>
      <w:bookmarkStart w:id="36" w:name="bookmark31"/>
      <w:bookmarkEnd w:id="36"/>
      <w:bookmarkStart w:id="37" w:name="bookmark20"/>
      <w:bookmarkEnd w:id="37"/>
      <w:bookmarkStart w:id="38" w:name="_Toc11291"/>
      <w:r>
        <w:rPr>
          <w:lang w:eastAsia="zh-CN"/>
        </w:rPr>
        <w:t>2.4林场经营需求与对策分析</w:t>
      </w:r>
      <w:bookmarkEnd w:id="38"/>
    </w:p>
    <w:p w14:paraId="76272CFA">
      <w:pPr>
        <w:pStyle w:val="4"/>
      </w:pPr>
      <w:bookmarkStart w:id="39" w:name="_Toc16810"/>
      <w:r>
        <w:t>2.4.1物质产品需求与生产能力关系及对策分析</w:t>
      </w:r>
      <w:bookmarkEnd w:id="39"/>
    </w:p>
    <w:p w14:paraId="57F57532">
      <w:pPr>
        <w:ind w:firstLine="480"/>
        <w:rPr>
          <w:lang w:eastAsia="zh-CN"/>
        </w:rPr>
      </w:pPr>
      <w:r>
        <w:rPr>
          <w:lang w:eastAsia="zh-CN"/>
        </w:rPr>
        <w:t>林场已经转变为生态林场，传统的木竹物质产品需求已经转变为生态物质产品需要，在这个方面，需求与生产能力不相冲突。</w:t>
      </w:r>
    </w:p>
    <w:p w14:paraId="7E9DDB19">
      <w:pPr>
        <w:pStyle w:val="4"/>
      </w:pPr>
      <w:bookmarkStart w:id="40" w:name="_Toc3633"/>
      <w:r>
        <w:t>2.4.2生态服务产品需求与生态服务功能关系及对策分析</w:t>
      </w:r>
      <w:bookmarkEnd w:id="40"/>
    </w:p>
    <w:p w14:paraId="08EB496B">
      <w:pPr>
        <w:ind w:firstLine="480"/>
        <w:rPr>
          <w:lang w:eastAsia="zh-CN"/>
        </w:rPr>
      </w:pPr>
      <w:r>
        <w:rPr>
          <w:lang w:eastAsia="zh-CN"/>
        </w:rPr>
        <w:t>随着经济的发展，人们对生态服务产品的要求越来越高，因此，林场经营必须坚持生态优先、效益兼顾的原则，以林场生态资源建设、基础设施建设为基础，提升林场硬实力，以林场优质的生态环境资源为依托，大力发展森林旅游，开发特色旅游产品，创新品牌形象，修炼林场软实力，开发养生等森林康养项目，提供集学习、娱乐、探险、休闲等一体的森林体验，发展森林旅游，提升林场影响力，形成品牌效应，建成一流的生态型林场。</w:t>
      </w:r>
    </w:p>
    <w:p w14:paraId="0FBB2760">
      <w:pPr>
        <w:spacing w:before="51"/>
        <w:ind w:firstLine="480"/>
        <w:rPr>
          <w:rFonts w:cs="Times New Roman"/>
          <w:szCs w:val="24"/>
          <w:lang w:eastAsia="zh-CN"/>
        </w:rPr>
        <w:sectPr>
          <w:headerReference r:id="rId24" w:type="default"/>
          <w:footerReference r:id="rId25" w:type="default"/>
          <w:pgSz w:w="11905" w:h="16843"/>
          <w:pgMar w:top="1440" w:right="1406" w:bottom="1440" w:left="1803" w:header="873" w:footer="1276" w:gutter="0"/>
          <w:cols w:space="0" w:num="1"/>
          <w:rtlGutter w:val="0"/>
          <w:docGrid w:linePitch="326" w:charSpace="0"/>
        </w:sectPr>
      </w:pPr>
    </w:p>
    <w:p w14:paraId="64FCC609">
      <w:pPr>
        <w:pStyle w:val="2"/>
        <w:spacing w:before="120" w:after="120"/>
        <w:rPr>
          <w:lang w:eastAsia="zh-CN"/>
        </w:rPr>
      </w:pPr>
      <w:bookmarkStart w:id="41" w:name="bookmark22"/>
      <w:bookmarkEnd w:id="41"/>
      <w:bookmarkStart w:id="42" w:name="bookmark24"/>
      <w:bookmarkEnd w:id="42"/>
      <w:bookmarkStart w:id="43" w:name="_Toc14802"/>
      <w:r>
        <w:rPr>
          <w:lang w:eastAsia="zh-CN"/>
        </w:rPr>
        <w:t>第三章</w:t>
      </w:r>
      <w:r>
        <w:rPr>
          <w:rFonts w:hint="eastAsia"/>
          <w:lang w:eastAsia="zh-CN"/>
        </w:rPr>
        <w:t xml:space="preserve"> </w:t>
      </w:r>
      <w:r>
        <w:rPr>
          <w:lang w:eastAsia="zh-CN"/>
        </w:rPr>
        <w:t>森林经营方针与经营目标</w:t>
      </w:r>
      <w:bookmarkEnd w:id="43"/>
    </w:p>
    <w:p w14:paraId="504641A0">
      <w:pPr>
        <w:pStyle w:val="3"/>
        <w:rPr>
          <w:lang w:eastAsia="zh-CN"/>
        </w:rPr>
      </w:pPr>
      <w:bookmarkStart w:id="44" w:name="_Toc25423"/>
      <w:r>
        <w:rPr>
          <w:lang w:eastAsia="zh-CN"/>
        </w:rPr>
        <w:t>3.1方案编案原则</w:t>
      </w:r>
      <w:bookmarkEnd w:id="44"/>
    </w:p>
    <w:p w14:paraId="325088B8">
      <w:pPr>
        <w:pStyle w:val="4"/>
      </w:pPr>
      <w:bookmarkStart w:id="45" w:name="_Toc11691"/>
      <w:r>
        <w:t>3.1.1保护优先、统筹兼顾</w:t>
      </w:r>
      <w:bookmarkEnd w:id="45"/>
    </w:p>
    <w:p w14:paraId="5699BC68">
      <w:pPr>
        <w:ind w:firstLine="480"/>
        <w:rPr>
          <w:lang w:eastAsia="zh-CN"/>
        </w:rPr>
      </w:pPr>
      <w:r>
        <w:rPr>
          <w:lang w:eastAsia="zh-CN"/>
        </w:rPr>
        <w:t>优先考虑森林资源保护、森林资源质量提升和生态服务功能增强，统筹兼顾经济和社会效益，促进林场和周边社区的可持续发展。</w:t>
      </w:r>
    </w:p>
    <w:p w14:paraId="62DDB925">
      <w:pPr>
        <w:pStyle w:val="4"/>
      </w:pPr>
      <w:bookmarkStart w:id="46" w:name="_Toc12608"/>
      <w:r>
        <w:t>3.1.2景观修复、功能提升</w:t>
      </w:r>
      <w:bookmarkEnd w:id="46"/>
    </w:p>
    <w:p w14:paraId="6F14B8B3">
      <w:pPr>
        <w:ind w:firstLine="480"/>
        <w:rPr>
          <w:lang w:eastAsia="zh-CN"/>
        </w:rPr>
      </w:pPr>
      <w:r>
        <w:rPr>
          <w:lang w:eastAsia="zh-CN"/>
        </w:rPr>
        <w:t>以生态景观恢复、近自然经营、森林生态系统经营管理等理论为指导，从景观和生态系统角度，着眼于较大尺度的景观格局优化和生态服务功能提升，科学确定经营目标、任务和措施。</w:t>
      </w:r>
    </w:p>
    <w:p w14:paraId="08FE9953">
      <w:pPr>
        <w:pStyle w:val="4"/>
      </w:pPr>
      <w:bookmarkStart w:id="47" w:name="_Toc26934"/>
      <w:r>
        <w:t>3.1.3分区施策、分类经营</w:t>
      </w:r>
      <w:bookmarkEnd w:id="47"/>
    </w:p>
    <w:p w14:paraId="2A4CC704">
      <w:pPr>
        <w:ind w:firstLine="480"/>
        <w:rPr>
          <w:rFonts w:hint="default"/>
          <w:lang w:val="en-US" w:eastAsia="zh-CN"/>
        </w:rPr>
      </w:pPr>
      <w:r>
        <w:rPr>
          <w:lang w:eastAsia="zh-CN"/>
        </w:rPr>
        <w:t>对不同社会经济条件、不同生态区位、不同类型的森林实行差别化经营。对生态敏感区和脆弱区森林实施严格保护，对天然林和公益林突出保护和培育</w:t>
      </w:r>
      <w:r>
        <w:rPr>
          <w:rFonts w:hint="eastAsia"/>
          <w:lang w:eastAsia="zh-CN"/>
        </w:rPr>
        <w:t>。</w:t>
      </w:r>
    </w:p>
    <w:p w14:paraId="5E7BB154">
      <w:pPr>
        <w:pStyle w:val="4"/>
      </w:pPr>
      <w:bookmarkStart w:id="48" w:name="_Toc28831"/>
      <w:r>
        <w:t>3.1.4多方参与、统筹规划</w:t>
      </w:r>
      <w:bookmarkEnd w:id="48"/>
    </w:p>
    <w:p w14:paraId="4A4ECB4A">
      <w:pPr>
        <w:ind w:firstLine="480"/>
        <w:rPr>
          <w:lang w:eastAsia="zh-CN"/>
        </w:rPr>
      </w:pPr>
      <w:r>
        <w:rPr>
          <w:lang w:eastAsia="zh-CN"/>
        </w:rPr>
        <w:t>严格遵守相关法律法规，符合国家及地方相关政策、标准和规程等要求，结合林场实际，以国有林场为主体，管理部门、社会服务机构、技术支撑单位、周边社区等共同参与；坚持前膽性、科学性、先进性，实行与区域社会经济发展规划、林业中长期发展规划等宏观规划及重点林业工程相衔接，实现生态、经济、社会协调发展。</w:t>
      </w:r>
    </w:p>
    <w:p w14:paraId="4BD9C5AD">
      <w:pPr>
        <w:pStyle w:val="4"/>
      </w:pPr>
      <w:bookmarkStart w:id="49" w:name="_Toc9782"/>
      <w:r>
        <w:t>3.1.5坚持科学、全面发展</w:t>
      </w:r>
      <w:bookmarkEnd w:id="49"/>
    </w:p>
    <w:p w14:paraId="7C8157FC">
      <w:pPr>
        <w:ind w:firstLine="480"/>
        <w:rPr>
          <w:lang w:eastAsia="zh-CN"/>
        </w:rPr>
      </w:pPr>
      <w:r>
        <w:rPr>
          <w:lang w:eastAsia="zh-CN"/>
        </w:rPr>
        <w:t>坚持前瞻性、科学性、先进性，实行与区域社会经济发展规划、林业中长期发展规划等宏观规划及重点林业工程相衔接，实现生态、经济、社会协调发展。</w:t>
      </w:r>
    </w:p>
    <w:p w14:paraId="09194C19">
      <w:pPr>
        <w:pStyle w:val="3"/>
        <w:rPr>
          <w:lang w:eastAsia="zh-CN"/>
        </w:rPr>
      </w:pPr>
      <w:bookmarkStart w:id="50" w:name="bookmark26"/>
      <w:bookmarkEnd w:id="50"/>
      <w:bookmarkStart w:id="51" w:name="_Toc10399"/>
      <w:r>
        <w:rPr>
          <w:lang w:eastAsia="zh-CN"/>
        </w:rPr>
        <w:t>3.2方案编制依据</w:t>
      </w:r>
      <w:bookmarkEnd w:id="51"/>
    </w:p>
    <w:p w14:paraId="2A88FDC7">
      <w:pPr>
        <w:pStyle w:val="4"/>
      </w:pPr>
      <w:r>
        <w:t>3.2.1法律法规及相关文件</w:t>
      </w:r>
    </w:p>
    <w:p w14:paraId="647C7297">
      <w:pPr>
        <w:ind w:firstLine="480"/>
        <w:rPr>
          <w:lang w:eastAsia="zh-CN"/>
        </w:rPr>
      </w:pPr>
      <w:r>
        <w:rPr>
          <w:rFonts w:hint="eastAsia"/>
          <w:lang w:eastAsia="zh-CN"/>
        </w:rPr>
        <w:t>(</w:t>
      </w:r>
      <w:r>
        <w:rPr>
          <w:lang w:eastAsia="zh-CN"/>
        </w:rPr>
        <w:t>1</w:t>
      </w:r>
      <w:r>
        <w:rPr>
          <w:rFonts w:hint="eastAsia"/>
          <w:lang w:eastAsia="zh-CN"/>
        </w:rPr>
        <w:t>)</w:t>
      </w:r>
      <w:r>
        <w:rPr>
          <w:lang w:eastAsia="zh-CN"/>
        </w:rPr>
        <w:t>《中华人民共和国森林法》</w:t>
      </w:r>
      <w:r>
        <w:rPr>
          <w:rFonts w:hint="eastAsia"/>
          <w:lang w:eastAsia="zh-CN"/>
        </w:rPr>
        <w:t>(</w:t>
      </w:r>
      <w:r>
        <w:rPr>
          <w:lang w:eastAsia="zh-CN"/>
        </w:rPr>
        <w:t>根据2019年12月28日第十三届全国人民代表大会常务委员会第十五次会议修订</w:t>
      </w:r>
      <w:r>
        <w:rPr>
          <w:rFonts w:hint="eastAsia"/>
          <w:lang w:eastAsia="zh-CN"/>
        </w:rPr>
        <w:t>)</w:t>
      </w:r>
      <w:r>
        <w:rPr>
          <w:lang w:eastAsia="zh-CN"/>
        </w:rPr>
        <w:t>；</w:t>
      </w:r>
    </w:p>
    <w:p w14:paraId="1544E6A5">
      <w:pPr>
        <w:ind w:firstLine="480"/>
        <w:rPr>
          <w:lang w:eastAsia="zh-CN"/>
        </w:rPr>
      </w:pPr>
      <w:r>
        <w:rPr>
          <w:rFonts w:hint="eastAsia"/>
          <w:lang w:eastAsia="zh-CN"/>
        </w:rPr>
        <w:t>(</w:t>
      </w:r>
      <w:r>
        <w:rPr>
          <w:lang w:eastAsia="zh-CN"/>
        </w:rPr>
        <w:t>2</w:t>
      </w:r>
      <w:r>
        <w:rPr>
          <w:rFonts w:hint="eastAsia"/>
          <w:lang w:eastAsia="zh-CN"/>
        </w:rPr>
        <w:t>)</w:t>
      </w:r>
      <w:r>
        <w:rPr>
          <w:lang w:eastAsia="zh-CN"/>
        </w:rPr>
        <w:t>《中华人民共和国森林法实施条例》</w:t>
      </w:r>
      <w:r>
        <w:rPr>
          <w:rFonts w:hint="eastAsia"/>
          <w:lang w:eastAsia="zh-CN"/>
        </w:rPr>
        <w:t>(</w:t>
      </w:r>
      <w:r>
        <w:rPr>
          <w:lang w:eastAsia="zh-CN"/>
        </w:rPr>
        <w:t>根据2018年3月19日国务院令第698号修改</w:t>
      </w:r>
      <w:r>
        <w:rPr>
          <w:rFonts w:hint="eastAsia"/>
          <w:lang w:eastAsia="zh-CN"/>
        </w:rPr>
        <w:t>)</w:t>
      </w:r>
      <w:r>
        <w:rPr>
          <w:lang w:eastAsia="zh-CN"/>
        </w:rPr>
        <w:t>；</w:t>
      </w:r>
    </w:p>
    <w:p w14:paraId="0F510EFA">
      <w:pPr>
        <w:ind w:firstLine="480"/>
        <w:rPr>
          <w:lang w:eastAsia="zh-CN"/>
        </w:rPr>
      </w:pPr>
      <w:r>
        <w:rPr>
          <w:rFonts w:hint="eastAsia"/>
          <w:lang w:eastAsia="zh-CN"/>
        </w:rPr>
        <w:t>(</w:t>
      </w:r>
      <w:r>
        <w:rPr>
          <w:lang w:eastAsia="zh-CN"/>
        </w:rPr>
        <w:t>3</w:t>
      </w:r>
      <w:r>
        <w:rPr>
          <w:rFonts w:hint="eastAsia"/>
          <w:lang w:eastAsia="zh-CN"/>
        </w:rPr>
        <w:t>)</w:t>
      </w:r>
      <w:r>
        <w:rPr>
          <w:lang w:eastAsia="zh-CN"/>
        </w:rPr>
        <w:t>《森林采伐更新管理办法》</w:t>
      </w:r>
      <w:r>
        <w:rPr>
          <w:rFonts w:hint="eastAsia"/>
          <w:lang w:eastAsia="zh-CN"/>
        </w:rPr>
        <w:t>(</w:t>
      </w:r>
      <w:r>
        <w:rPr>
          <w:lang w:eastAsia="zh-CN"/>
        </w:rPr>
        <w:t>根据2011年1月8日《国务院关于废止和修改部分行政法规的决定》修改</w:t>
      </w:r>
      <w:r>
        <w:rPr>
          <w:rFonts w:hint="eastAsia"/>
          <w:lang w:eastAsia="zh-CN"/>
        </w:rPr>
        <w:t>)</w:t>
      </w:r>
      <w:r>
        <w:rPr>
          <w:lang w:eastAsia="zh-CN"/>
        </w:rPr>
        <w:t>；</w:t>
      </w:r>
    </w:p>
    <w:p w14:paraId="33B847CA">
      <w:pPr>
        <w:ind w:firstLine="480"/>
        <w:rPr>
          <w:lang w:eastAsia="zh-CN"/>
        </w:rPr>
      </w:pPr>
      <w:r>
        <w:rPr>
          <w:rFonts w:hint="eastAsia"/>
          <w:lang w:eastAsia="zh-CN"/>
        </w:rPr>
        <w:t>(</w:t>
      </w:r>
      <w:r>
        <w:rPr>
          <w:lang w:eastAsia="zh-CN"/>
        </w:rPr>
        <w:t>4</w:t>
      </w:r>
      <w:r>
        <w:rPr>
          <w:rFonts w:hint="eastAsia"/>
          <w:lang w:eastAsia="zh-CN"/>
        </w:rPr>
        <w:t>)</w:t>
      </w:r>
      <w:r>
        <w:rPr>
          <w:lang w:eastAsia="zh-CN"/>
        </w:rPr>
        <w:t>《森林防火条例》</w:t>
      </w:r>
      <w:r>
        <w:rPr>
          <w:rFonts w:hint="eastAsia"/>
          <w:lang w:eastAsia="zh-CN"/>
        </w:rPr>
        <w:t>(</w:t>
      </w:r>
      <w:r>
        <w:rPr>
          <w:lang w:eastAsia="zh-CN"/>
        </w:rPr>
        <w:t>2018年11月19日国务院第36次常务会议修订通过</w:t>
      </w:r>
      <w:r>
        <w:rPr>
          <w:rFonts w:hint="eastAsia"/>
          <w:lang w:eastAsia="zh-CN"/>
        </w:rPr>
        <w:t>)</w:t>
      </w:r>
      <w:r>
        <w:rPr>
          <w:lang w:eastAsia="zh-CN"/>
        </w:rPr>
        <w:t>；</w:t>
      </w:r>
    </w:p>
    <w:p w14:paraId="3FA6E859">
      <w:pPr>
        <w:ind w:firstLine="480"/>
        <w:rPr>
          <w:lang w:eastAsia="zh-CN"/>
        </w:rPr>
      </w:pPr>
      <w:r>
        <w:rPr>
          <w:rFonts w:hint="eastAsia"/>
          <w:lang w:eastAsia="zh-CN"/>
        </w:rPr>
        <w:t>(</w:t>
      </w:r>
      <w:r>
        <w:rPr>
          <w:lang w:eastAsia="zh-CN"/>
        </w:rPr>
        <w:t>5</w:t>
      </w:r>
      <w:r>
        <w:rPr>
          <w:rFonts w:hint="eastAsia"/>
          <w:lang w:eastAsia="zh-CN"/>
        </w:rPr>
        <w:t>)</w:t>
      </w:r>
      <w:r>
        <w:rPr>
          <w:lang w:eastAsia="zh-CN"/>
        </w:rPr>
        <w:t>《湖南省林业条例》</w:t>
      </w:r>
      <w:r>
        <w:rPr>
          <w:rFonts w:hint="eastAsia"/>
          <w:lang w:eastAsia="zh-CN"/>
        </w:rPr>
        <w:t>(</w:t>
      </w:r>
      <w:r>
        <w:rPr>
          <w:lang w:eastAsia="zh-CN"/>
        </w:rPr>
        <w:t>根据湖南省人民代表大会常务委员会，2024年3月31日修订</w:t>
      </w:r>
      <w:r>
        <w:rPr>
          <w:rFonts w:hint="eastAsia"/>
          <w:lang w:eastAsia="zh-CN"/>
        </w:rPr>
        <w:t>)</w:t>
      </w:r>
      <w:r>
        <w:rPr>
          <w:lang w:eastAsia="zh-CN"/>
        </w:rPr>
        <w:t>；</w:t>
      </w:r>
    </w:p>
    <w:p w14:paraId="012C819E">
      <w:pPr>
        <w:ind w:firstLine="480"/>
        <w:rPr>
          <w:lang w:eastAsia="zh-CN"/>
        </w:rPr>
      </w:pPr>
      <w:r>
        <w:rPr>
          <w:rFonts w:hint="eastAsia"/>
          <w:lang w:eastAsia="zh-CN"/>
        </w:rPr>
        <w:t>(</w:t>
      </w:r>
      <w:r>
        <w:rPr>
          <w:lang w:eastAsia="zh-CN"/>
        </w:rPr>
        <w:t>6</w:t>
      </w:r>
      <w:r>
        <w:rPr>
          <w:rFonts w:hint="eastAsia"/>
          <w:lang w:eastAsia="zh-CN"/>
        </w:rPr>
        <w:t>)</w:t>
      </w:r>
      <w:r>
        <w:rPr>
          <w:lang w:eastAsia="zh-CN"/>
        </w:rPr>
        <w:t>《湖南省环境保护条例》</w:t>
      </w:r>
      <w:r>
        <w:rPr>
          <w:rFonts w:hint="eastAsia"/>
          <w:lang w:eastAsia="zh-CN"/>
        </w:rPr>
        <w:t>(</w:t>
      </w:r>
      <w:r>
        <w:rPr>
          <w:lang w:eastAsia="zh-CN"/>
        </w:rPr>
        <w:t>根据湖南省人民代表大会常务委员会，2020年1月1日修订</w:t>
      </w:r>
      <w:r>
        <w:rPr>
          <w:rFonts w:hint="eastAsia"/>
          <w:lang w:eastAsia="zh-CN"/>
        </w:rPr>
        <w:t>)</w:t>
      </w:r>
      <w:r>
        <w:rPr>
          <w:lang w:eastAsia="zh-CN"/>
        </w:rPr>
        <w:t>；</w:t>
      </w:r>
    </w:p>
    <w:p w14:paraId="2375315D">
      <w:pPr>
        <w:ind w:firstLine="480"/>
        <w:rPr>
          <w:lang w:eastAsia="zh-CN"/>
        </w:rPr>
      </w:pPr>
      <w:r>
        <w:rPr>
          <w:rFonts w:hint="eastAsia"/>
          <w:lang w:eastAsia="zh-CN"/>
        </w:rPr>
        <w:t>(</w:t>
      </w:r>
      <w:r>
        <w:rPr>
          <w:lang w:eastAsia="zh-CN"/>
        </w:rPr>
        <w:t>7</w:t>
      </w:r>
      <w:r>
        <w:rPr>
          <w:rFonts w:hint="eastAsia"/>
          <w:lang w:eastAsia="zh-CN"/>
        </w:rPr>
        <w:t>)</w:t>
      </w:r>
      <w:r>
        <w:rPr>
          <w:lang w:eastAsia="zh-CN"/>
        </w:rPr>
        <w:t>《湖南省野生动植物资源保护条例》</w:t>
      </w:r>
      <w:r>
        <w:rPr>
          <w:rFonts w:hint="eastAsia"/>
          <w:lang w:eastAsia="zh-CN"/>
        </w:rPr>
        <w:t>(</w:t>
      </w:r>
      <w:r>
        <w:rPr>
          <w:lang w:eastAsia="zh-CN"/>
        </w:rPr>
        <w:t>根据湖南省人民代表大会常务委员会，2020年3月31日修订</w:t>
      </w:r>
      <w:r>
        <w:rPr>
          <w:rFonts w:hint="eastAsia"/>
          <w:lang w:eastAsia="zh-CN"/>
        </w:rPr>
        <w:t>)</w:t>
      </w:r>
      <w:r>
        <w:rPr>
          <w:lang w:eastAsia="zh-CN"/>
        </w:rPr>
        <w:t>；</w:t>
      </w:r>
    </w:p>
    <w:p w14:paraId="61F381A5">
      <w:pPr>
        <w:ind w:firstLine="480"/>
        <w:rPr>
          <w:lang w:eastAsia="zh-CN"/>
        </w:rPr>
      </w:pPr>
      <w:r>
        <w:rPr>
          <w:rFonts w:hint="eastAsia"/>
          <w:lang w:eastAsia="zh-CN"/>
        </w:rPr>
        <w:t>(</w:t>
      </w:r>
      <w:r>
        <w:rPr>
          <w:lang w:eastAsia="zh-CN"/>
        </w:rPr>
        <w:t>8</w:t>
      </w:r>
      <w:r>
        <w:rPr>
          <w:rFonts w:hint="eastAsia"/>
          <w:lang w:eastAsia="zh-CN"/>
        </w:rPr>
        <w:t>)</w:t>
      </w:r>
      <w:r>
        <w:rPr>
          <w:lang w:eastAsia="zh-CN"/>
        </w:rPr>
        <w:t>《中共中央国务院关于加快林业发展的决定》</w:t>
      </w:r>
      <w:r>
        <w:rPr>
          <w:rFonts w:hint="eastAsia"/>
          <w:lang w:eastAsia="zh-CN"/>
        </w:rPr>
        <w:t>(</w:t>
      </w:r>
      <w:r>
        <w:rPr>
          <w:lang w:eastAsia="zh-CN"/>
        </w:rPr>
        <w:t>中发〔2003〕9号</w:t>
      </w:r>
      <w:r>
        <w:rPr>
          <w:rFonts w:hint="eastAsia"/>
          <w:lang w:eastAsia="zh-CN"/>
        </w:rPr>
        <w:t>)</w:t>
      </w:r>
      <w:r>
        <w:rPr>
          <w:lang w:eastAsia="zh-CN"/>
        </w:rPr>
        <w:t>；</w:t>
      </w:r>
    </w:p>
    <w:p w14:paraId="55C17982">
      <w:pPr>
        <w:ind w:firstLine="480"/>
        <w:rPr>
          <w:lang w:eastAsia="zh-CN"/>
        </w:rPr>
      </w:pPr>
      <w:r>
        <w:rPr>
          <w:rFonts w:hint="eastAsia"/>
          <w:lang w:eastAsia="zh-CN"/>
        </w:rPr>
        <w:t>(</w:t>
      </w:r>
      <w:r>
        <w:rPr>
          <w:lang w:eastAsia="zh-CN"/>
        </w:rPr>
        <w:t>9</w:t>
      </w:r>
      <w:r>
        <w:rPr>
          <w:rFonts w:hint="eastAsia"/>
          <w:lang w:eastAsia="zh-CN"/>
        </w:rPr>
        <w:t>)</w:t>
      </w:r>
      <w:r>
        <w:rPr>
          <w:lang w:eastAsia="zh-CN"/>
        </w:rPr>
        <w:t>《中共中央国务院印发&lt;国有林场改革方案&gt;和&lt;国有林区改革指导意见&gt;》</w:t>
      </w:r>
      <w:r>
        <w:rPr>
          <w:rFonts w:hint="eastAsia"/>
          <w:lang w:eastAsia="zh-CN"/>
        </w:rPr>
        <w:t>(</w:t>
      </w:r>
      <w:r>
        <w:rPr>
          <w:lang w:eastAsia="zh-CN"/>
        </w:rPr>
        <w:t>中发〔2015〕6号</w:t>
      </w:r>
      <w:r>
        <w:rPr>
          <w:rFonts w:hint="eastAsia"/>
          <w:lang w:eastAsia="zh-CN"/>
        </w:rPr>
        <w:t>)</w:t>
      </w:r>
      <w:r>
        <w:rPr>
          <w:lang w:eastAsia="zh-CN"/>
        </w:rPr>
        <w:t>；</w:t>
      </w:r>
    </w:p>
    <w:p w14:paraId="7A5F5B39">
      <w:pPr>
        <w:ind w:firstLine="480"/>
        <w:rPr>
          <w:lang w:eastAsia="zh-CN"/>
        </w:rPr>
      </w:pPr>
      <w:r>
        <w:rPr>
          <w:rFonts w:hint="eastAsia"/>
          <w:lang w:eastAsia="zh-CN"/>
        </w:rPr>
        <w:t>(</w:t>
      </w:r>
      <w:r>
        <w:rPr>
          <w:lang w:eastAsia="zh-CN"/>
        </w:rPr>
        <w:t>10</w:t>
      </w:r>
      <w:r>
        <w:rPr>
          <w:rFonts w:hint="eastAsia"/>
          <w:lang w:eastAsia="zh-CN"/>
        </w:rPr>
        <w:t>)</w:t>
      </w:r>
      <w:r>
        <w:rPr>
          <w:lang w:eastAsia="zh-CN"/>
        </w:rPr>
        <w:t>《中共中央国务院关于加快推进生态文明建设的意见》</w:t>
      </w:r>
      <w:r>
        <w:rPr>
          <w:rFonts w:hint="eastAsia"/>
          <w:lang w:eastAsia="zh-CN"/>
        </w:rPr>
        <w:t>(</w:t>
      </w:r>
      <w:r>
        <w:rPr>
          <w:lang w:eastAsia="zh-CN"/>
        </w:rPr>
        <w:t>中发〔2015〕12号</w:t>
      </w:r>
      <w:r>
        <w:rPr>
          <w:rFonts w:hint="eastAsia"/>
          <w:lang w:eastAsia="zh-CN"/>
        </w:rPr>
        <w:t>)</w:t>
      </w:r>
      <w:r>
        <w:rPr>
          <w:lang w:eastAsia="zh-CN"/>
        </w:rPr>
        <w:t>；</w:t>
      </w:r>
    </w:p>
    <w:p w14:paraId="373B823C">
      <w:pPr>
        <w:ind w:firstLine="480"/>
        <w:rPr>
          <w:lang w:eastAsia="zh-CN"/>
        </w:rPr>
      </w:pPr>
      <w:r>
        <w:rPr>
          <w:rFonts w:hint="eastAsia"/>
          <w:lang w:eastAsia="zh-CN"/>
        </w:rPr>
        <w:t>(</w:t>
      </w:r>
      <w:r>
        <w:rPr>
          <w:lang w:eastAsia="zh-CN"/>
        </w:rPr>
        <w:t>11</w:t>
      </w:r>
      <w:r>
        <w:rPr>
          <w:rFonts w:hint="eastAsia"/>
          <w:lang w:eastAsia="zh-CN"/>
        </w:rPr>
        <w:t>)</w:t>
      </w:r>
      <w:r>
        <w:rPr>
          <w:lang w:eastAsia="zh-CN"/>
        </w:rPr>
        <w:t>《中共中央国务院印发&lt;生态文明体制改革总体方案&gt;》</w:t>
      </w:r>
      <w:r>
        <w:rPr>
          <w:rFonts w:hint="eastAsia"/>
          <w:lang w:eastAsia="zh-CN"/>
        </w:rPr>
        <w:t>(</w:t>
      </w:r>
      <w:r>
        <w:rPr>
          <w:lang w:eastAsia="zh-CN"/>
        </w:rPr>
        <w:t>2015年</w:t>
      </w:r>
      <w:r>
        <w:rPr>
          <w:rFonts w:hint="eastAsia"/>
          <w:lang w:eastAsia="zh-CN"/>
        </w:rPr>
        <w:t>)</w:t>
      </w:r>
      <w:r>
        <w:rPr>
          <w:lang w:eastAsia="zh-CN"/>
        </w:rPr>
        <w:t>；</w:t>
      </w:r>
    </w:p>
    <w:p w14:paraId="00FFFA43">
      <w:pPr>
        <w:ind w:firstLine="480"/>
        <w:rPr>
          <w:lang w:eastAsia="zh-CN"/>
        </w:rPr>
      </w:pPr>
      <w:r>
        <w:rPr>
          <w:rFonts w:hint="eastAsia"/>
          <w:lang w:eastAsia="zh-CN"/>
        </w:rPr>
        <w:t>(</w:t>
      </w:r>
      <w:r>
        <w:rPr>
          <w:lang w:eastAsia="zh-CN"/>
        </w:rPr>
        <w:t>12</w:t>
      </w:r>
      <w:r>
        <w:rPr>
          <w:rFonts w:hint="eastAsia"/>
          <w:lang w:eastAsia="zh-CN"/>
        </w:rPr>
        <w:t>)</w:t>
      </w:r>
      <w:r>
        <w:rPr>
          <w:lang w:eastAsia="zh-CN"/>
        </w:rPr>
        <w:t>《中共中央办公厅国务院办公厅关于划定并严守生态保护红线的若干意见》</w:t>
      </w:r>
      <w:r>
        <w:rPr>
          <w:rFonts w:hint="eastAsia"/>
          <w:lang w:eastAsia="zh-CN"/>
        </w:rPr>
        <w:t>(</w:t>
      </w:r>
      <w:r>
        <w:rPr>
          <w:lang w:eastAsia="zh-CN"/>
        </w:rPr>
        <w:t>2017年</w:t>
      </w:r>
      <w:r>
        <w:rPr>
          <w:rFonts w:hint="eastAsia"/>
          <w:lang w:eastAsia="zh-CN"/>
        </w:rPr>
        <w:t>)</w:t>
      </w:r>
      <w:r>
        <w:rPr>
          <w:lang w:eastAsia="zh-CN"/>
        </w:rPr>
        <w:t>；</w:t>
      </w:r>
    </w:p>
    <w:p w14:paraId="7730943C">
      <w:pPr>
        <w:ind w:firstLine="480"/>
        <w:rPr>
          <w:lang w:eastAsia="zh-CN"/>
        </w:rPr>
      </w:pPr>
      <w:r>
        <w:rPr>
          <w:rFonts w:hint="eastAsia"/>
          <w:lang w:eastAsia="zh-CN"/>
        </w:rPr>
        <w:t>(</w:t>
      </w:r>
      <w:r>
        <w:rPr>
          <w:lang w:eastAsia="zh-CN"/>
        </w:rPr>
        <w:t>13</w:t>
      </w:r>
      <w:r>
        <w:rPr>
          <w:rFonts w:hint="eastAsia"/>
          <w:lang w:eastAsia="zh-CN"/>
        </w:rPr>
        <w:t>)</w:t>
      </w:r>
      <w:r>
        <w:rPr>
          <w:lang w:eastAsia="zh-CN"/>
        </w:rPr>
        <w:t>《中共中央国务院关于建立国土空间规划体系并监督实施的若干意见》</w:t>
      </w:r>
      <w:r>
        <w:rPr>
          <w:rFonts w:hint="eastAsia"/>
          <w:lang w:eastAsia="zh-CN"/>
        </w:rPr>
        <w:t>(</w:t>
      </w:r>
      <w:r>
        <w:rPr>
          <w:lang w:eastAsia="zh-CN"/>
        </w:rPr>
        <w:t>2019年</w:t>
      </w:r>
      <w:r>
        <w:rPr>
          <w:rFonts w:hint="eastAsia"/>
          <w:lang w:eastAsia="zh-CN"/>
        </w:rPr>
        <w:t>)</w:t>
      </w:r>
      <w:r>
        <w:rPr>
          <w:lang w:eastAsia="zh-CN"/>
        </w:rPr>
        <w:t>；</w:t>
      </w:r>
    </w:p>
    <w:p w14:paraId="1DB3AEF9">
      <w:pPr>
        <w:ind w:firstLine="480"/>
        <w:rPr>
          <w:lang w:eastAsia="zh-CN"/>
        </w:rPr>
      </w:pPr>
      <w:r>
        <w:rPr>
          <w:rFonts w:hint="eastAsia"/>
          <w:lang w:eastAsia="zh-CN"/>
        </w:rPr>
        <w:t>(</w:t>
      </w:r>
      <w:r>
        <w:rPr>
          <w:lang w:eastAsia="zh-CN"/>
        </w:rPr>
        <w:t>14</w:t>
      </w:r>
      <w:r>
        <w:rPr>
          <w:rFonts w:hint="eastAsia"/>
          <w:lang w:eastAsia="zh-CN"/>
        </w:rPr>
        <w:t>)</w:t>
      </w:r>
      <w:r>
        <w:rPr>
          <w:lang w:eastAsia="zh-CN"/>
        </w:rPr>
        <w:t>《天然林保护修复制度方案》</w:t>
      </w:r>
      <w:r>
        <w:rPr>
          <w:rFonts w:hint="eastAsia"/>
          <w:lang w:eastAsia="zh-CN"/>
        </w:rPr>
        <w:t>(</w:t>
      </w:r>
      <w:r>
        <w:rPr>
          <w:lang w:eastAsia="zh-CN"/>
        </w:rPr>
        <w:t>中共中央办公厅国务院办公厅2019年印发</w:t>
      </w:r>
      <w:r>
        <w:rPr>
          <w:rFonts w:hint="eastAsia"/>
          <w:lang w:eastAsia="zh-CN"/>
        </w:rPr>
        <w:t>)</w:t>
      </w:r>
      <w:r>
        <w:rPr>
          <w:lang w:eastAsia="zh-CN"/>
        </w:rPr>
        <w:t>；</w:t>
      </w:r>
    </w:p>
    <w:p w14:paraId="114C3823">
      <w:pPr>
        <w:ind w:firstLine="480"/>
        <w:rPr>
          <w:lang w:eastAsia="zh-CN"/>
        </w:rPr>
      </w:pPr>
      <w:r>
        <w:rPr>
          <w:rFonts w:hint="eastAsia"/>
          <w:lang w:eastAsia="zh-CN"/>
        </w:rPr>
        <w:t>(</w:t>
      </w:r>
      <w:r>
        <w:rPr>
          <w:lang w:eastAsia="zh-CN"/>
        </w:rPr>
        <w:t>15</w:t>
      </w:r>
      <w:r>
        <w:rPr>
          <w:rFonts w:hint="eastAsia"/>
          <w:lang w:eastAsia="zh-CN"/>
        </w:rPr>
        <w:t>)</w:t>
      </w:r>
      <w:r>
        <w:rPr>
          <w:lang w:eastAsia="zh-CN"/>
        </w:rPr>
        <w:t>《关于科学绿化的指导意见》</w:t>
      </w:r>
      <w:r>
        <w:rPr>
          <w:rFonts w:hint="eastAsia"/>
          <w:lang w:eastAsia="zh-CN"/>
        </w:rPr>
        <w:t>(</w:t>
      </w:r>
      <w:r>
        <w:rPr>
          <w:lang w:eastAsia="zh-CN"/>
        </w:rPr>
        <w:t>国办发〔2024〕19号</w:t>
      </w:r>
      <w:r>
        <w:rPr>
          <w:rFonts w:hint="eastAsia"/>
          <w:lang w:eastAsia="zh-CN"/>
        </w:rPr>
        <w:t>)</w:t>
      </w:r>
      <w:r>
        <w:rPr>
          <w:lang w:eastAsia="zh-CN"/>
        </w:rPr>
        <w:t>；</w:t>
      </w:r>
    </w:p>
    <w:p w14:paraId="34125A9A">
      <w:pPr>
        <w:ind w:firstLine="480"/>
        <w:rPr>
          <w:lang w:eastAsia="zh-CN"/>
        </w:rPr>
      </w:pPr>
      <w:r>
        <w:rPr>
          <w:rFonts w:hint="eastAsia"/>
          <w:lang w:eastAsia="zh-CN"/>
        </w:rPr>
        <w:t>(</w:t>
      </w:r>
      <w:r>
        <w:rPr>
          <w:lang w:eastAsia="zh-CN"/>
        </w:rPr>
        <w:t>16</w:t>
      </w:r>
      <w:r>
        <w:rPr>
          <w:rFonts w:hint="eastAsia"/>
          <w:lang w:eastAsia="zh-CN"/>
        </w:rPr>
        <w:t>)</w:t>
      </w:r>
      <w:r>
        <w:rPr>
          <w:lang w:eastAsia="zh-CN"/>
        </w:rPr>
        <w:t>《国有林场管理办法》</w:t>
      </w:r>
      <w:r>
        <w:rPr>
          <w:rFonts w:hint="eastAsia"/>
          <w:lang w:eastAsia="zh-CN"/>
        </w:rPr>
        <w:t>(</w:t>
      </w:r>
      <w:r>
        <w:rPr>
          <w:lang w:eastAsia="zh-CN"/>
        </w:rPr>
        <w:t>林场规〔2024〕6号</w:t>
      </w:r>
      <w:r>
        <w:rPr>
          <w:rFonts w:hint="eastAsia"/>
          <w:lang w:eastAsia="zh-CN"/>
        </w:rPr>
        <w:t>)</w:t>
      </w:r>
      <w:r>
        <w:rPr>
          <w:lang w:eastAsia="zh-CN"/>
        </w:rPr>
        <w:t>；</w:t>
      </w:r>
    </w:p>
    <w:p w14:paraId="3F2A8F27">
      <w:pPr>
        <w:ind w:firstLine="480"/>
        <w:rPr>
          <w:lang w:eastAsia="zh-CN"/>
        </w:rPr>
      </w:pPr>
      <w:r>
        <w:rPr>
          <w:rFonts w:hint="eastAsia"/>
          <w:lang w:eastAsia="zh-CN"/>
        </w:rPr>
        <w:t>(</w:t>
      </w:r>
      <w:r>
        <w:rPr>
          <w:lang w:eastAsia="zh-CN"/>
        </w:rPr>
        <w:t>17</w:t>
      </w:r>
      <w:r>
        <w:rPr>
          <w:rFonts w:hint="eastAsia"/>
          <w:lang w:eastAsia="zh-CN"/>
        </w:rPr>
        <w:t>)</w:t>
      </w:r>
      <w:r>
        <w:rPr>
          <w:lang w:eastAsia="zh-CN"/>
        </w:rPr>
        <w:t>《国家级公益林管理办法》</w:t>
      </w:r>
      <w:r>
        <w:rPr>
          <w:rFonts w:hint="eastAsia"/>
          <w:lang w:eastAsia="zh-CN"/>
        </w:rPr>
        <w:t>(</w:t>
      </w:r>
      <w:r>
        <w:rPr>
          <w:lang w:eastAsia="zh-CN"/>
        </w:rPr>
        <w:t>林资发〔2017〕34号</w:t>
      </w:r>
      <w:r>
        <w:rPr>
          <w:rFonts w:hint="eastAsia"/>
          <w:lang w:eastAsia="zh-CN"/>
        </w:rPr>
        <w:t>)</w:t>
      </w:r>
      <w:r>
        <w:rPr>
          <w:lang w:eastAsia="zh-CN"/>
        </w:rPr>
        <w:t>；</w:t>
      </w:r>
    </w:p>
    <w:p w14:paraId="5EC29066">
      <w:pPr>
        <w:ind w:firstLine="480"/>
        <w:rPr>
          <w:lang w:eastAsia="zh-CN"/>
        </w:rPr>
      </w:pPr>
      <w:r>
        <w:rPr>
          <w:rFonts w:hint="eastAsia"/>
          <w:lang w:eastAsia="zh-CN"/>
        </w:rPr>
        <w:t>(</w:t>
      </w:r>
      <w:r>
        <w:rPr>
          <w:lang w:eastAsia="zh-CN"/>
        </w:rPr>
        <w:t>18</w:t>
      </w:r>
      <w:r>
        <w:rPr>
          <w:rFonts w:hint="eastAsia"/>
          <w:lang w:eastAsia="zh-CN"/>
        </w:rPr>
        <w:t>)</w:t>
      </w:r>
      <w:r>
        <w:rPr>
          <w:lang w:eastAsia="zh-CN"/>
        </w:rPr>
        <w:t>《国家发展改革委自然资源部关于印发〈全国重要生态系统保护和修复重大工程总体规划</w:t>
      </w:r>
      <w:r>
        <w:rPr>
          <w:rFonts w:hint="eastAsia"/>
          <w:lang w:eastAsia="zh-CN"/>
        </w:rPr>
        <w:t>(</w:t>
      </w:r>
      <w:r>
        <w:rPr>
          <w:lang w:eastAsia="zh-CN"/>
        </w:rPr>
        <w:t>2024—2035年</w:t>
      </w:r>
      <w:r>
        <w:rPr>
          <w:rFonts w:hint="eastAsia"/>
          <w:lang w:eastAsia="zh-CN"/>
        </w:rPr>
        <w:t>)</w:t>
      </w:r>
      <w:r>
        <w:rPr>
          <w:lang w:eastAsia="zh-CN"/>
        </w:rPr>
        <w:t>〉的通知》</w:t>
      </w:r>
      <w:r>
        <w:rPr>
          <w:rFonts w:hint="eastAsia"/>
          <w:lang w:eastAsia="zh-CN"/>
        </w:rPr>
        <w:t>(</w:t>
      </w:r>
      <w:r>
        <w:rPr>
          <w:lang w:eastAsia="zh-CN"/>
        </w:rPr>
        <w:t>发改农经〔2020〕837号</w:t>
      </w:r>
      <w:r>
        <w:rPr>
          <w:rFonts w:hint="eastAsia"/>
          <w:lang w:eastAsia="zh-CN"/>
        </w:rPr>
        <w:t>)</w:t>
      </w:r>
      <w:r>
        <w:rPr>
          <w:lang w:eastAsia="zh-CN"/>
        </w:rPr>
        <w:t>；</w:t>
      </w:r>
    </w:p>
    <w:p w14:paraId="692A92F6">
      <w:pPr>
        <w:ind w:firstLine="480"/>
        <w:rPr>
          <w:lang w:eastAsia="zh-CN"/>
        </w:rPr>
      </w:pPr>
      <w:r>
        <w:rPr>
          <w:rFonts w:hint="eastAsia"/>
          <w:lang w:eastAsia="zh-CN"/>
        </w:rPr>
        <w:t>(</w:t>
      </w:r>
      <w:r>
        <w:rPr>
          <w:lang w:eastAsia="zh-CN"/>
        </w:rPr>
        <w:t>19</w:t>
      </w:r>
      <w:r>
        <w:rPr>
          <w:rFonts w:hint="eastAsia"/>
          <w:lang w:eastAsia="zh-CN"/>
        </w:rPr>
        <w:t>)</w:t>
      </w:r>
      <w:r>
        <w:rPr>
          <w:lang w:eastAsia="zh-CN"/>
        </w:rPr>
        <w:t>《国家林业局关于印发&lt;中国主要栽培珍贵树种参考名录</w:t>
      </w:r>
      <w:r>
        <w:rPr>
          <w:rFonts w:hint="eastAsia"/>
          <w:lang w:eastAsia="zh-CN"/>
        </w:rPr>
        <w:t>(</w:t>
      </w:r>
      <w:r>
        <w:rPr>
          <w:lang w:eastAsia="zh-CN"/>
        </w:rPr>
        <w:t>2017年版</w:t>
      </w:r>
      <w:r>
        <w:rPr>
          <w:rFonts w:hint="eastAsia"/>
          <w:lang w:eastAsia="zh-CN"/>
        </w:rPr>
        <w:t>)</w:t>
      </w:r>
      <w:r>
        <w:rPr>
          <w:lang w:eastAsia="zh-CN"/>
        </w:rPr>
        <w:t>&gt;的通知》</w:t>
      </w:r>
      <w:r>
        <w:rPr>
          <w:rFonts w:hint="eastAsia"/>
          <w:lang w:eastAsia="zh-CN"/>
        </w:rPr>
        <w:t>(</w:t>
      </w:r>
      <w:r>
        <w:rPr>
          <w:lang w:eastAsia="zh-CN"/>
        </w:rPr>
        <w:t>林造发〔2017〕123号</w:t>
      </w:r>
      <w:r>
        <w:rPr>
          <w:rFonts w:hint="eastAsia"/>
          <w:lang w:eastAsia="zh-CN"/>
        </w:rPr>
        <w:t>)</w:t>
      </w:r>
      <w:r>
        <w:rPr>
          <w:lang w:eastAsia="zh-CN"/>
        </w:rPr>
        <w:t>；</w:t>
      </w:r>
    </w:p>
    <w:p w14:paraId="2154D584">
      <w:pPr>
        <w:ind w:firstLine="480"/>
        <w:rPr>
          <w:lang w:eastAsia="zh-CN"/>
        </w:rPr>
      </w:pPr>
      <w:r>
        <w:rPr>
          <w:rFonts w:hint="eastAsia"/>
          <w:lang w:eastAsia="zh-CN"/>
        </w:rPr>
        <w:t>(</w:t>
      </w:r>
      <w:r>
        <w:rPr>
          <w:lang w:eastAsia="zh-CN"/>
        </w:rPr>
        <w:t>20</w:t>
      </w:r>
      <w:r>
        <w:rPr>
          <w:rFonts w:hint="eastAsia"/>
          <w:lang w:eastAsia="zh-CN"/>
        </w:rPr>
        <w:t>)</w:t>
      </w:r>
      <w:r>
        <w:rPr>
          <w:lang w:eastAsia="zh-CN"/>
        </w:rPr>
        <w:t>《国家林业和草原局关于加快推进森林经营方案编制工作的通知》</w:t>
      </w:r>
      <w:r>
        <w:rPr>
          <w:rFonts w:hint="eastAsia"/>
          <w:lang w:eastAsia="zh-CN"/>
        </w:rPr>
        <w:t>(</w:t>
      </w:r>
      <w:r>
        <w:rPr>
          <w:lang w:eastAsia="zh-CN"/>
        </w:rPr>
        <w:t>林资发〔2018〕57号</w:t>
      </w:r>
      <w:r>
        <w:rPr>
          <w:rFonts w:hint="eastAsia"/>
          <w:lang w:eastAsia="zh-CN"/>
        </w:rPr>
        <w:t>)</w:t>
      </w:r>
      <w:r>
        <w:rPr>
          <w:lang w:eastAsia="zh-CN"/>
        </w:rPr>
        <w:t>；</w:t>
      </w:r>
    </w:p>
    <w:p w14:paraId="4E8FDCE1">
      <w:pPr>
        <w:ind w:firstLine="480"/>
        <w:rPr>
          <w:lang w:eastAsia="zh-CN"/>
        </w:rPr>
      </w:pPr>
      <w:r>
        <w:rPr>
          <w:rFonts w:hint="eastAsia"/>
          <w:lang w:eastAsia="zh-CN"/>
        </w:rPr>
        <w:t>(</w:t>
      </w:r>
      <w:r>
        <w:rPr>
          <w:lang w:eastAsia="zh-CN"/>
        </w:rPr>
        <w:t>21</w:t>
      </w:r>
      <w:r>
        <w:rPr>
          <w:rFonts w:hint="eastAsia"/>
          <w:lang w:eastAsia="zh-CN"/>
        </w:rPr>
        <w:t>)</w:t>
      </w:r>
      <w:r>
        <w:rPr>
          <w:lang w:eastAsia="zh-CN"/>
        </w:rPr>
        <w:t>《国家林业和草原局关于全面加强森林经营工作的意见》</w:t>
      </w:r>
      <w:r>
        <w:rPr>
          <w:rFonts w:hint="eastAsia"/>
          <w:lang w:eastAsia="zh-CN"/>
        </w:rPr>
        <w:t>(</w:t>
      </w:r>
      <w:r>
        <w:rPr>
          <w:lang w:eastAsia="zh-CN"/>
        </w:rPr>
        <w:t>林资发〔2019〕104号</w:t>
      </w:r>
      <w:r>
        <w:rPr>
          <w:rFonts w:hint="eastAsia"/>
          <w:lang w:eastAsia="zh-CN"/>
        </w:rPr>
        <w:t>)</w:t>
      </w:r>
      <w:r>
        <w:rPr>
          <w:lang w:eastAsia="zh-CN"/>
        </w:rPr>
        <w:t>；</w:t>
      </w:r>
    </w:p>
    <w:p w14:paraId="001978DC">
      <w:pPr>
        <w:ind w:firstLine="480"/>
        <w:rPr>
          <w:lang w:eastAsia="zh-CN"/>
        </w:rPr>
      </w:pPr>
      <w:r>
        <w:rPr>
          <w:rFonts w:hint="eastAsia"/>
          <w:lang w:eastAsia="zh-CN"/>
        </w:rPr>
        <w:t>(</w:t>
      </w:r>
      <w:r>
        <w:rPr>
          <w:lang w:eastAsia="zh-CN"/>
        </w:rPr>
        <w:t>22</w:t>
      </w:r>
      <w:r>
        <w:rPr>
          <w:rFonts w:hint="eastAsia"/>
          <w:lang w:eastAsia="zh-CN"/>
        </w:rPr>
        <w:t>)</w:t>
      </w:r>
      <w:r>
        <w:rPr>
          <w:lang w:eastAsia="zh-CN"/>
        </w:rPr>
        <w:t>《中共湖南省委湖南省人民政府关于印发&lt;绿色湖南建设纲要&gt;的通知》</w:t>
      </w:r>
      <w:r>
        <w:rPr>
          <w:rFonts w:hint="eastAsia"/>
          <w:lang w:eastAsia="zh-CN"/>
        </w:rPr>
        <w:t>(</w:t>
      </w:r>
      <w:r>
        <w:rPr>
          <w:lang w:eastAsia="zh-CN"/>
        </w:rPr>
        <w:t>湘发〔2012〕19号</w:t>
      </w:r>
      <w:r>
        <w:rPr>
          <w:rFonts w:hint="eastAsia"/>
          <w:lang w:eastAsia="zh-CN"/>
        </w:rPr>
        <w:t>)</w:t>
      </w:r>
      <w:r>
        <w:rPr>
          <w:lang w:eastAsia="zh-CN"/>
        </w:rPr>
        <w:t>；</w:t>
      </w:r>
    </w:p>
    <w:p w14:paraId="6C3E5095">
      <w:pPr>
        <w:ind w:firstLine="480"/>
        <w:rPr>
          <w:lang w:eastAsia="zh-CN"/>
        </w:rPr>
      </w:pPr>
      <w:r>
        <w:rPr>
          <w:rFonts w:hint="eastAsia"/>
          <w:lang w:eastAsia="zh-CN"/>
        </w:rPr>
        <w:t>(</w:t>
      </w:r>
      <w:r>
        <w:rPr>
          <w:lang w:eastAsia="zh-CN"/>
        </w:rPr>
        <w:t>23</w:t>
      </w:r>
      <w:r>
        <w:rPr>
          <w:rFonts w:hint="eastAsia"/>
          <w:lang w:eastAsia="zh-CN"/>
        </w:rPr>
        <w:t>)</w:t>
      </w:r>
      <w:r>
        <w:rPr>
          <w:lang w:eastAsia="zh-CN"/>
        </w:rPr>
        <w:t>《湖南省公益林管理办法》</w:t>
      </w:r>
      <w:r>
        <w:rPr>
          <w:rFonts w:hint="eastAsia"/>
          <w:lang w:eastAsia="zh-CN"/>
        </w:rPr>
        <w:t>(</w:t>
      </w:r>
      <w:r>
        <w:rPr>
          <w:lang w:eastAsia="zh-CN"/>
        </w:rPr>
        <w:t>湘林资〔2013〕28号</w:t>
      </w:r>
      <w:r>
        <w:rPr>
          <w:rFonts w:hint="eastAsia"/>
          <w:lang w:eastAsia="zh-CN"/>
        </w:rPr>
        <w:t>)</w:t>
      </w:r>
      <w:r>
        <w:rPr>
          <w:lang w:eastAsia="zh-CN"/>
        </w:rPr>
        <w:t>；</w:t>
      </w:r>
    </w:p>
    <w:p w14:paraId="2DA65AF8">
      <w:pPr>
        <w:ind w:firstLine="480"/>
        <w:rPr>
          <w:lang w:eastAsia="zh-CN"/>
        </w:rPr>
      </w:pPr>
      <w:r>
        <w:rPr>
          <w:rFonts w:hint="eastAsia"/>
          <w:lang w:eastAsia="zh-CN"/>
        </w:rPr>
        <w:t>(</w:t>
      </w:r>
      <w:r>
        <w:rPr>
          <w:lang w:eastAsia="zh-CN"/>
        </w:rPr>
        <w:t>24</w:t>
      </w:r>
      <w:r>
        <w:rPr>
          <w:rFonts w:hint="eastAsia"/>
          <w:lang w:eastAsia="zh-CN"/>
        </w:rPr>
        <w:t>)</w:t>
      </w:r>
      <w:r>
        <w:rPr>
          <w:lang w:eastAsia="zh-CN"/>
        </w:rPr>
        <w:t>《湖南省人民政府关于印发&lt;湖南省生态保护红线&gt;的通知》</w:t>
      </w:r>
      <w:r>
        <w:rPr>
          <w:rFonts w:hint="eastAsia"/>
          <w:lang w:eastAsia="zh-CN"/>
        </w:rPr>
        <w:t>(</w:t>
      </w:r>
      <w:r>
        <w:rPr>
          <w:lang w:eastAsia="zh-CN"/>
        </w:rPr>
        <w:t>湘政发〔2018〕20号</w:t>
      </w:r>
      <w:r>
        <w:rPr>
          <w:rFonts w:hint="eastAsia"/>
          <w:lang w:eastAsia="zh-CN"/>
        </w:rPr>
        <w:t>)</w:t>
      </w:r>
      <w:r>
        <w:rPr>
          <w:lang w:eastAsia="zh-CN"/>
        </w:rPr>
        <w:t>；</w:t>
      </w:r>
    </w:p>
    <w:p w14:paraId="61FCA080">
      <w:pPr>
        <w:ind w:firstLine="480"/>
        <w:rPr>
          <w:lang w:eastAsia="zh-CN"/>
        </w:rPr>
      </w:pPr>
      <w:r>
        <w:rPr>
          <w:rFonts w:hint="eastAsia"/>
          <w:lang w:eastAsia="zh-CN"/>
        </w:rPr>
        <w:t>(</w:t>
      </w:r>
      <w:r>
        <w:rPr>
          <w:lang w:eastAsia="zh-CN"/>
        </w:rPr>
        <w:t>25</w:t>
      </w:r>
      <w:r>
        <w:rPr>
          <w:rFonts w:hint="eastAsia"/>
          <w:lang w:eastAsia="zh-CN"/>
        </w:rPr>
        <w:t>)</w:t>
      </w:r>
      <w:r>
        <w:rPr>
          <w:lang w:eastAsia="zh-CN"/>
        </w:rPr>
        <w:t>《国家级公益林区划界定办法》</w:t>
      </w:r>
      <w:r>
        <w:rPr>
          <w:rFonts w:hint="eastAsia"/>
          <w:lang w:eastAsia="zh-CN"/>
        </w:rPr>
        <w:t>(</w:t>
      </w:r>
      <w:r>
        <w:rPr>
          <w:lang w:eastAsia="zh-CN"/>
        </w:rPr>
        <w:t>林资〔2017〕34号</w:t>
      </w:r>
      <w:r>
        <w:rPr>
          <w:rFonts w:hint="eastAsia"/>
          <w:lang w:eastAsia="zh-CN"/>
        </w:rPr>
        <w:t>)</w:t>
      </w:r>
      <w:r>
        <w:rPr>
          <w:lang w:eastAsia="zh-CN"/>
        </w:rPr>
        <w:t>；</w:t>
      </w:r>
    </w:p>
    <w:p w14:paraId="33A6487C">
      <w:pPr>
        <w:ind w:firstLine="480"/>
        <w:rPr>
          <w:lang w:eastAsia="zh-CN"/>
        </w:rPr>
      </w:pPr>
      <w:r>
        <w:rPr>
          <w:rFonts w:hint="eastAsia"/>
          <w:lang w:eastAsia="zh-CN"/>
        </w:rPr>
        <w:t>(</w:t>
      </w:r>
      <w:r>
        <w:rPr>
          <w:lang w:eastAsia="zh-CN"/>
        </w:rPr>
        <w:t>26</w:t>
      </w:r>
      <w:r>
        <w:rPr>
          <w:rFonts w:hint="eastAsia"/>
          <w:lang w:eastAsia="zh-CN"/>
        </w:rPr>
        <w:t>)</w:t>
      </w:r>
      <w:r>
        <w:rPr>
          <w:lang w:eastAsia="zh-CN"/>
        </w:rPr>
        <w:t>《国家级公益林管理办法》</w:t>
      </w:r>
      <w:r>
        <w:rPr>
          <w:rFonts w:hint="eastAsia"/>
          <w:lang w:eastAsia="zh-CN"/>
        </w:rPr>
        <w:t>(</w:t>
      </w:r>
      <w:r>
        <w:rPr>
          <w:lang w:eastAsia="zh-CN"/>
        </w:rPr>
        <w:t>林资发〔2017〕34号</w:t>
      </w:r>
      <w:r>
        <w:rPr>
          <w:rFonts w:hint="eastAsia"/>
          <w:lang w:eastAsia="zh-CN"/>
        </w:rPr>
        <w:t>)</w:t>
      </w:r>
      <w:r>
        <w:rPr>
          <w:lang w:eastAsia="zh-CN"/>
        </w:rPr>
        <w:t>；</w:t>
      </w:r>
    </w:p>
    <w:p w14:paraId="0D378BCD">
      <w:pPr>
        <w:ind w:firstLine="480"/>
        <w:rPr>
          <w:lang w:eastAsia="zh-CN"/>
        </w:rPr>
      </w:pPr>
      <w:r>
        <w:rPr>
          <w:rFonts w:hint="eastAsia"/>
          <w:lang w:eastAsia="zh-CN"/>
        </w:rPr>
        <w:t>(</w:t>
      </w:r>
      <w:r>
        <w:rPr>
          <w:lang w:eastAsia="zh-CN"/>
        </w:rPr>
        <w:t>27</w:t>
      </w:r>
      <w:r>
        <w:rPr>
          <w:rFonts w:hint="eastAsia"/>
          <w:lang w:eastAsia="zh-CN"/>
        </w:rPr>
        <w:t>)</w:t>
      </w:r>
      <w:r>
        <w:rPr>
          <w:lang w:eastAsia="zh-CN"/>
        </w:rPr>
        <w:t>《湖南省公益林区划界定办法》</w:t>
      </w:r>
      <w:r>
        <w:rPr>
          <w:rFonts w:hint="eastAsia"/>
          <w:lang w:eastAsia="zh-CN"/>
        </w:rPr>
        <w:t>(</w:t>
      </w:r>
      <w:r>
        <w:rPr>
          <w:lang w:eastAsia="zh-CN"/>
        </w:rPr>
        <w:t>湘林资〔2010〕9号</w:t>
      </w:r>
      <w:r>
        <w:rPr>
          <w:rFonts w:hint="eastAsia"/>
          <w:lang w:eastAsia="zh-CN"/>
        </w:rPr>
        <w:t>)</w:t>
      </w:r>
      <w:r>
        <w:rPr>
          <w:lang w:eastAsia="zh-CN"/>
        </w:rPr>
        <w:t>；</w:t>
      </w:r>
    </w:p>
    <w:p w14:paraId="26FAE747">
      <w:pPr>
        <w:ind w:firstLine="480"/>
        <w:rPr>
          <w:lang w:eastAsia="zh-CN"/>
        </w:rPr>
      </w:pPr>
      <w:r>
        <w:rPr>
          <w:rFonts w:hint="eastAsia"/>
          <w:lang w:eastAsia="zh-CN"/>
        </w:rPr>
        <w:t>(</w:t>
      </w:r>
      <w:r>
        <w:rPr>
          <w:lang w:eastAsia="zh-CN"/>
        </w:rPr>
        <w:t>28</w:t>
      </w:r>
      <w:r>
        <w:rPr>
          <w:rFonts w:hint="eastAsia"/>
          <w:lang w:eastAsia="zh-CN"/>
        </w:rPr>
        <w:t>)</w:t>
      </w:r>
      <w:r>
        <w:rPr>
          <w:lang w:eastAsia="zh-CN"/>
        </w:rPr>
        <w:t>《湖南省林业厅关于科学编制森林经营方案的通知》</w:t>
      </w:r>
      <w:r>
        <w:rPr>
          <w:rFonts w:hint="eastAsia"/>
          <w:lang w:eastAsia="zh-CN"/>
        </w:rPr>
        <w:t>(</w:t>
      </w:r>
      <w:r>
        <w:rPr>
          <w:lang w:eastAsia="zh-CN"/>
        </w:rPr>
        <w:t>湘林资〔2018〕24号</w:t>
      </w:r>
      <w:r>
        <w:rPr>
          <w:rFonts w:hint="eastAsia"/>
          <w:lang w:eastAsia="zh-CN"/>
        </w:rPr>
        <w:t>)</w:t>
      </w:r>
    </w:p>
    <w:p w14:paraId="0287644A">
      <w:pPr>
        <w:ind w:firstLine="480"/>
        <w:rPr>
          <w:lang w:eastAsia="zh-CN"/>
        </w:rPr>
      </w:pPr>
      <w:r>
        <w:rPr>
          <w:rFonts w:hint="eastAsia"/>
          <w:lang w:eastAsia="zh-CN"/>
        </w:rPr>
        <w:t>(</w:t>
      </w:r>
      <w:r>
        <w:rPr>
          <w:lang w:eastAsia="zh-CN"/>
        </w:rPr>
        <w:t>29</w:t>
      </w:r>
      <w:r>
        <w:rPr>
          <w:rFonts w:hint="eastAsia"/>
          <w:lang w:eastAsia="zh-CN"/>
        </w:rPr>
        <w:t>)</w:t>
      </w:r>
      <w:r>
        <w:rPr>
          <w:lang w:eastAsia="zh-CN"/>
        </w:rPr>
        <w:t>《湖南省人民政府关于实施全省“十四五”期间森林采伐限额管理的通知》</w:t>
      </w:r>
      <w:r>
        <w:rPr>
          <w:rFonts w:hint="eastAsia"/>
          <w:lang w:eastAsia="zh-CN"/>
        </w:rPr>
        <w:t>(</w:t>
      </w:r>
      <w:r>
        <w:rPr>
          <w:lang w:eastAsia="zh-CN"/>
        </w:rPr>
        <w:t>湘政函〔2024〕13号</w:t>
      </w:r>
      <w:r>
        <w:rPr>
          <w:rFonts w:hint="eastAsia"/>
          <w:lang w:eastAsia="zh-CN"/>
        </w:rPr>
        <w:t>)</w:t>
      </w:r>
      <w:r>
        <w:rPr>
          <w:lang w:eastAsia="zh-CN"/>
        </w:rPr>
        <w:t>。</w:t>
      </w:r>
    </w:p>
    <w:p w14:paraId="1F1F2807">
      <w:pPr>
        <w:ind w:firstLine="480"/>
        <w:rPr>
          <w:lang w:eastAsia="zh-CN"/>
        </w:rPr>
      </w:pPr>
      <w:r>
        <w:rPr>
          <w:rFonts w:hint="eastAsia"/>
          <w:lang w:eastAsia="zh-CN"/>
        </w:rPr>
        <w:t>(</w:t>
      </w:r>
      <w:r>
        <w:rPr>
          <w:lang w:eastAsia="zh-CN"/>
        </w:rPr>
        <w:t>30</w:t>
      </w:r>
      <w:r>
        <w:rPr>
          <w:rFonts w:hint="eastAsia"/>
          <w:lang w:eastAsia="zh-CN"/>
        </w:rPr>
        <w:t>)</w:t>
      </w:r>
      <w:r>
        <w:rPr>
          <w:lang w:eastAsia="zh-CN"/>
        </w:rPr>
        <w:t>《湖南省林业局关于开展森林经营方案编制</w:t>
      </w:r>
      <w:r>
        <w:rPr>
          <w:rFonts w:hint="eastAsia"/>
          <w:lang w:eastAsia="zh-CN"/>
        </w:rPr>
        <w:t>(</w:t>
      </w:r>
      <w:r>
        <w:rPr>
          <w:lang w:eastAsia="zh-CN"/>
        </w:rPr>
        <w:t>修编</w:t>
      </w:r>
      <w:r>
        <w:rPr>
          <w:rFonts w:hint="eastAsia"/>
          <w:lang w:eastAsia="zh-CN"/>
        </w:rPr>
        <w:t>)</w:t>
      </w:r>
      <w:r>
        <w:rPr>
          <w:lang w:eastAsia="zh-CN"/>
        </w:rPr>
        <w:t>工作的通知》</w:t>
      </w:r>
      <w:r>
        <w:rPr>
          <w:rFonts w:hint="eastAsia"/>
          <w:lang w:eastAsia="zh-CN"/>
        </w:rPr>
        <w:t>(</w:t>
      </w:r>
      <w:r>
        <w:rPr>
          <w:lang w:eastAsia="zh-CN"/>
        </w:rPr>
        <w:t>湘林资函〔2024〕22号</w:t>
      </w:r>
      <w:r>
        <w:rPr>
          <w:rFonts w:hint="eastAsia"/>
          <w:lang w:eastAsia="zh-CN"/>
        </w:rPr>
        <w:t>)</w:t>
      </w:r>
      <w:r>
        <w:rPr>
          <w:lang w:eastAsia="zh-CN"/>
        </w:rPr>
        <w:t>；</w:t>
      </w:r>
    </w:p>
    <w:p w14:paraId="094F506B">
      <w:pPr>
        <w:ind w:firstLine="480"/>
        <w:rPr>
          <w:lang w:eastAsia="zh-CN"/>
        </w:rPr>
      </w:pPr>
      <w:r>
        <w:rPr>
          <w:rFonts w:hint="eastAsia"/>
          <w:lang w:eastAsia="zh-CN"/>
        </w:rPr>
        <w:t>(</w:t>
      </w:r>
      <w:r>
        <w:rPr>
          <w:lang w:eastAsia="zh-CN"/>
        </w:rPr>
        <w:t>31</w:t>
      </w:r>
      <w:r>
        <w:rPr>
          <w:rFonts w:hint="eastAsia"/>
          <w:lang w:eastAsia="zh-CN"/>
        </w:rPr>
        <w:t>)</w:t>
      </w:r>
      <w:r>
        <w:rPr>
          <w:lang w:eastAsia="zh-CN"/>
        </w:rPr>
        <w:t>阳明山国有林场上一期森林经营方案；</w:t>
      </w:r>
    </w:p>
    <w:p w14:paraId="42CCC202">
      <w:pPr>
        <w:ind w:firstLine="480"/>
        <w:rPr>
          <w:lang w:eastAsia="zh-CN"/>
        </w:rPr>
      </w:pPr>
      <w:r>
        <w:rPr>
          <w:rFonts w:hint="eastAsia"/>
          <w:lang w:eastAsia="zh-CN"/>
        </w:rPr>
        <w:t>(</w:t>
      </w:r>
      <w:r>
        <w:rPr>
          <w:lang w:eastAsia="zh-CN"/>
        </w:rPr>
        <w:t>32</w:t>
      </w:r>
      <w:r>
        <w:rPr>
          <w:rFonts w:hint="eastAsia"/>
          <w:lang w:eastAsia="zh-CN"/>
        </w:rPr>
        <w:t>)</w:t>
      </w:r>
      <w:r>
        <w:rPr>
          <w:lang w:eastAsia="zh-CN"/>
        </w:rPr>
        <w:t>《湖南省林业局办公室关于印发〈湖南省森林质量精准提升建设导则〉的通知》</w:t>
      </w:r>
      <w:r>
        <w:rPr>
          <w:rFonts w:hint="eastAsia"/>
          <w:lang w:eastAsia="zh-CN"/>
        </w:rPr>
        <w:t>(</w:t>
      </w:r>
      <w:r>
        <w:rPr>
          <w:lang w:eastAsia="zh-CN"/>
        </w:rPr>
        <w:t>湘林造〔2022〕17号</w:t>
      </w:r>
      <w:r>
        <w:rPr>
          <w:rFonts w:hint="eastAsia"/>
          <w:lang w:eastAsia="zh-CN"/>
        </w:rPr>
        <w:t>)</w:t>
      </w:r>
      <w:r>
        <w:rPr>
          <w:lang w:eastAsia="zh-CN"/>
        </w:rPr>
        <w:t>。</w:t>
      </w:r>
    </w:p>
    <w:p w14:paraId="443B95DA">
      <w:pPr>
        <w:pStyle w:val="4"/>
      </w:pPr>
      <w:r>
        <w:t>3.2.2相关规划</w:t>
      </w:r>
    </w:p>
    <w:p w14:paraId="3CF09ED7">
      <w:pPr>
        <w:ind w:firstLine="480"/>
        <w:rPr>
          <w:lang w:eastAsia="zh-CN"/>
        </w:rPr>
      </w:pPr>
      <w:r>
        <w:rPr>
          <w:rFonts w:hint="eastAsia"/>
          <w:lang w:eastAsia="zh-CN"/>
        </w:rPr>
        <w:t>(</w:t>
      </w:r>
      <w:r>
        <w:rPr>
          <w:lang w:eastAsia="zh-CN"/>
        </w:rPr>
        <w:t>1</w:t>
      </w:r>
      <w:r>
        <w:rPr>
          <w:rFonts w:hint="eastAsia"/>
          <w:lang w:eastAsia="zh-CN"/>
        </w:rPr>
        <w:t>)</w:t>
      </w:r>
      <w:r>
        <w:rPr>
          <w:lang w:eastAsia="zh-CN"/>
        </w:rPr>
        <w:t>《“十四五”林业草原保护发展规划纲要》；</w:t>
      </w:r>
    </w:p>
    <w:p w14:paraId="760A855B">
      <w:pPr>
        <w:ind w:firstLine="480"/>
        <w:rPr>
          <w:lang w:eastAsia="zh-CN"/>
        </w:rPr>
      </w:pPr>
      <w:r>
        <w:rPr>
          <w:rFonts w:hint="eastAsia"/>
          <w:lang w:eastAsia="zh-CN"/>
        </w:rPr>
        <w:t>(</w:t>
      </w:r>
      <w:r>
        <w:rPr>
          <w:lang w:eastAsia="zh-CN"/>
        </w:rPr>
        <w:t>2</w:t>
      </w:r>
      <w:r>
        <w:rPr>
          <w:rFonts w:hint="eastAsia"/>
          <w:lang w:eastAsia="zh-CN"/>
        </w:rPr>
        <w:t>)</w:t>
      </w:r>
      <w:r>
        <w:rPr>
          <w:lang w:eastAsia="zh-CN"/>
        </w:rPr>
        <w:t>《全国主体功能区规划》</w:t>
      </w:r>
      <w:r>
        <w:rPr>
          <w:rFonts w:hint="eastAsia"/>
          <w:lang w:eastAsia="zh-CN"/>
        </w:rPr>
        <w:t>(</w:t>
      </w:r>
      <w:r>
        <w:rPr>
          <w:lang w:eastAsia="zh-CN"/>
        </w:rPr>
        <w:t>国发〔2010〕46号</w:t>
      </w:r>
      <w:r>
        <w:rPr>
          <w:rFonts w:hint="eastAsia"/>
          <w:lang w:eastAsia="zh-CN"/>
        </w:rPr>
        <w:t>)</w:t>
      </w:r>
      <w:r>
        <w:rPr>
          <w:lang w:eastAsia="zh-CN"/>
        </w:rPr>
        <w:t>；</w:t>
      </w:r>
    </w:p>
    <w:p w14:paraId="0CAAD971">
      <w:pPr>
        <w:ind w:firstLine="480"/>
        <w:rPr>
          <w:lang w:eastAsia="zh-CN"/>
        </w:rPr>
      </w:pPr>
      <w:r>
        <w:rPr>
          <w:rFonts w:hint="eastAsia"/>
          <w:lang w:eastAsia="zh-CN"/>
        </w:rPr>
        <w:t>(</w:t>
      </w:r>
      <w:r>
        <w:rPr>
          <w:lang w:eastAsia="zh-CN"/>
        </w:rPr>
        <w:t>3</w:t>
      </w:r>
      <w:r>
        <w:rPr>
          <w:rFonts w:hint="eastAsia"/>
          <w:lang w:eastAsia="zh-CN"/>
        </w:rPr>
        <w:t>)</w:t>
      </w:r>
      <w:r>
        <w:rPr>
          <w:lang w:eastAsia="zh-CN"/>
        </w:rPr>
        <w:t>《全国林地保护利用规划纲要</w:t>
      </w:r>
      <w:r>
        <w:rPr>
          <w:rFonts w:hint="eastAsia"/>
          <w:lang w:eastAsia="zh-CN"/>
        </w:rPr>
        <w:t>(</w:t>
      </w:r>
      <w:r>
        <w:rPr>
          <w:lang w:eastAsia="zh-CN"/>
        </w:rPr>
        <w:t>2010</w:t>
      </w:r>
      <w:r>
        <w:rPr>
          <w:rFonts w:hint="eastAsia"/>
          <w:lang w:eastAsia="zh-CN"/>
        </w:rPr>
        <w:t>—</w:t>
      </w:r>
      <w:r>
        <w:rPr>
          <w:lang w:eastAsia="zh-CN"/>
        </w:rPr>
        <w:t>2020年</w:t>
      </w:r>
      <w:r>
        <w:rPr>
          <w:rFonts w:hint="eastAsia"/>
          <w:lang w:eastAsia="zh-CN"/>
        </w:rPr>
        <w:t>)</w:t>
      </w:r>
      <w:r>
        <w:rPr>
          <w:lang w:eastAsia="zh-CN"/>
        </w:rPr>
        <w:t>》</w:t>
      </w:r>
      <w:r>
        <w:rPr>
          <w:rFonts w:hint="eastAsia"/>
          <w:lang w:eastAsia="zh-CN"/>
        </w:rPr>
        <w:t>(</w:t>
      </w:r>
      <w:r>
        <w:rPr>
          <w:lang w:eastAsia="zh-CN"/>
        </w:rPr>
        <w:t>国函〔2010〕69号</w:t>
      </w:r>
      <w:r>
        <w:rPr>
          <w:rFonts w:hint="eastAsia"/>
          <w:lang w:eastAsia="zh-CN"/>
        </w:rPr>
        <w:t>)</w:t>
      </w:r>
    </w:p>
    <w:p w14:paraId="11646E63">
      <w:pPr>
        <w:ind w:firstLine="480"/>
        <w:rPr>
          <w:lang w:eastAsia="zh-CN"/>
        </w:rPr>
      </w:pPr>
      <w:r>
        <w:rPr>
          <w:rFonts w:hint="eastAsia"/>
          <w:lang w:eastAsia="zh-CN"/>
        </w:rPr>
        <w:t>(</w:t>
      </w:r>
      <w:r>
        <w:rPr>
          <w:lang w:eastAsia="zh-CN"/>
        </w:rPr>
        <w:t>4</w:t>
      </w:r>
      <w:r>
        <w:rPr>
          <w:rFonts w:hint="eastAsia"/>
          <w:lang w:eastAsia="zh-CN"/>
        </w:rPr>
        <w:t>)</w:t>
      </w:r>
      <w:r>
        <w:rPr>
          <w:lang w:eastAsia="zh-CN"/>
        </w:rPr>
        <w:t>《中国林业发展区划》</w:t>
      </w:r>
      <w:r>
        <w:rPr>
          <w:rFonts w:hint="eastAsia"/>
          <w:lang w:eastAsia="zh-CN"/>
        </w:rPr>
        <w:t>(</w:t>
      </w:r>
      <w:r>
        <w:rPr>
          <w:lang w:eastAsia="zh-CN"/>
        </w:rPr>
        <w:t>国家林业局，2011年</w:t>
      </w:r>
      <w:r>
        <w:rPr>
          <w:rFonts w:hint="eastAsia"/>
          <w:lang w:eastAsia="zh-CN"/>
        </w:rPr>
        <w:t>)</w:t>
      </w:r>
      <w:r>
        <w:rPr>
          <w:lang w:eastAsia="zh-CN"/>
        </w:rPr>
        <w:t>；</w:t>
      </w:r>
    </w:p>
    <w:p w14:paraId="54EB977E">
      <w:pPr>
        <w:ind w:firstLine="480"/>
        <w:rPr>
          <w:lang w:eastAsia="zh-CN"/>
        </w:rPr>
      </w:pPr>
      <w:r>
        <w:rPr>
          <w:rFonts w:hint="eastAsia"/>
          <w:lang w:eastAsia="zh-CN"/>
        </w:rPr>
        <w:t>(</w:t>
      </w:r>
      <w:r>
        <w:rPr>
          <w:lang w:eastAsia="zh-CN"/>
        </w:rPr>
        <w:t>5</w:t>
      </w:r>
      <w:r>
        <w:rPr>
          <w:rFonts w:hint="eastAsia"/>
          <w:lang w:eastAsia="zh-CN"/>
        </w:rPr>
        <w:t>)</w:t>
      </w:r>
      <w:r>
        <w:rPr>
          <w:lang w:eastAsia="zh-CN"/>
        </w:rPr>
        <w:t>《湖南省主体功能区规划》</w:t>
      </w:r>
      <w:r>
        <w:rPr>
          <w:rFonts w:hint="eastAsia"/>
          <w:lang w:eastAsia="zh-CN"/>
        </w:rPr>
        <w:t>(</w:t>
      </w:r>
      <w:r>
        <w:rPr>
          <w:lang w:eastAsia="zh-CN"/>
        </w:rPr>
        <w:t>湘政发〔2012〕39号</w:t>
      </w:r>
      <w:r>
        <w:rPr>
          <w:rFonts w:hint="eastAsia"/>
          <w:lang w:eastAsia="zh-CN"/>
        </w:rPr>
        <w:t>)</w:t>
      </w:r>
      <w:r>
        <w:rPr>
          <w:lang w:eastAsia="zh-CN"/>
        </w:rPr>
        <w:t>；</w:t>
      </w:r>
    </w:p>
    <w:p w14:paraId="6D1F9A35">
      <w:pPr>
        <w:ind w:firstLine="480"/>
        <w:rPr>
          <w:lang w:eastAsia="zh-CN"/>
        </w:rPr>
      </w:pPr>
      <w:r>
        <w:rPr>
          <w:rFonts w:hint="eastAsia"/>
          <w:lang w:eastAsia="zh-CN"/>
        </w:rPr>
        <w:t>(</w:t>
      </w:r>
      <w:r>
        <w:rPr>
          <w:lang w:eastAsia="zh-CN"/>
        </w:rPr>
        <w:t>6</w:t>
      </w:r>
      <w:r>
        <w:rPr>
          <w:rFonts w:hint="eastAsia"/>
          <w:lang w:eastAsia="zh-CN"/>
        </w:rPr>
        <w:t>)</w:t>
      </w:r>
      <w:r>
        <w:rPr>
          <w:lang w:eastAsia="zh-CN"/>
        </w:rPr>
        <w:t>《全国木材战略储备生产基地建设规划</w:t>
      </w:r>
      <w:r>
        <w:rPr>
          <w:rFonts w:hint="eastAsia"/>
          <w:lang w:eastAsia="zh-CN"/>
        </w:rPr>
        <w:t>(</w:t>
      </w:r>
      <w:r>
        <w:rPr>
          <w:lang w:eastAsia="zh-CN"/>
        </w:rPr>
        <w:t>2013</w:t>
      </w:r>
      <w:r>
        <w:rPr>
          <w:rFonts w:hint="eastAsia"/>
          <w:lang w:eastAsia="zh-CN"/>
        </w:rPr>
        <w:t>—</w:t>
      </w:r>
      <w:r>
        <w:rPr>
          <w:lang w:eastAsia="zh-CN"/>
        </w:rPr>
        <w:t>2020年</w:t>
      </w:r>
      <w:r>
        <w:rPr>
          <w:rFonts w:hint="eastAsia"/>
          <w:lang w:eastAsia="zh-CN"/>
        </w:rPr>
        <w:t>)</w:t>
      </w:r>
      <w:r>
        <w:rPr>
          <w:lang w:eastAsia="zh-CN"/>
        </w:rPr>
        <w:t>》</w:t>
      </w:r>
      <w:r>
        <w:rPr>
          <w:rFonts w:hint="eastAsia"/>
          <w:lang w:eastAsia="zh-CN"/>
        </w:rPr>
        <w:t>(</w:t>
      </w:r>
      <w:r>
        <w:rPr>
          <w:lang w:eastAsia="zh-CN"/>
        </w:rPr>
        <w:t>林规〔2013〕20号</w:t>
      </w:r>
      <w:r>
        <w:rPr>
          <w:rFonts w:hint="eastAsia"/>
          <w:lang w:eastAsia="zh-CN"/>
        </w:rPr>
        <w:t>)</w:t>
      </w:r>
    </w:p>
    <w:p w14:paraId="706BD07F">
      <w:pPr>
        <w:ind w:firstLine="480"/>
        <w:rPr>
          <w:lang w:eastAsia="zh-CN"/>
        </w:rPr>
      </w:pPr>
      <w:r>
        <w:rPr>
          <w:rFonts w:hint="eastAsia"/>
          <w:lang w:eastAsia="zh-CN"/>
        </w:rPr>
        <w:t>(</w:t>
      </w:r>
      <w:r>
        <w:rPr>
          <w:lang w:eastAsia="zh-CN"/>
        </w:rPr>
        <w:t>7</w:t>
      </w:r>
      <w:r>
        <w:rPr>
          <w:rFonts w:hint="eastAsia"/>
          <w:lang w:eastAsia="zh-CN"/>
        </w:rPr>
        <w:t>)</w:t>
      </w:r>
      <w:r>
        <w:rPr>
          <w:lang w:eastAsia="zh-CN"/>
        </w:rPr>
        <w:t>《全国森林经营规划</w:t>
      </w:r>
      <w:r>
        <w:rPr>
          <w:rFonts w:hint="eastAsia"/>
          <w:lang w:eastAsia="zh-CN"/>
        </w:rPr>
        <w:t>(</w:t>
      </w:r>
      <w:r>
        <w:rPr>
          <w:lang w:eastAsia="zh-CN"/>
        </w:rPr>
        <w:t>2016</w:t>
      </w:r>
      <w:r>
        <w:rPr>
          <w:rFonts w:hint="eastAsia"/>
          <w:lang w:eastAsia="zh-CN"/>
        </w:rPr>
        <w:t>—</w:t>
      </w:r>
      <w:r>
        <w:rPr>
          <w:lang w:eastAsia="zh-CN"/>
        </w:rPr>
        <w:t>2050年</w:t>
      </w:r>
      <w:r>
        <w:rPr>
          <w:rFonts w:hint="eastAsia"/>
          <w:lang w:eastAsia="zh-CN"/>
        </w:rPr>
        <w:t>)</w:t>
      </w:r>
      <w:r>
        <w:rPr>
          <w:lang w:eastAsia="zh-CN"/>
        </w:rPr>
        <w:t>》</w:t>
      </w:r>
      <w:r>
        <w:rPr>
          <w:rFonts w:hint="eastAsia"/>
          <w:lang w:eastAsia="zh-CN"/>
        </w:rPr>
        <w:t>(</w:t>
      </w:r>
      <w:r>
        <w:rPr>
          <w:lang w:eastAsia="zh-CN"/>
        </w:rPr>
        <w:t>林规发〔2016〕88号</w:t>
      </w:r>
      <w:r>
        <w:rPr>
          <w:rFonts w:hint="eastAsia"/>
          <w:lang w:eastAsia="zh-CN"/>
        </w:rPr>
        <w:t>)</w:t>
      </w:r>
      <w:r>
        <w:rPr>
          <w:lang w:eastAsia="zh-CN"/>
        </w:rPr>
        <w:t>；</w:t>
      </w:r>
    </w:p>
    <w:p w14:paraId="732A920B">
      <w:pPr>
        <w:ind w:firstLine="480"/>
        <w:rPr>
          <w:lang w:eastAsia="zh-CN"/>
        </w:rPr>
      </w:pPr>
      <w:r>
        <w:rPr>
          <w:rFonts w:hint="eastAsia"/>
          <w:lang w:eastAsia="zh-CN"/>
        </w:rPr>
        <w:t>(</w:t>
      </w:r>
      <w:r>
        <w:rPr>
          <w:lang w:eastAsia="zh-CN"/>
        </w:rPr>
        <w:t>8</w:t>
      </w:r>
      <w:r>
        <w:rPr>
          <w:rFonts w:hint="eastAsia"/>
          <w:lang w:eastAsia="zh-CN"/>
        </w:rPr>
        <w:t>)</w:t>
      </w:r>
      <w:r>
        <w:rPr>
          <w:lang w:eastAsia="zh-CN"/>
        </w:rPr>
        <w:t>《湖南省森林经营规划</w:t>
      </w:r>
      <w:r>
        <w:rPr>
          <w:rFonts w:hint="eastAsia"/>
          <w:lang w:eastAsia="zh-CN"/>
        </w:rPr>
        <w:t>(</w:t>
      </w:r>
      <w:r>
        <w:rPr>
          <w:lang w:eastAsia="zh-CN"/>
        </w:rPr>
        <w:t>2016</w:t>
      </w:r>
      <w:r>
        <w:rPr>
          <w:rFonts w:hint="eastAsia"/>
          <w:lang w:eastAsia="zh-CN"/>
        </w:rPr>
        <w:t>—</w:t>
      </w:r>
      <w:r>
        <w:rPr>
          <w:lang w:eastAsia="zh-CN"/>
        </w:rPr>
        <w:t>2050</w:t>
      </w:r>
      <w:r>
        <w:rPr>
          <w:rFonts w:hint="eastAsia"/>
          <w:lang w:eastAsia="zh-CN"/>
        </w:rPr>
        <w:t>)</w:t>
      </w:r>
      <w:r>
        <w:rPr>
          <w:lang w:eastAsia="zh-CN"/>
        </w:rPr>
        <w:t>》</w:t>
      </w:r>
      <w:r>
        <w:rPr>
          <w:rFonts w:hint="eastAsia"/>
          <w:lang w:eastAsia="zh-CN"/>
        </w:rPr>
        <w:t>(</w:t>
      </w:r>
      <w:r>
        <w:rPr>
          <w:lang w:eastAsia="zh-CN"/>
        </w:rPr>
        <w:t>湘林造〔2018〕8号</w:t>
      </w:r>
      <w:r>
        <w:rPr>
          <w:rFonts w:hint="eastAsia"/>
          <w:lang w:eastAsia="zh-CN"/>
        </w:rPr>
        <w:t>)</w:t>
      </w:r>
      <w:r>
        <w:rPr>
          <w:lang w:eastAsia="zh-CN"/>
        </w:rPr>
        <w:t>；</w:t>
      </w:r>
    </w:p>
    <w:p w14:paraId="43319E37">
      <w:pPr>
        <w:pStyle w:val="4"/>
      </w:pPr>
      <w:r>
        <w:t>3.2.3技术规程与规定</w:t>
      </w:r>
    </w:p>
    <w:p w14:paraId="618F8550">
      <w:pPr>
        <w:ind w:firstLine="480"/>
        <w:rPr>
          <w:rFonts w:hint="default" w:ascii="Times New Roman" w:hAnsi="Times New Roman" w:cs="Times New Roman"/>
          <w:lang w:eastAsia="zh-CN"/>
        </w:rPr>
      </w:pPr>
      <w:r>
        <w:rPr>
          <w:rFonts w:hint="eastAsia" w:cs="Times New Roman"/>
          <w:lang w:eastAsia="zh-CN"/>
        </w:rPr>
        <w:t>(</w:t>
      </w:r>
      <w:r>
        <w:rPr>
          <w:rFonts w:hint="default" w:ascii="Times New Roman" w:hAnsi="Times New Roman" w:cs="Times New Roman"/>
          <w:lang w:eastAsia="zh-CN"/>
        </w:rPr>
        <w:t>1</w:t>
      </w:r>
      <w:r>
        <w:rPr>
          <w:rFonts w:hint="eastAsia" w:cs="Times New Roman"/>
          <w:lang w:eastAsia="zh-CN"/>
        </w:rPr>
        <w:t>)</w:t>
      </w:r>
      <w:r>
        <w:rPr>
          <w:rFonts w:hint="default" w:ascii="Times New Roman" w:hAnsi="Times New Roman" w:cs="Times New Roman"/>
          <w:lang w:eastAsia="zh-CN"/>
        </w:rPr>
        <w:t>《造林技术规程》</w:t>
      </w:r>
      <w:r>
        <w:rPr>
          <w:rFonts w:hint="eastAsia" w:cs="Times New Roman"/>
          <w:lang w:eastAsia="zh-CN"/>
        </w:rPr>
        <w:t>(</w:t>
      </w:r>
      <w:r>
        <w:rPr>
          <w:rFonts w:hint="default" w:ascii="Times New Roman" w:hAnsi="Times New Roman" w:cs="Times New Roman"/>
          <w:lang w:eastAsia="zh-CN"/>
        </w:rPr>
        <w:t>GB/T15776-2023</w:t>
      </w:r>
      <w:r>
        <w:rPr>
          <w:rFonts w:hint="eastAsia" w:cs="Times New Roman"/>
          <w:lang w:eastAsia="zh-CN"/>
        </w:rPr>
        <w:t>)</w:t>
      </w:r>
      <w:r>
        <w:rPr>
          <w:rFonts w:hint="default" w:ascii="Times New Roman" w:hAnsi="Times New Roman" w:cs="Times New Roman"/>
          <w:lang w:eastAsia="zh-CN"/>
        </w:rPr>
        <w:t>；</w:t>
      </w:r>
    </w:p>
    <w:p w14:paraId="59FA2607">
      <w:pPr>
        <w:ind w:firstLine="480"/>
        <w:rPr>
          <w:rFonts w:hint="default" w:ascii="Times New Roman" w:hAnsi="Times New Roman" w:cs="Times New Roman"/>
          <w:lang w:eastAsia="zh-CN"/>
        </w:rPr>
      </w:pPr>
      <w:r>
        <w:rPr>
          <w:rFonts w:hint="eastAsia" w:cs="Times New Roman"/>
          <w:lang w:eastAsia="zh-CN"/>
        </w:rPr>
        <w:t>(</w:t>
      </w:r>
      <w:r>
        <w:rPr>
          <w:rFonts w:hint="default" w:ascii="Times New Roman" w:hAnsi="Times New Roman" w:cs="Times New Roman"/>
          <w:lang w:eastAsia="zh-CN"/>
        </w:rPr>
        <w:t>2</w:t>
      </w:r>
      <w:r>
        <w:rPr>
          <w:rFonts w:hint="eastAsia" w:cs="Times New Roman"/>
          <w:lang w:eastAsia="zh-CN"/>
        </w:rPr>
        <w:t>)</w:t>
      </w:r>
      <w:r>
        <w:rPr>
          <w:rFonts w:hint="default" w:ascii="Times New Roman" w:hAnsi="Times New Roman" w:cs="Times New Roman"/>
          <w:lang w:eastAsia="zh-CN"/>
        </w:rPr>
        <w:t>《森林抚育规程》</w:t>
      </w:r>
      <w:r>
        <w:rPr>
          <w:rFonts w:hint="eastAsia" w:cs="Times New Roman"/>
          <w:lang w:eastAsia="zh-CN"/>
        </w:rPr>
        <w:t>(</w:t>
      </w:r>
      <w:r>
        <w:rPr>
          <w:rFonts w:hint="default" w:ascii="Times New Roman" w:hAnsi="Times New Roman" w:cs="Times New Roman"/>
          <w:lang w:eastAsia="zh-CN"/>
        </w:rPr>
        <w:t>GB/T15781-2015</w:t>
      </w:r>
      <w:r>
        <w:rPr>
          <w:rFonts w:hint="eastAsia" w:cs="Times New Roman"/>
          <w:lang w:eastAsia="zh-CN"/>
        </w:rPr>
        <w:t>)</w:t>
      </w:r>
      <w:r>
        <w:rPr>
          <w:rFonts w:hint="default" w:ascii="Times New Roman" w:hAnsi="Times New Roman" w:cs="Times New Roman"/>
          <w:lang w:eastAsia="zh-CN"/>
        </w:rPr>
        <w:t>；</w:t>
      </w:r>
    </w:p>
    <w:p w14:paraId="6C91BDD2">
      <w:pPr>
        <w:ind w:firstLine="480"/>
        <w:rPr>
          <w:rFonts w:hint="default" w:ascii="Times New Roman" w:hAnsi="Times New Roman" w:cs="Times New Roman"/>
          <w:lang w:eastAsia="zh-CN"/>
        </w:rPr>
      </w:pPr>
      <w:r>
        <w:rPr>
          <w:rFonts w:hint="eastAsia" w:cs="Times New Roman"/>
          <w:lang w:eastAsia="zh-CN"/>
        </w:rPr>
        <w:t>(</w:t>
      </w:r>
      <w:r>
        <w:rPr>
          <w:rFonts w:hint="default" w:ascii="Times New Roman" w:hAnsi="Times New Roman" w:cs="Times New Roman"/>
          <w:lang w:eastAsia="zh-CN"/>
        </w:rPr>
        <w:t>3</w:t>
      </w:r>
      <w:r>
        <w:rPr>
          <w:rFonts w:hint="eastAsia" w:cs="Times New Roman"/>
          <w:lang w:eastAsia="zh-CN"/>
        </w:rPr>
        <w:t>)</w:t>
      </w:r>
      <w:r>
        <w:rPr>
          <w:rFonts w:hint="default" w:ascii="Times New Roman" w:hAnsi="Times New Roman" w:cs="Times New Roman"/>
          <w:lang w:eastAsia="zh-CN"/>
        </w:rPr>
        <w:t>《封山</w:t>
      </w:r>
      <w:r>
        <w:rPr>
          <w:rFonts w:hint="eastAsia" w:cs="Times New Roman"/>
          <w:lang w:eastAsia="zh-CN"/>
        </w:rPr>
        <w:t>(</w:t>
      </w:r>
      <w:r>
        <w:rPr>
          <w:rFonts w:hint="default" w:ascii="Times New Roman" w:hAnsi="Times New Roman" w:cs="Times New Roman"/>
          <w:lang w:eastAsia="zh-CN"/>
        </w:rPr>
        <w:t>沙</w:t>
      </w:r>
      <w:r>
        <w:rPr>
          <w:rFonts w:hint="eastAsia" w:cs="Times New Roman"/>
          <w:lang w:eastAsia="zh-CN"/>
        </w:rPr>
        <w:t>)</w:t>
      </w:r>
      <w:r>
        <w:rPr>
          <w:rFonts w:hint="default" w:ascii="Times New Roman" w:hAnsi="Times New Roman" w:cs="Times New Roman"/>
          <w:lang w:eastAsia="zh-CN"/>
        </w:rPr>
        <w:t>育林技术规程》</w:t>
      </w:r>
      <w:r>
        <w:rPr>
          <w:rFonts w:hint="eastAsia" w:cs="Times New Roman"/>
          <w:lang w:eastAsia="zh-CN"/>
        </w:rPr>
        <w:t>(</w:t>
      </w:r>
      <w:r>
        <w:rPr>
          <w:rFonts w:hint="default" w:ascii="Times New Roman" w:hAnsi="Times New Roman" w:cs="Times New Roman"/>
          <w:lang w:eastAsia="zh-CN"/>
        </w:rPr>
        <w:t>GB/T15163-2018</w:t>
      </w:r>
      <w:r>
        <w:rPr>
          <w:rFonts w:hint="eastAsia" w:cs="Times New Roman"/>
          <w:lang w:eastAsia="zh-CN"/>
        </w:rPr>
        <w:t>)</w:t>
      </w:r>
      <w:r>
        <w:rPr>
          <w:rFonts w:hint="default" w:ascii="Times New Roman" w:hAnsi="Times New Roman" w:cs="Times New Roman"/>
          <w:lang w:eastAsia="zh-CN"/>
        </w:rPr>
        <w:t>；</w:t>
      </w:r>
    </w:p>
    <w:p w14:paraId="2E2C14FB">
      <w:pPr>
        <w:ind w:firstLine="480"/>
        <w:rPr>
          <w:rFonts w:hint="default" w:ascii="Times New Roman" w:hAnsi="Times New Roman" w:cs="Times New Roman"/>
          <w:lang w:eastAsia="zh-CN"/>
        </w:rPr>
      </w:pPr>
      <w:r>
        <w:rPr>
          <w:rFonts w:hint="eastAsia" w:cs="Times New Roman"/>
          <w:lang w:eastAsia="zh-CN"/>
        </w:rPr>
        <w:t>(</w:t>
      </w:r>
      <w:r>
        <w:rPr>
          <w:rFonts w:hint="default" w:ascii="Times New Roman" w:hAnsi="Times New Roman" w:cs="Times New Roman"/>
          <w:lang w:eastAsia="zh-CN"/>
        </w:rPr>
        <w:t>4</w:t>
      </w:r>
      <w:r>
        <w:rPr>
          <w:rFonts w:hint="eastAsia" w:cs="Times New Roman"/>
          <w:lang w:eastAsia="zh-CN"/>
        </w:rPr>
        <w:t>)</w:t>
      </w:r>
      <w:r>
        <w:rPr>
          <w:rFonts w:hint="default" w:ascii="Times New Roman" w:hAnsi="Times New Roman" w:cs="Times New Roman"/>
          <w:lang w:eastAsia="zh-CN"/>
        </w:rPr>
        <w:t>《生态公益林建设技术规程》</w:t>
      </w:r>
      <w:r>
        <w:rPr>
          <w:rFonts w:hint="eastAsia" w:cs="Times New Roman"/>
          <w:lang w:eastAsia="zh-CN"/>
        </w:rPr>
        <w:t>(</w:t>
      </w:r>
      <w:r>
        <w:rPr>
          <w:rFonts w:hint="default" w:ascii="Times New Roman" w:hAnsi="Times New Roman" w:cs="Times New Roman"/>
          <w:lang w:eastAsia="zh-CN"/>
        </w:rPr>
        <w:t>GB/T18337.3-2001</w:t>
      </w:r>
      <w:r>
        <w:rPr>
          <w:rFonts w:hint="eastAsia" w:cs="Times New Roman"/>
          <w:lang w:eastAsia="zh-CN"/>
        </w:rPr>
        <w:t>)</w:t>
      </w:r>
      <w:r>
        <w:rPr>
          <w:rFonts w:hint="default" w:ascii="Times New Roman" w:hAnsi="Times New Roman" w:cs="Times New Roman"/>
          <w:lang w:eastAsia="zh-CN"/>
        </w:rPr>
        <w:t>；</w:t>
      </w:r>
    </w:p>
    <w:p w14:paraId="6C2DA60A">
      <w:pPr>
        <w:ind w:firstLine="480"/>
        <w:rPr>
          <w:rFonts w:hint="default" w:ascii="Times New Roman" w:hAnsi="Times New Roman" w:cs="Times New Roman"/>
          <w:lang w:eastAsia="zh-CN"/>
        </w:rPr>
      </w:pPr>
      <w:r>
        <w:rPr>
          <w:rFonts w:hint="eastAsia" w:cs="Times New Roman"/>
          <w:lang w:eastAsia="zh-CN"/>
        </w:rPr>
        <w:t>(</w:t>
      </w:r>
      <w:r>
        <w:rPr>
          <w:rFonts w:hint="default" w:ascii="Times New Roman" w:hAnsi="Times New Roman" w:cs="Times New Roman"/>
          <w:lang w:eastAsia="zh-CN"/>
        </w:rPr>
        <w:t>5</w:t>
      </w:r>
      <w:r>
        <w:rPr>
          <w:rFonts w:hint="eastAsia" w:cs="Times New Roman"/>
          <w:lang w:eastAsia="zh-CN"/>
        </w:rPr>
        <w:t>)</w:t>
      </w:r>
      <w:r>
        <w:rPr>
          <w:rFonts w:hint="default" w:ascii="Times New Roman" w:hAnsi="Times New Roman" w:cs="Times New Roman"/>
          <w:lang w:eastAsia="zh-CN"/>
        </w:rPr>
        <w:t>《退化防护林修复技术规程》</w:t>
      </w:r>
      <w:r>
        <w:rPr>
          <w:rFonts w:hint="eastAsia" w:cs="Times New Roman"/>
          <w:lang w:eastAsia="zh-CN"/>
        </w:rPr>
        <w:t>(</w:t>
      </w:r>
      <w:r>
        <w:rPr>
          <w:rFonts w:hint="default" w:ascii="Times New Roman" w:hAnsi="Times New Roman" w:cs="Times New Roman"/>
          <w:lang w:eastAsia="zh-CN"/>
        </w:rPr>
        <w:t>LY/T3179-2020</w:t>
      </w:r>
      <w:r>
        <w:rPr>
          <w:rFonts w:hint="eastAsia" w:cs="Times New Roman"/>
          <w:lang w:eastAsia="zh-CN"/>
        </w:rPr>
        <w:t>)</w:t>
      </w:r>
      <w:r>
        <w:rPr>
          <w:rFonts w:hint="default" w:ascii="Times New Roman" w:hAnsi="Times New Roman" w:cs="Times New Roman"/>
          <w:lang w:eastAsia="zh-CN"/>
        </w:rPr>
        <w:t>；</w:t>
      </w:r>
    </w:p>
    <w:p w14:paraId="2E47CB10">
      <w:pPr>
        <w:ind w:firstLine="480"/>
        <w:rPr>
          <w:rFonts w:hint="default" w:ascii="Times New Roman" w:hAnsi="Times New Roman" w:cs="Times New Roman"/>
          <w:lang w:eastAsia="zh-CN"/>
        </w:rPr>
      </w:pPr>
      <w:r>
        <w:rPr>
          <w:rFonts w:hint="eastAsia" w:cs="Times New Roman"/>
          <w:lang w:eastAsia="zh-CN"/>
        </w:rPr>
        <w:t>(</w:t>
      </w:r>
      <w:r>
        <w:rPr>
          <w:rFonts w:hint="default" w:ascii="Times New Roman" w:hAnsi="Times New Roman" w:cs="Times New Roman"/>
          <w:lang w:eastAsia="zh-CN"/>
        </w:rPr>
        <w:t>6</w:t>
      </w:r>
      <w:r>
        <w:rPr>
          <w:rFonts w:hint="eastAsia" w:cs="Times New Roman"/>
          <w:lang w:eastAsia="zh-CN"/>
        </w:rPr>
        <w:t>)</w:t>
      </w:r>
      <w:r>
        <w:rPr>
          <w:rFonts w:hint="default" w:ascii="Times New Roman" w:hAnsi="Times New Roman" w:cs="Times New Roman"/>
          <w:lang w:eastAsia="zh-CN"/>
        </w:rPr>
        <w:t>《森林采伐作业规程》</w:t>
      </w:r>
      <w:r>
        <w:rPr>
          <w:rFonts w:hint="eastAsia" w:cs="Times New Roman"/>
          <w:lang w:eastAsia="zh-CN"/>
        </w:rPr>
        <w:t>(</w:t>
      </w:r>
      <w:r>
        <w:rPr>
          <w:rFonts w:hint="default" w:ascii="Times New Roman" w:hAnsi="Times New Roman" w:cs="Times New Roman"/>
          <w:lang w:eastAsia="zh-CN"/>
        </w:rPr>
        <w:t>LY/T1646-2005</w:t>
      </w:r>
      <w:r>
        <w:rPr>
          <w:rFonts w:hint="eastAsia" w:cs="Times New Roman"/>
          <w:lang w:eastAsia="zh-CN"/>
        </w:rPr>
        <w:t>)</w:t>
      </w:r>
      <w:r>
        <w:rPr>
          <w:rFonts w:hint="default" w:ascii="Times New Roman" w:hAnsi="Times New Roman" w:cs="Times New Roman"/>
          <w:lang w:eastAsia="zh-CN"/>
        </w:rPr>
        <w:t>；</w:t>
      </w:r>
    </w:p>
    <w:p w14:paraId="1346015A">
      <w:pPr>
        <w:ind w:firstLine="480"/>
        <w:rPr>
          <w:rFonts w:hint="default" w:ascii="Times New Roman" w:hAnsi="Times New Roman" w:cs="Times New Roman"/>
          <w:lang w:eastAsia="zh-CN"/>
        </w:rPr>
      </w:pPr>
      <w:r>
        <w:rPr>
          <w:rFonts w:hint="eastAsia" w:cs="Times New Roman"/>
          <w:lang w:eastAsia="zh-CN"/>
        </w:rPr>
        <w:t>(</w:t>
      </w:r>
      <w:r>
        <w:rPr>
          <w:rFonts w:hint="default" w:ascii="Times New Roman" w:hAnsi="Times New Roman" w:cs="Times New Roman"/>
          <w:lang w:eastAsia="zh-CN"/>
        </w:rPr>
        <w:t>7</w:t>
      </w:r>
      <w:r>
        <w:rPr>
          <w:rFonts w:hint="eastAsia" w:cs="Times New Roman"/>
          <w:lang w:eastAsia="zh-CN"/>
        </w:rPr>
        <w:t>)</w:t>
      </w:r>
      <w:r>
        <w:rPr>
          <w:rFonts w:hint="default" w:ascii="Times New Roman" w:hAnsi="Times New Roman" w:cs="Times New Roman"/>
          <w:lang w:eastAsia="zh-CN"/>
        </w:rPr>
        <w:t>《森林防火工程技术标准》</w:t>
      </w:r>
      <w:r>
        <w:rPr>
          <w:rFonts w:hint="eastAsia" w:cs="Times New Roman"/>
          <w:lang w:eastAsia="zh-CN"/>
        </w:rPr>
        <w:t>(</w:t>
      </w:r>
      <w:r>
        <w:rPr>
          <w:rFonts w:hint="default" w:ascii="Times New Roman" w:hAnsi="Times New Roman" w:cs="Times New Roman"/>
          <w:lang w:eastAsia="zh-CN"/>
        </w:rPr>
        <w:t>LYJ127-2012</w:t>
      </w:r>
      <w:r>
        <w:rPr>
          <w:rFonts w:hint="eastAsia" w:cs="Times New Roman"/>
          <w:lang w:eastAsia="zh-CN"/>
        </w:rPr>
        <w:t>)</w:t>
      </w:r>
      <w:r>
        <w:rPr>
          <w:rFonts w:hint="default" w:ascii="Times New Roman" w:hAnsi="Times New Roman" w:cs="Times New Roman"/>
          <w:lang w:eastAsia="zh-CN"/>
        </w:rPr>
        <w:t>；</w:t>
      </w:r>
    </w:p>
    <w:p w14:paraId="7FAE99AE">
      <w:pPr>
        <w:ind w:firstLine="480"/>
        <w:rPr>
          <w:rFonts w:hint="default" w:ascii="Times New Roman" w:hAnsi="Times New Roman" w:cs="Times New Roman"/>
          <w:lang w:eastAsia="zh-CN"/>
        </w:rPr>
      </w:pPr>
      <w:r>
        <w:rPr>
          <w:rFonts w:hint="eastAsia" w:cs="Times New Roman"/>
          <w:lang w:eastAsia="zh-CN"/>
        </w:rPr>
        <w:t>(</w:t>
      </w:r>
      <w:r>
        <w:rPr>
          <w:rFonts w:hint="default" w:ascii="Times New Roman" w:hAnsi="Times New Roman" w:cs="Times New Roman"/>
          <w:lang w:eastAsia="zh-CN"/>
        </w:rPr>
        <w:t>8</w:t>
      </w:r>
      <w:r>
        <w:rPr>
          <w:rFonts w:hint="eastAsia" w:cs="Times New Roman"/>
          <w:lang w:eastAsia="zh-CN"/>
        </w:rPr>
        <w:t>)</w:t>
      </w:r>
      <w:r>
        <w:rPr>
          <w:rFonts w:hint="default" w:ascii="Times New Roman" w:hAnsi="Times New Roman" w:cs="Times New Roman"/>
          <w:lang w:eastAsia="zh-CN"/>
        </w:rPr>
        <w:t>《主要树种龄级与龄组划分》</w:t>
      </w:r>
      <w:r>
        <w:rPr>
          <w:rFonts w:hint="eastAsia" w:cs="Times New Roman"/>
          <w:lang w:eastAsia="zh-CN"/>
        </w:rPr>
        <w:t>(</w:t>
      </w:r>
      <w:r>
        <w:rPr>
          <w:rFonts w:hint="default" w:ascii="Times New Roman" w:hAnsi="Times New Roman" w:cs="Times New Roman"/>
          <w:lang w:eastAsia="zh-CN"/>
        </w:rPr>
        <w:t>LY/T2908-2017</w:t>
      </w:r>
      <w:r>
        <w:rPr>
          <w:rFonts w:hint="eastAsia" w:cs="Times New Roman"/>
          <w:lang w:eastAsia="zh-CN"/>
        </w:rPr>
        <w:t>)</w:t>
      </w:r>
      <w:r>
        <w:rPr>
          <w:rFonts w:hint="default" w:ascii="Times New Roman" w:hAnsi="Times New Roman" w:cs="Times New Roman"/>
          <w:lang w:eastAsia="zh-CN"/>
        </w:rPr>
        <w:t>；</w:t>
      </w:r>
    </w:p>
    <w:p w14:paraId="684AAD0F">
      <w:pPr>
        <w:ind w:firstLine="480"/>
        <w:rPr>
          <w:rFonts w:hint="default" w:ascii="Times New Roman" w:hAnsi="Times New Roman" w:cs="Times New Roman"/>
          <w:lang w:eastAsia="zh-CN"/>
        </w:rPr>
      </w:pPr>
      <w:r>
        <w:rPr>
          <w:rFonts w:hint="eastAsia" w:cs="Times New Roman"/>
          <w:lang w:eastAsia="zh-CN"/>
        </w:rPr>
        <w:t>(</w:t>
      </w:r>
      <w:r>
        <w:rPr>
          <w:rFonts w:hint="default" w:ascii="Times New Roman" w:hAnsi="Times New Roman" w:cs="Times New Roman"/>
          <w:lang w:eastAsia="zh-CN"/>
        </w:rPr>
        <w:t>9</w:t>
      </w:r>
      <w:r>
        <w:rPr>
          <w:rFonts w:hint="eastAsia" w:cs="Times New Roman"/>
          <w:lang w:eastAsia="zh-CN"/>
        </w:rPr>
        <w:t>)</w:t>
      </w:r>
      <w:r>
        <w:rPr>
          <w:rFonts w:hint="default" w:ascii="Times New Roman" w:hAnsi="Times New Roman" w:cs="Times New Roman"/>
          <w:lang w:eastAsia="zh-CN"/>
        </w:rPr>
        <w:t>《国有林场森林经营方案编制指南》</w:t>
      </w:r>
      <w:r>
        <w:rPr>
          <w:rFonts w:hint="eastAsia" w:cs="Times New Roman"/>
          <w:lang w:eastAsia="zh-CN"/>
        </w:rPr>
        <w:t>(</w:t>
      </w:r>
      <w:r>
        <w:rPr>
          <w:rFonts w:hint="default" w:ascii="Times New Roman" w:hAnsi="Times New Roman" w:cs="Times New Roman"/>
          <w:lang w:eastAsia="zh-CN"/>
        </w:rPr>
        <w:t>场改函〔2023〕31号</w:t>
      </w:r>
      <w:r>
        <w:rPr>
          <w:rFonts w:hint="eastAsia" w:cs="Times New Roman"/>
          <w:lang w:eastAsia="zh-CN"/>
        </w:rPr>
        <w:t>)</w:t>
      </w:r>
      <w:r>
        <w:rPr>
          <w:rFonts w:hint="default" w:ascii="Times New Roman" w:hAnsi="Times New Roman" w:cs="Times New Roman"/>
          <w:lang w:eastAsia="zh-CN"/>
        </w:rPr>
        <w:t>；</w:t>
      </w:r>
    </w:p>
    <w:p w14:paraId="13DDF43D">
      <w:pPr>
        <w:ind w:firstLine="480"/>
        <w:rPr>
          <w:rFonts w:hint="default" w:ascii="Times New Roman" w:hAnsi="Times New Roman" w:cs="Times New Roman"/>
          <w:lang w:eastAsia="zh-CN"/>
        </w:rPr>
      </w:pPr>
      <w:r>
        <w:rPr>
          <w:rFonts w:hint="eastAsia" w:cs="Times New Roman"/>
          <w:lang w:eastAsia="zh-CN"/>
        </w:rPr>
        <w:t>(</w:t>
      </w:r>
      <w:r>
        <w:rPr>
          <w:rFonts w:hint="default" w:ascii="Times New Roman" w:hAnsi="Times New Roman" w:cs="Times New Roman"/>
          <w:lang w:eastAsia="zh-CN"/>
        </w:rPr>
        <w:t>10</w:t>
      </w:r>
      <w:r>
        <w:rPr>
          <w:rFonts w:hint="eastAsia" w:cs="Times New Roman"/>
          <w:lang w:eastAsia="zh-CN"/>
        </w:rPr>
        <w:t>)</w:t>
      </w:r>
      <w:r>
        <w:rPr>
          <w:rFonts w:hint="default" w:ascii="Times New Roman" w:hAnsi="Times New Roman" w:cs="Times New Roman"/>
          <w:lang w:eastAsia="zh-CN"/>
        </w:rPr>
        <w:t>《近自然森林可持续经营技术规程》</w:t>
      </w:r>
      <w:r>
        <w:rPr>
          <w:rFonts w:hint="eastAsia" w:cs="Times New Roman"/>
          <w:lang w:eastAsia="zh-CN"/>
        </w:rPr>
        <w:t>(</w:t>
      </w:r>
      <w:r>
        <w:rPr>
          <w:rFonts w:hint="default" w:ascii="Times New Roman" w:hAnsi="Times New Roman" w:cs="Times New Roman"/>
          <w:lang w:eastAsia="zh-CN"/>
        </w:rPr>
        <w:t>DB43/T1027-2015</w:t>
      </w:r>
      <w:r>
        <w:rPr>
          <w:rFonts w:hint="eastAsia" w:cs="Times New Roman"/>
          <w:lang w:eastAsia="zh-CN"/>
        </w:rPr>
        <w:t>)</w:t>
      </w:r>
      <w:r>
        <w:rPr>
          <w:rFonts w:hint="default" w:ascii="Times New Roman" w:hAnsi="Times New Roman" w:cs="Times New Roman"/>
          <w:lang w:eastAsia="zh-CN"/>
        </w:rPr>
        <w:t>；</w:t>
      </w:r>
    </w:p>
    <w:p w14:paraId="44EF8F31">
      <w:pPr>
        <w:ind w:firstLine="480"/>
        <w:rPr>
          <w:rFonts w:hint="default" w:ascii="Times New Roman" w:hAnsi="Times New Roman" w:cs="Times New Roman"/>
          <w:lang w:eastAsia="zh-CN"/>
        </w:rPr>
      </w:pPr>
      <w:r>
        <w:rPr>
          <w:rFonts w:hint="eastAsia" w:cs="Times New Roman"/>
          <w:lang w:eastAsia="zh-CN"/>
        </w:rPr>
        <w:t>(</w:t>
      </w:r>
      <w:r>
        <w:rPr>
          <w:rFonts w:hint="default" w:ascii="Times New Roman" w:hAnsi="Times New Roman" w:cs="Times New Roman"/>
          <w:lang w:eastAsia="zh-CN"/>
        </w:rPr>
        <w:t>11</w:t>
      </w:r>
      <w:r>
        <w:rPr>
          <w:rFonts w:hint="eastAsia" w:cs="Times New Roman"/>
          <w:lang w:eastAsia="zh-CN"/>
        </w:rPr>
        <w:t>)</w:t>
      </w:r>
      <w:r>
        <w:rPr>
          <w:rFonts w:hint="default" w:ascii="Times New Roman" w:hAnsi="Times New Roman" w:cs="Times New Roman"/>
          <w:lang w:eastAsia="zh-CN"/>
        </w:rPr>
        <w:t>《南方集体林区天然次生林近自然森林经营技术规程》</w:t>
      </w:r>
      <w:r>
        <w:rPr>
          <w:rFonts w:hint="eastAsia" w:cs="Times New Roman"/>
          <w:lang w:eastAsia="zh-CN"/>
        </w:rPr>
        <w:t>(</w:t>
      </w:r>
      <w:r>
        <w:rPr>
          <w:rFonts w:hint="default" w:ascii="Times New Roman" w:hAnsi="Times New Roman" w:cs="Times New Roman"/>
          <w:lang w:eastAsia="zh-CN"/>
        </w:rPr>
        <w:t>LY/T2957-2018</w:t>
      </w:r>
      <w:r>
        <w:rPr>
          <w:rFonts w:hint="eastAsia" w:cs="Times New Roman"/>
          <w:lang w:eastAsia="zh-CN"/>
        </w:rPr>
        <w:t>)</w:t>
      </w:r>
      <w:r>
        <w:rPr>
          <w:rFonts w:hint="default" w:ascii="Times New Roman" w:hAnsi="Times New Roman" w:cs="Times New Roman"/>
          <w:lang w:eastAsia="zh-CN"/>
        </w:rPr>
        <w:t>；</w:t>
      </w:r>
    </w:p>
    <w:p w14:paraId="35552C22">
      <w:pPr>
        <w:ind w:firstLine="480"/>
        <w:rPr>
          <w:rFonts w:hint="default" w:ascii="Times New Roman" w:hAnsi="Times New Roman" w:cs="Times New Roman"/>
          <w:lang w:eastAsia="zh-CN"/>
        </w:rPr>
      </w:pPr>
      <w:r>
        <w:rPr>
          <w:rFonts w:hint="eastAsia" w:cs="Times New Roman"/>
          <w:lang w:eastAsia="zh-CN"/>
        </w:rPr>
        <w:t>(</w:t>
      </w:r>
      <w:r>
        <w:rPr>
          <w:rFonts w:hint="default" w:ascii="Times New Roman" w:hAnsi="Times New Roman" w:cs="Times New Roman"/>
          <w:lang w:eastAsia="zh-CN"/>
        </w:rPr>
        <w:t>12</w:t>
      </w:r>
      <w:r>
        <w:rPr>
          <w:rFonts w:hint="eastAsia" w:cs="Times New Roman"/>
          <w:lang w:eastAsia="zh-CN"/>
        </w:rPr>
        <w:t>)</w:t>
      </w:r>
      <w:r>
        <w:rPr>
          <w:rFonts w:hint="default" w:ascii="Times New Roman" w:hAnsi="Times New Roman" w:cs="Times New Roman"/>
          <w:lang w:eastAsia="zh-CN"/>
        </w:rPr>
        <w:t>《国土空间调查、规划、用途管制用地用海分类指南</w:t>
      </w:r>
      <w:r>
        <w:rPr>
          <w:rFonts w:hint="eastAsia" w:cs="Times New Roman"/>
          <w:lang w:eastAsia="zh-CN"/>
        </w:rPr>
        <w:t>(</w:t>
      </w:r>
      <w:r>
        <w:rPr>
          <w:rFonts w:hint="default" w:ascii="Times New Roman" w:hAnsi="Times New Roman" w:cs="Times New Roman"/>
          <w:lang w:eastAsia="zh-CN"/>
        </w:rPr>
        <w:t>试行</w:t>
      </w:r>
      <w:r>
        <w:rPr>
          <w:rFonts w:hint="eastAsia" w:cs="Times New Roman"/>
          <w:lang w:eastAsia="zh-CN"/>
        </w:rPr>
        <w:t>)</w:t>
      </w:r>
      <w:r>
        <w:rPr>
          <w:rFonts w:hint="default" w:ascii="Times New Roman" w:hAnsi="Times New Roman" w:cs="Times New Roman"/>
          <w:lang w:eastAsia="zh-CN"/>
        </w:rPr>
        <w:t>》</w:t>
      </w:r>
      <w:r>
        <w:rPr>
          <w:rFonts w:hint="eastAsia" w:cs="Times New Roman"/>
          <w:lang w:eastAsia="zh-CN"/>
        </w:rPr>
        <w:t>(</w:t>
      </w:r>
      <w:r>
        <w:rPr>
          <w:rFonts w:hint="default" w:ascii="Times New Roman" w:hAnsi="Times New Roman" w:cs="Times New Roman"/>
          <w:lang w:eastAsia="zh-CN"/>
        </w:rPr>
        <w:t>自然资办发〔2020〕51号</w:t>
      </w:r>
      <w:r>
        <w:rPr>
          <w:rFonts w:hint="eastAsia" w:cs="Times New Roman"/>
          <w:lang w:eastAsia="zh-CN"/>
        </w:rPr>
        <w:t>)</w:t>
      </w:r>
      <w:r>
        <w:rPr>
          <w:rFonts w:hint="default" w:ascii="Times New Roman" w:hAnsi="Times New Roman" w:cs="Times New Roman"/>
          <w:lang w:eastAsia="zh-CN"/>
        </w:rPr>
        <w:t>；</w:t>
      </w:r>
    </w:p>
    <w:p w14:paraId="1F8AEC52">
      <w:pPr>
        <w:ind w:firstLine="480"/>
        <w:rPr>
          <w:rFonts w:hint="default" w:ascii="Times New Roman" w:hAnsi="Times New Roman" w:cs="Times New Roman"/>
          <w:lang w:eastAsia="zh-CN"/>
        </w:rPr>
      </w:pPr>
      <w:r>
        <w:rPr>
          <w:rFonts w:hint="eastAsia" w:cs="Times New Roman"/>
          <w:lang w:eastAsia="zh-CN"/>
        </w:rPr>
        <w:t>(</w:t>
      </w:r>
      <w:r>
        <w:rPr>
          <w:rFonts w:hint="default" w:ascii="Times New Roman" w:hAnsi="Times New Roman" w:cs="Times New Roman"/>
          <w:lang w:eastAsia="zh-CN"/>
        </w:rPr>
        <w:t>13</w:t>
      </w:r>
      <w:r>
        <w:rPr>
          <w:rFonts w:hint="eastAsia" w:cs="Times New Roman"/>
          <w:lang w:eastAsia="zh-CN"/>
        </w:rPr>
        <w:t>)</w:t>
      </w:r>
      <w:r>
        <w:rPr>
          <w:rFonts w:hint="default" w:ascii="Times New Roman" w:hAnsi="Times New Roman" w:cs="Times New Roman"/>
          <w:lang w:eastAsia="zh-CN"/>
        </w:rPr>
        <w:t>《湖南省林木采伐伐区调查设计技术规定》</w:t>
      </w:r>
      <w:r>
        <w:rPr>
          <w:rFonts w:hint="eastAsia" w:cs="Times New Roman"/>
          <w:lang w:eastAsia="zh-CN"/>
        </w:rPr>
        <w:t>(</w:t>
      </w:r>
      <w:r>
        <w:rPr>
          <w:rFonts w:hint="default" w:ascii="Times New Roman" w:hAnsi="Times New Roman" w:cs="Times New Roman"/>
          <w:lang w:eastAsia="zh-CN"/>
        </w:rPr>
        <w:t>湘林字〔2017〕16号</w:t>
      </w:r>
      <w:r>
        <w:rPr>
          <w:rFonts w:hint="eastAsia" w:cs="Times New Roman"/>
          <w:lang w:eastAsia="zh-CN"/>
        </w:rPr>
        <w:t>)</w:t>
      </w:r>
      <w:r>
        <w:rPr>
          <w:rFonts w:hint="default" w:ascii="Times New Roman" w:hAnsi="Times New Roman" w:cs="Times New Roman"/>
          <w:lang w:eastAsia="zh-CN"/>
        </w:rPr>
        <w:t>；</w:t>
      </w:r>
    </w:p>
    <w:p w14:paraId="2F98C2B5">
      <w:pPr>
        <w:ind w:firstLine="480"/>
        <w:rPr>
          <w:rFonts w:hint="default" w:ascii="Times New Roman" w:hAnsi="Times New Roman" w:cs="Times New Roman"/>
          <w:lang w:eastAsia="zh-CN"/>
        </w:rPr>
      </w:pPr>
      <w:r>
        <w:rPr>
          <w:rFonts w:hint="eastAsia" w:cs="Times New Roman"/>
          <w:lang w:eastAsia="zh-CN"/>
        </w:rPr>
        <w:t>(</w:t>
      </w:r>
      <w:r>
        <w:rPr>
          <w:rFonts w:hint="default" w:ascii="Times New Roman" w:hAnsi="Times New Roman" w:cs="Times New Roman"/>
          <w:lang w:eastAsia="zh-CN"/>
        </w:rPr>
        <w:t>14</w:t>
      </w:r>
      <w:r>
        <w:rPr>
          <w:rFonts w:hint="eastAsia" w:cs="Times New Roman"/>
          <w:lang w:eastAsia="zh-CN"/>
        </w:rPr>
        <w:t>)</w:t>
      </w:r>
      <w:r>
        <w:rPr>
          <w:rFonts w:hint="default" w:ascii="Times New Roman" w:hAnsi="Times New Roman" w:cs="Times New Roman"/>
          <w:lang w:eastAsia="zh-CN"/>
        </w:rPr>
        <w:t>《毛竹丰产林培育技术规范》</w:t>
      </w:r>
      <w:r>
        <w:rPr>
          <w:rFonts w:hint="eastAsia" w:cs="Times New Roman"/>
          <w:lang w:eastAsia="zh-CN"/>
        </w:rPr>
        <w:t>(</w:t>
      </w:r>
      <w:r>
        <w:rPr>
          <w:rFonts w:hint="default" w:ascii="Times New Roman" w:hAnsi="Times New Roman" w:cs="Times New Roman"/>
          <w:lang w:eastAsia="zh-CN"/>
        </w:rPr>
        <w:t>DB43/T341</w:t>
      </w:r>
      <w:r>
        <w:rPr>
          <w:rFonts w:hint="eastAsia" w:cs="Times New Roman"/>
          <w:lang w:eastAsia="zh-CN"/>
        </w:rPr>
        <w:t>)</w:t>
      </w:r>
      <w:r>
        <w:rPr>
          <w:rFonts w:hint="default" w:ascii="Times New Roman" w:hAnsi="Times New Roman" w:cs="Times New Roman"/>
          <w:lang w:eastAsia="zh-CN"/>
        </w:rPr>
        <w:t>；</w:t>
      </w:r>
    </w:p>
    <w:p w14:paraId="2EFAA10E">
      <w:pPr>
        <w:ind w:firstLine="480"/>
        <w:rPr>
          <w:rFonts w:hint="default" w:ascii="Times New Roman" w:hAnsi="Times New Roman" w:cs="Times New Roman"/>
          <w:lang w:eastAsia="zh-CN"/>
        </w:rPr>
      </w:pPr>
      <w:r>
        <w:rPr>
          <w:rFonts w:hint="default" w:ascii="Times New Roman" w:hAnsi="Times New Roman" w:cs="Times New Roman"/>
          <w:lang w:eastAsia="zh-CN"/>
        </w:rPr>
        <w:t>(</w:t>
      </w:r>
      <w:r>
        <w:rPr>
          <w:rFonts w:hint="default" w:ascii="Times New Roman" w:hAnsi="Times New Roman" w:cs="Times New Roman"/>
          <w:lang w:val="en-US" w:eastAsia="zh-CN"/>
        </w:rPr>
        <w:t>15)</w:t>
      </w:r>
      <w:r>
        <w:rPr>
          <w:rFonts w:hint="default" w:ascii="Times New Roman" w:hAnsi="Times New Roman" w:cs="Times New Roman"/>
          <w:lang w:eastAsia="zh-CN"/>
        </w:rPr>
        <w:t>《国家级森林公园总体规划规范》(中华人民共和国林业行业标准LY/T 2005-2012)；</w:t>
      </w:r>
    </w:p>
    <w:p w14:paraId="695E301D">
      <w:pPr>
        <w:ind w:firstLine="480"/>
        <w:rPr>
          <w:rFonts w:hint="default" w:ascii="Times New Roman" w:hAnsi="Times New Roman" w:cs="Times New Roman"/>
          <w:lang w:eastAsia="zh-CN"/>
        </w:rPr>
      </w:pPr>
      <w:r>
        <w:rPr>
          <w:rFonts w:hint="default" w:ascii="Times New Roman" w:hAnsi="Times New Roman" w:cs="Times New Roman"/>
          <w:lang w:eastAsia="zh-CN"/>
        </w:rPr>
        <w:t>(</w:t>
      </w:r>
      <w:r>
        <w:rPr>
          <w:rFonts w:hint="default" w:ascii="Times New Roman" w:hAnsi="Times New Roman" w:cs="Times New Roman"/>
          <w:lang w:val="en-US" w:eastAsia="zh-CN"/>
        </w:rPr>
        <w:t>16</w:t>
      </w:r>
      <w:r>
        <w:rPr>
          <w:rFonts w:hint="default" w:ascii="Times New Roman" w:hAnsi="Times New Roman" w:cs="Times New Roman"/>
          <w:lang w:eastAsia="zh-CN"/>
        </w:rPr>
        <w:t>)《旅游规划通则》(GB/T18971-2003)；</w:t>
      </w:r>
    </w:p>
    <w:p w14:paraId="7625FB50">
      <w:pPr>
        <w:ind w:firstLine="480"/>
        <w:rPr>
          <w:rFonts w:hint="default" w:ascii="Times New Roman" w:hAnsi="Times New Roman" w:cs="Times New Roman"/>
          <w:lang w:eastAsia="zh-CN"/>
        </w:rPr>
      </w:pPr>
      <w:r>
        <w:rPr>
          <w:rFonts w:hint="default" w:ascii="Times New Roman" w:hAnsi="Times New Roman" w:cs="Times New Roman"/>
          <w:lang w:eastAsia="zh-CN"/>
        </w:rPr>
        <w:t>(</w:t>
      </w:r>
      <w:r>
        <w:rPr>
          <w:rFonts w:hint="default" w:ascii="Times New Roman" w:hAnsi="Times New Roman" w:cs="Times New Roman"/>
          <w:lang w:val="en-US" w:eastAsia="zh-CN"/>
        </w:rPr>
        <w:t>17</w:t>
      </w:r>
      <w:r>
        <w:rPr>
          <w:rFonts w:hint="default" w:ascii="Times New Roman" w:hAnsi="Times New Roman" w:cs="Times New Roman"/>
          <w:lang w:eastAsia="zh-CN"/>
        </w:rPr>
        <w:t>)《国家康养旅游示范基地》</w:t>
      </w:r>
      <w:r>
        <w:rPr>
          <w:rFonts w:hint="eastAsia" w:cs="Times New Roman"/>
          <w:lang w:eastAsia="zh-CN"/>
        </w:rPr>
        <w:t>(</w:t>
      </w:r>
      <w:r>
        <w:rPr>
          <w:rFonts w:hint="default" w:ascii="Times New Roman" w:hAnsi="Times New Roman" w:cs="Times New Roman"/>
          <w:lang w:eastAsia="zh-CN"/>
        </w:rPr>
        <w:t>LB/T051-2016</w:t>
      </w:r>
      <w:r>
        <w:rPr>
          <w:rFonts w:hint="eastAsia" w:cs="Times New Roman"/>
          <w:lang w:eastAsia="zh-CN"/>
        </w:rPr>
        <w:t>)</w:t>
      </w:r>
      <w:r>
        <w:rPr>
          <w:rFonts w:hint="default" w:ascii="Times New Roman" w:hAnsi="Times New Roman" w:cs="Times New Roman"/>
          <w:lang w:eastAsia="zh-CN"/>
        </w:rPr>
        <w:t>。</w:t>
      </w:r>
    </w:p>
    <w:p w14:paraId="12726715">
      <w:pPr>
        <w:ind w:firstLine="480"/>
        <w:rPr>
          <w:rFonts w:hint="default" w:ascii="Times New Roman" w:hAnsi="Times New Roman" w:cs="Times New Roman"/>
          <w:lang w:eastAsia="zh-CN"/>
        </w:rPr>
      </w:pPr>
      <w:r>
        <w:rPr>
          <w:rFonts w:hint="eastAsia" w:cs="Times New Roman"/>
          <w:lang w:eastAsia="zh-CN"/>
        </w:rPr>
        <w:t>(</w:t>
      </w:r>
      <w:r>
        <w:rPr>
          <w:rFonts w:hint="default" w:ascii="Times New Roman" w:hAnsi="Times New Roman" w:cs="Times New Roman"/>
          <w:lang w:eastAsia="zh-CN"/>
        </w:rPr>
        <w:t>1</w:t>
      </w:r>
      <w:r>
        <w:rPr>
          <w:rFonts w:hint="default" w:ascii="Times New Roman" w:hAnsi="Times New Roman" w:cs="Times New Roman"/>
          <w:lang w:val="en-US" w:eastAsia="zh-CN"/>
        </w:rPr>
        <w:t>8</w:t>
      </w:r>
      <w:r>
        <w:rPr>
          <w:rFonts w:hint="eastAsia" w:cs="Times New Roman"/>
          <w:lang w:eastAsia="zh-CN"/>
        </w:rPr>
        <w:t>)</w:t>
      </w:r>
      <w:r>
        <w:rPr>
          <w:rFonts w:hint="default" w:ascii="Times New Roman" w:hAnsi="Times New Roman" w:cs="Times New Roman"/>
          <w:lang w:eastAsia="zh-CN"/>
        </w:rPr>
        <w:t>其他规程规范。</w:t>
      </w:r>
    </w:p>
    <w:p w14:paraId="49E9557D">
      <w:pPr>
        <w:pStyle w:val="3"/>
        <w:rPr>
          <w:lang w:eastAsia="zh-CN"/>
        </w:rPr>
      </w:pPr>
      <w:bookmarkStart w:id="52" w:name="bookmark28"/>
      <w:bookmarkEnd w:id="52"/>
      <w:bookmarkStart w:id="53" w:name="_Toc9800"/>
      <w:r>
        <w:rPr>
          <w:lang w:eastAsia="zh-CN"/>
        </w:rPr>
        <w:t>3.3森林经营方针</w:t>
      </w:r>
      <w:bookmarkEnd w:id="53"/>
    </w:p>
    <w:p w14:paraId="1781737B">
      <w:pPr>
        <w:ind w:firstLine="480"/>
        <w:rPr>
          <w:lang w:eastAsia="zh-CN"/>
        </w:rPr>
      </w:pPr>
      <w:r>
        <w:rPr>
          <w:lang w:eastAsia="zh-CN"/>
        </w:rPr>
        <w:t>坚持“生态优先、保育结合、分类经营、持续发展”十六字森林经营方针。</w:t>
      </w:r>
      <w:r>
        <w:rPr>
          <w:rFonts w:hint="eastAsia"/>
          <w:lang w:eastAsia="zh-CN"/>
        </w:rPr>
        <w:t>由于</w:t>
      </w:r>
      <w:r>
        <w:rPr>
          <w:lang w:eastAsia="zh-CN"/>
        </w:rPr>
        <w:t>林场</w:t>
      </w:r>
      <w:r>
        <w:rPr>
          <w:rFonts w:hint="eastAsia"/>
          <w:lang w:eastAsia="zh-CN"/>
        </w:rPr>
        <w:t>全部位于阳明山国家森林公园内</w:t>
      </w:r>
      <w:r>
        <w:rPr>
          <w:lang w:eastAsia="zh-CN"/>
        </w:rPr>
        <w:t>，</w:t>
      </w:r>
      <w:r>
        <w:rPr>
          <w:rFonts w:hint="eastAsia"/>
          <w:lang w:eastAsia="zh-CN"/>
        </w:rPr>
        <w:t>均为自然保护区，</w:t>
      </w:r>
      <w:r>
        <w:rPr>
          <w:lang w:eastAsia="zh-CN"/>
        </w:rPr>
        <w:t>在森林公园整合优化后，严格执行整合后的自然保护地相关条例进行管理。科学经营，加强生态建设，提高森林质量，维护生态安全，合理发展经济林和森林旅游，实现林场稳定、健康、持续、协调发展。</w:t>
      </w:r>
    </w:p>
    <w:p w14:paraId="5C37EBB5">
      <w:pPr>
        <w:pStyle w:val="3"/>
        <w:rPr>
          <w:lang w:eastAsia="zh-CN"/>
        </w:rPr>
      </w:pPr>
      <w:bookmarkStart w:id="54" w:name="bookmark30"/>
      <w:bookmarkEnd w:id="54"/>
      <w:bookmarkStart w:id="55" w:name="_Toc19380"/>
      <w:r>
        <w:rPr>
          <w:lang w:eastAsia="zh-CN"/>
        </w:rPr>
        <w:t>3.4森林经营目标</w:t>
      </w:r>
      <w:bookmarkEnd w:id="55"/>
    </w:p>
    <w:p w14:paraId="685A572B">
      <w:pPr>
        <w:pStyle w:val="4"/>
      </w:pPr>
      <w:r>
        <w:t>3.4.1长期目标</w:t>
      </w:r>
    </w:p>
    <w:p w14:paraId="6CCEF358">
      <w:pPr>
        <w:ind w:firstLine="480"/>
        <w:rPr>
          <w:lang w:eastAsia="zh-CN"/>
        </w:rPr>
      </w:pPr>
      <w:r>
        <w:rPr>
          <w:lang w:eastAsia="zh-CN"/>
        </w:rPr>
        <w:t>本经理期内，森林覆盖率与林木绿化率提升至9</w:t>
      </w:r>
      <w:r>
        <w:rPr>
          <w:rFonts w:hint="eastAsia"/>
          <w:lang w:eastAsia="zh-CN"/>
        </w:rPr>
        <w:t>8</w:t>
      </w:r>
      <w:r>
        <w:rPr>
          <w:lang w:eastAsia="zh-CN"/>
        </w:rPr>
        <w:t>.</w:t>
      </w:r>
      <w:r>
        <w:rPr>
          <w:rFonts w:hint="eastAsia"/>
          <w:lang w:eastAsia="zh-CN"/>
        </w:rPr>
        <w:t>16</w:t>
      </w:r>
      <w:r>
        <w:rPr>
          <w:lang w:eastAsia="zh-CN"/>
        </w:rPr>
        <w:t>%、9</w:t>
      </w:r>
      <w:r>
        <w:rPr>
          <w:rFonts w:hint="eastAsia"/>
          <w:lang w:eastAsia="zh-CN"/>
        </w:rPr>
        <w:t>8</w:t>
      </w:r>
      <w:r>
        <w:rPr>
          <w:lang w:eastAsia="zh-CN"/>
        </w:rPr>
        <w:t>.</w:t>
      </w:r>
      <w:r>
        <w:rPr>
          <w:rFonts w:hint="eastAsia"/>
          <w:lang w:eastAsia="zh-CN"/>
        </w:rPr>
        <w:t>16%</w:t>
      </w:r>
      <w:r>
        <w:rPr>
          <w:lang w:eastAsia="zh-CN"/>
        </w:rPr>
        <w:t>以上；全场林地面积保持在</w:t>
      </w:r>
      <w:r>
        <w:rPr>
          <w:rFonts w:hint="eastAsia"/>
          <w:lang w:eastAsia="zh-CN"/>
        </w:rPr>
        <w:t>11043.40</w:t>
      </w:r>
      <w:r>
        <w:rPr>
          <w:lang w:eastAsia="zh-CN"/>
        </w:rPr>
        <w:t>hm</w:t>
      </w:r>
      <w:r>
        <w:rPr>
          <w:vertAlign w:val="superscript"/>
          <w:lang w:eastAsia="zh-CN"/>
        </w:rPr>
        <w:t>2</w:t>
      </w:r>
      <w:r>
        <w:rPr>
          <w:lang w:eastAsia="zh-CN"/>
        </w:rPr>
        <w:t>以上；森林资源蓄积总量保持在</w:t>
      </w:r>
      <w:r>
        <w:rPr>
          <w:rFonts w:hint="eastAsia"/>
          <w:lang w:eastAsia="zh-CN"/>
        </w:rPr>
        <w:t>781642</w:t>
      </w:r>
      <w:r>
        <w:rPr>
          <w:lang w:eastAsia="zh-CN"/>
        </w:rPr>
        <w:t>m</w:t>
      </w:r>
      <w:r>
        <w:rPr>
          <w:vertAlign w:val="superscript"/>
          <w:lang w:eastAsia="zh-CN"/>
        </w:rPr>
        <w:t>3</w:t>
      </w:r>
      <w:r>
        <w:rPr>
          <w:lang w:eastAsia="zh-CN"/>
        </w:rPr>
        <w:t>以上；林种、树种结构更趋合理。</w:t>
      </w:r>
    </w:p>
    <w:p w14:paraId="5A5A784B">
      <w:pPr>
        <w:ind w:firstLine="480"/>
        <w:rPr>
          <w:lang w:eastAsia="zh-CN"/>
        </w:rPr>
      </w:pPr>
      <w:r>
        <w:rPr>
          <w:lang w:eastAsia="zh-CN"/>
        </w:rPr>
        <w:t>通过森林经营促进该林场的现有森林和植被恢复到其最稳定的地带性植被——常绿阔叶林，使森林质量得到提升，林种结构、树种结构合理、林龄结构最优，蕴藏的森林产品和非森林产品产值最大。</w:t>
      </w:r>
    </w:p>
    <w:p w14:paraId="5BC5C2DD">
      <w:pPr>
        <w:pStyle w:val="4"/>
      </w:pPr>
      <w:r>
        <w:t>3.4.2本经理期目标</w:t>
      </w:r>
    </w:p>
    <w:p w14:paraId="4CD18E86">
      <w:pPr>
        <w:ind w:firstLine="480"/>
        <w:rPr>
          <w:lang w:eastAsia="zh-CN"/>
        </w:rPr>
      </w:pPr>
      <w:r>
        <w:rPr>
          <w:lang w:eastAsia="zh-CN"/>
        </w:rPr>
        <w:t>本森林经营方案经理期为2024</w:t>
      </w:r>
      <w:r>
        <w:rPr>
          <w:rFonts w:hint="eastAsia"/>
          <w:lang w:eastAsia="zh-CN"/>
        </w:rPr>
        <w:t>—</w:t>
      </w:r>
      <w:r>
        <w:rPr>
          <w:lang w:eastAsia="zh-CN"/>
        </w:rPr>
        <w:t>2030年，经理期目标是在森林资源评价、森林经营状况评价的基础上，从森林资源发展、保护、利用、保障等不同方面确定本经理期可以达到的森林经营目标。参见表3-1。</w:t>
      </w:r>
    </w:p>
    <w:p w14:paraId="1E557649">
      <w:pPr>
        <w:kinsoku/>
        <w:autoSpaceDE/>
        <w:autoSpaceDN/>
        <w:adjustRightInd/>
        <w:snapToGrid/>
        <w:spacing w:line="240" w:lineRule="auto"/>
        <w:ind w:firstLine="0" w:firstLineChars="0"/>
        <w:jc w:val="left"/>
        <w:textAlignment w:val="auto"/>
        <w:rPr>
          <w:lang w:eastAsia="zh-CN"/>
        </w:rPr>
      </w:pPr>
      <w:r>
        <w:rPr>
          <w:lang w:eastAsia="zh-CN"/>
        </w:rPr>
        <w:br w:type="page"/>
      </w:r>
    </w:p>
    <w:p w14:paraId="4FA78C8F">
      <w:pPr>
        <w:spacing w:line="240" w:lineRule="auto"/>
        <w:ind w:firstLine="0" w:firstLineChars="0"/>
        <w:jc w:val="center"/>
        <w:rPr>
          <w:rFonts w:eastAsia="黑体" w:cs="Times New Roman"/>
          <w:b/>
          <w:bCs/>
          <w:szCs w:val="24"/>
          <w:lang w:eastAsia="zh-CN"/>
        </w:rPr>
      </w:pPr>
      <w:r>
        <w:rPr>
          <w:rFonts w:eastAsia="黑体" w:cs="Times New Roman"/>
          <w:b/>
          <w:bCs/>
          <w:szCs w:val="24"/>
          <w:lang w:eastAsia="zh-CN"/>
        </w:rPr>
        <w:t>表3-1双牌县阳明山国有林场森林经营目标主要指标表</w:t>
      </w:r>
    </w:p>
    <w:tbl>
      <w:tblPr>
        <w:tblStyle w:val="21"/>
        <w:tblW w:w="933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42"/>
        <w:gridCol w:w="1864"/>
        <w:gridCol w:w="1001"/>
        <w:gridCol w:w="1290"/>
        <w:gridCol w:w="1361"/>
        <w:gridCol w:w="1372"/>
      </w:tblGrid>
      <w:tr w14:paraId="41EDC6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jc w:val="center"/>
        </w:trPr>
        <w:tc>
          <w:tcPr>
            <w:tcW w:w="2442" w:type="dxa"/>
            <w:vAlign w:val="center"/>
          </w:tcPr>
          <w:p w14:paraId="69C83312">
            <w:pPr>
              <w:spacing w:line="240" w:lineRule="auto"/>
              <w:ind w:firstLine="0" w:firstLineChars="0"/>
              <w:jc w:val="center"/>
              <w:rPr>
                <w:rFonts w:cs="Times New Roman"/>
                <w:sz w:val="21"/>
              </w:rPr>
            </w:pPr>
            <w:r>
              <w:rPr>
                <w:rFonts w:cs="Times New Roman"/>
                <w:bCs/>
                <w:sz w:val="21"/>
              </w:rPr>
              <w:t>主要指标</w:t>
            </w:r>
          </w:p>
        </w:tc>
        <w:tc>
          <w:tcPr>
            <w:tcW w:w="1864" w:type="dxa"/>
            <w:vAlign w:val="center"/>
          </w:tcPr>
          <w:p w14:paraId="405C33AC">
            <w:pPr>
              <w:spacing w:line="240" w:lineRule="auto"/>
              <w:ind w:firstLine="0" w:firstLineChars="0"/>
              <w:jc w:val="center"/>
              <w:rPr>
                <w:rFonts w:cs="Times New Roman"/>
                <w:sz w:val="21"/>
              </w:rPr>
            </w:pPr>
            <w:r>
              <w:rPr>
                <w:rFonts w:cs="Times New Roman"/>
                <w:bCs/>
                <w:sz w:val="21"/>
              </w:rPr>
              <w:t>单位</w:t>
            </w:r>
          </w:p>
        </w:tc>
        <w:tc>
          <w:tcPr>
            <w:tcW w:w="1001" w:type="dxa"/>
            <w:vAlign w:val="center"/>
          </w:tcPr>
          <w:p w14:paraId="2C372A2C">
            <w:pPr>
              <w:spacing w:line="240" w:lineRule="auto"/>
              <w:ind w:firstLine="0" w:firstLineChars="0"/>
              <w:jc w:val="center"/>
              <w:rPr>
                <w:rFonts w:cs="Times New Roman"/>
                <w:sz w:val="21"/>
              </w:rPr>
            </w:pPr>
            <w:r>
              <w:rPr>
                <w:rFonts w:cs="Times New Roman"/>
                <w:bCs/>
                <w:sz w:val="21"/>
              </w:rPr>
              <w:t>现状</w:t>
            </w:r>
          </w:p>
        </w:tc>
        <w:tc>
          <w:tcPr>
            <w:tcW w:w="1290" w:type="dxa"/>
            <w:vAlign w:val="center"/>
          </w:tcPr>
          <w:p w14:paraId="5B59A7E9">
            <w:pPr>
              <w:spacing w:line="240" w:lineRule="auto"/>
              <w:ind w:firstLine="0" w:firstLineChars="0"/>
              <w:jc w:val="center"/>
              <w:rPr>
                <w:rFonts w:cs="Times New Roman"/>
                <w:sz w:val="21"/>
              </w:rPr>
            </w:pPr>
            <w:r>
              <w:rPr>
                <w:rFonts w:cs="Times New Roman"/>
                <w:bCs/>
                <w:sz w:val="21"/>
              </w:rPr>
              <w:t>前期</w:t>
            </w:r>
          </w:p>
        </w:tc>
        <w:tc>
          <w:tcPr>
            <w:tcW w:w="1361" w:type="dxa"/>
            <w:vAlign w:val="center"/>
          </w:tcPr>
          <w:p w14:paraId="198B6BE4">
            <w:pPr>
              <w:spacing w:line="240" w:lineRule="auto"/>
              <w:ind w:firstLine="0" w:firstLineChars="0"/>
              <w:jc w:val="center"/>
              <w:rPr>
                <w:rFonts w:cs="Times New Roman"/>
                <w:sz w:val="21"/>
              </w:rPr>
            </w:pPr>
            <w:r>
              <w:rPr>
                <w:rFonts w:cs="Times New Roman"/>
                <w:bCs/>
                <w:sz w:val="21"/>
              </w:rPr>
              <w:t>后期</w:t>
            </w:r>
          </w:p>
        </w:tc>
        <w:tc>
          <w:tcPr>
            <w:tcW w:w="1372" w:type="dxa"/>
            <w:vAlign w:val="center"/>
          </w:tcPr>
          <w:p w14:paraId="14B6BFEE">
            <w:pPr>
              <w:spacing w:line="240" w:lineRule="auto"/>
              <w:ind w:firstLine="0" w:firstLineChars="0"/>
              <w:jc w:val="center"/>
              <w:rPr>
                <w:rFonts w:cs="Times New Roman"/>
                <w:sz w:val="21"/>
              </w:rPr>
            </w:pPr>
            <w:r>
              <w:rPr>
                <w:rFonts w:cs="Times New Roman"/>
                <w:bCs/>
                <w:sz w:val="21"/>
              </w:rPr>
              <w:t>备注</w:t>
            </w:r>
          </w:p>
        </w:tc>
      </w:tr>
      <w:tr w14:paraId="3B830D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jc w:val="center"/>
        </w:trPr>
        <w:tc>
          <w:tcPr>
            <w:tcW w:w="2442" w:type="dxa"/>
            <w:vAlign w:val="center"/>
          </w:tcPr>
          <w:p w14:paraId="59E43F4A">
            <w:pPr>
              <w:spacing w:line="240" w:lineRule="auto"/>
              <w:ind w:firstLine="0" w:firstLineChars="0"/>
              <w:jc w:val="center"/>
              <w:rPr>
                <w:rFonts w:cs="Times New Roman"/>
                <w:sz w:val="21"/>
              </w:rPr>
            </w:pPr>
            <w:r>
              <w:rPr>
                <w:rFonts w:cs="Times New Roman"/>
                <w:sz w:val="21"/>
              </w:rPr>
              <w:t>林地保有量</w:t>
            </w:r>
          </w:p>
        </w:tc>
        <w:tc>
          <w:tcPr>
            <w:tcW w:w="1864" w:type="dxa"/>
            <w:vAlign w:val="center"/>
          </w:tcPr>
          <w:p w14:paraId="245CD539">
            <w:pPr>
              <w:spacing w:line="240" w:lineRule="auto"/>
              <w:ind w:firstLine="0" w:firstLineChars="0"/>
              <w:jc w:val="center"/>
              <w:rPr>
                <w:rFonts w:cs="Times New Roman"/>
                <w:sz w:val="21"/>
                <w:lang w:eastAsia="zh-CN"/>
              </w:rPr>
            </w:pPr>
            <w:r>
              <w:rPr>
                <w:rFonts w:cs="Times New Roman"/>
                <w:sz w:val="21"/>
                <w:lang w:eastAsia="zh-CN"/>
              </w:rPr>
              <w:t>hm</w:t>
            </w:r>
            <w:r>
              <w:rPr>
                <w:rFonts w:cs="Times New Roman"/>
                <w:sz w:val="21"/>
                <w:vertAlign w:val="superscript"/>
                <w:lang w:eastAsia="zh-CN"/>
              </w:rPr>
              <w:t>2</w:t>
            </w:r>
          </w:p>
        </w:tc>
        <w:tc>
          <w:tcPr>
            <w:tcW w:w="1001" w:type="dxa"/>
            <w:vAlign w:val="center"/>
          </w:tcPr>
          <w:p w14:paraId="186CAF4C">
            <w:pPr>
              <w:spacing w:line="240" w:lineRule="auto"/>
              <w:ind w:firstLine="0" w:firstLineChars="0"/>
              <w:jc w:val="center"/>
              <w:rPr>
                <w:rFonts w:cs="Times New Roman"/>
                <w:sz w:val="21"/>
              </w:rPr>
            </w:pPr>
            <w:r>
              <w:rPr>
                <w:rFonts w:hint="eastAsia" w:cs="Times New Roman"/>
                <w:sz w:val="21"/>
                <w:lang w:eastAsia="zh-CN"/>
              </w:rPr>
              <w:t>11043.40</w:t>
            </w:r>
          </w:p>
        </w:tc>
        <w:tc>
          <w:tcPr>
            <w:tcW w:w="1290" w:type="dxa"/>
            <w:vAlign w:val="center"/>
          </w:tcPr>
          <w:p w14:paraId="1C8DA3F2">
            <w:pPr>
              <w:spacing w:line="240" w:lineRule="auto"/>
              <w:ind w:firstLine="0" w:firstLineChars="0"/>
              <w:jc w:val="center"/>
              <w:rPr>
                <w:rFonts w:cs="Times New Roman"/>
                <w:sz w:val="21"/>
              </w:rPr>
            </w:pPr>
            <w:r>
              <w:rPr>
                <w:rFonts w:hint="eastAsia" w:cs="Times New Roman"/>
                <w:sz w:val="21"/>
                <w:lang w:eastAsia="zh-CN"/>
              </w:rPr>
              <w:t>11043.40</w:t>
            </w:r>
          </w:p>
        </w:tc>
        <w:tc>
          <w:tcPr>
            <w:tcW w:w="1361" w:type="dxa"/>
            <w:vAlign w:val="center"/>
          </w:tcPr>
          <w:p w14:paraId="00D72A46">
            <w:pPr>
              <w:spacing w:line="240" w:lineRule="auto"/>
              <w:ind w:firstLine="0" w:firstLineChars="0"/>
              <w:jc w:val="center"/>
              <w:rPr>
                <w:rFonts w:cs="Times New Roman"/>
                <w:sz w:val="21"/>
              </w:rPr>
            </w:pPr>
            <w:r>
              <w:rPr>
                <w:rFonts w:hint="eastAsia" w:cs="Times New Roman"/>
                <w:sz w:val="21"/>
                <w:lang w:eastAsia="zh-CN"/>
              </w:rPr>
              <w:t>11043.40</w:t>
            </w:r>
          </w:p>
        </w:tc>
        <w:tc>
          <w:tcPr>
            <w:tcW w:w="1372" w:type="dxa"/>
            <w:vAlign w:val="center"/>
          </w:tcPr>
          <w:p w14:paraId="597D6B1D">
            <w:pPr>
              <w:spacing w:line="240" w:lineRule="auto"/>
              <w:ind w:firstLine="0" w:firstLineChars="0"/>
              <w:jc w:val="center"/>
              <w:rPr>
                <w:rFonts w:cs="Times New Roman"/>
                <w:sz w:val="21"/>
              </w:rPr>
            </w:pPr>
            <w:r>
              <w:rPr>
                <w:rFonts w:cs="Times New Roman"/>
                <w:sz w:val="21"/>
              </w:rPr>
              <w:t>约束性指标</w:t>
            </w:r>
          </w:p>
        </w:tc>
      </w:tr>
      <w:tr w14:paraId="317BA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jc w:val="center"/>
        </w:trPr>
        <w:tc>
          <w:tcPr>
            <w:tcW w:w="2442" w:type="dxa"/>
            <w:vAlign w:val="center"/>
          </w:tcPr>
          <w:p w14:paraId="2DA613DE">
            <w:pPr>
              <w:spacing w:line="240" w:lineRule="auto"/>
              <w:ind w:firstLine="0" w:firstLineChars="0"/>
              <w:jc w:val="center"/>
              <w:rPr>
                <w:rFonts w:cs="Times New Roman"/>
                <w:sz w:val="21"/>
              </w:rPr>
            </w:pPr>
            <w:r>
              <w:rPr>
                <w:rFonts w:cs="Times New Roman"/>
                <w:sz w:val="21"/>
              </w:rPr>
              <w:t>森林保有量</w:t>
            </w:r>
          </w:p>
        </w:tc>
        <w:tc>
          <w:tcPr>
            <w:tcW w:w="1864" w:type="dxa"/>
            <w:vAlign w:val="center"/>
          </w:tcPr>
          <w:p w14:paraId="5754F141">
            <w:pPr>
              <w:spacing w:line="240" w:lineRule="auto"/>
              <w:ind w:firstLine="0" w:firstLineChars="0"/>
              <w:jc w:val="center"/>
              <w:rPr>
                <w:rFonts w:cs="Times New Roman"/>
                <w:sz w:val="21"/>
                <w:lang w:eastAsia="zh-CN"/>
              </w:rPr>
            </w:pPr>
            <w:r>
              <w:rPr>
                <w:rFonts w:cs="Times New Roman"/>
                <w:sz w:val="21"/>
                <w:lang w:eastAsia="zh-CN"/>
              </w:rPr>
              <w:t>hm</w:t>
            </w:r>
            <w:r>
              <w:rPr>
                <w:rFonts w:cs="Times New Roman"/>
                <w:sz w:val="21"/>
                <w:vertAlign w:val="superscript"/>
                <w:lang w:eastAsia="zh-CN"/>
              </w:rPr>
              <w:t>2</w:t>
            </w:r>
          </w:p>
        </w:tc>
        <w:tc>
          <w:tcPr>
            <w:tcW w:w="1001" w:type="dxa"/>
            <w:vAlign w:val="center"/>
          </w:tcPr>
          <w:p w14:paraId="70B840FF">
            <w:pPr>
              <w:spacing w:line="240" w:lineRule="auto"/>
              <w:ind w:firstLine="0" w:firstLineChars="0"/>
              <w:jc w:val="center"/>
              <w:rPr>
                <w:rFonts w:cs="Times New Roman"/>
                <w:sz w:val="21"/>
              </w:rPr>
            </w:pPr>
            <w:r>
              <w:rPr>
                <w:rFonts w:cs="Times New Roman"/>
                <w:sz w:val="21"/>
              </w:rPr>
              <w:t>10883.96</w:t>
            </w:r>
          </w:p>
        </w:tc>
        <w:tc>
          <w:tcPr>
            <w:tcW w:w="1290" w:type="dxa"/>
            <w:vAlign w:val="center"/>
          </w:tcPr>
          <w:p w14:paraId="67A2768A">
            <w:pPr>
              <w:spacing w:line="240" w:lineRule="auto"/>
              <w:ind w:firstLine="0" w:firstLineChars="0"/>
              <w:jc w:val="center"/>
              <w:rPr>
                <w:rFonts w:cs="Times New Roman"/>
                <w:sz w:val="21"/>
              </w:rPr>
            </w:pPr>
            <w:r>
              <w:rPr>
                <w:rFonts w:cs="Times New Roman"/>
                <w:sz w:val="21"/>
              </w:rPr>
              <w:t>10883.96</w:t>
            </w:r>
          </w:p>
        </w:tc>
        <w:tc>
          <w:tcPr>
            <w:tcW w:w="1361" w:type="dxa"/>
            <w:vAlign w:val="center"/>
          </w:tcPr>
          <w:p w14:paraId="5EAA685E">
            <w:pPr>
              <w:spacing w:line="240" w:lineRule="auto"/>
              <w:ind w:firstLine="0" w:firstLineChars="0"/>
              <w:jc w:val="center"/>
              <w:rPr>
                <w:rFonts w:cs="Times New Roman"/>
                <w:sz w:val="21"/>
                <w:lang w:eastAsia="zh-CN"/>
              </w:rPr>
            </w:pPr>
            <w:r>
              <w:rPr>
                <w:rFonts w:hint="eastAsia" w:cs="Times New Roman"/>
                <w:sz w:val="21"/>
                <w:lang w:eastAsia="zh-CN"/>
              </w:rPr>
              <w:t>10900</w:t>
            </w:r>
          </w:p>
        </w:tc>
        <w:tc>
          <w:tcPr>
            <w:tcW w:w="1372" w:type="dxa"/>
            <w:vAlign w:val="center"/>
          </w:tcPr>
          <w:p w14:paraId="4A72CEFD">
            <w:pPr>
              <w:spacing w:line="240" w:lineRule="auto"/>
              <w:ind w:firstLine="0" w:firstLineChars="0"/>
              <w:jc w:val="center"/>
              <w:rPr>
                <w:rFonts w:cs="Times New Roman"/>
                <w:sz w:val="21"/>
              </w:rPr>
            </w:pPr>
            <w:r>
              <w:rPr>
                <w:rFonts w:cs="Times New Roman"/>
                <w:sz w:val="21"/>
              </w:rPr>
              <w:t>约束性指标</w:t>
            </w:r>
          </w:p>
        </w:tc>
      </w:tr>
      <w:tr w14:paraId="636B5D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jc w:val="center"/>
        </w:trPr>
        <w:tc>
          <w:tcPr>
            <w:tcW w:w="2442" w:type="dxa"/>
            <w:vAlign w:val="center"/>
          </w:tcPr>
          <w:p w14:paraId="70F0C7F3">
            <w:pPr>
              <w:spacing w:line="240" w:lineRule="auto"/>
              <w:ind w:firstLine="0" w:firstLineChars="0"/>
              <w:jc w:val="center"/>
              <w:rPr>
                <w:rFonts w:cs="Times New Roman"/>
                <w:sz w:val="21"/>
              </w:rPr>
            </w:pPr>
            <w:r>
              <w:rPr>
                <w:rFonts w:cs="Times New Roman"/>
                <w:sz w:val="21"/>
              </w:rPr>
              <w:t>森林覆盖率</w:t>
            </w:r>
          </w:p>
        </w:tc>
        <w:tc>
          <w:tcPr>
            <w:tcW w:w="1864" w:type="dxa"/>
            <w:vAlign w:val="center"/>
          </w:tcPr>
          <w:p w14:paraId="6033A9CA">
            <w:pPr>
              <w:spacing w:line="240" w:lineRule="auto"/>
              <w:ind w:firstLine="0" w:firstLineChars="0"/>
              <w:jc w:val="center"/>
              <w:rPr>
                <w:rFonts w:cs="Times New Roman"/>
                <w:sz w:val="21"/>
              </w:rPr>
            </w:pPr>
            <w:r>
              <w:rPr>
                <w:rFonts w:cs="Times New Roman"/>
                <w:sz w:val="21"/>
              </w:rPr>
              <w:t>%</w:t>
            </w:r>
          </w:p>
        </w:tc>
        <w:tc>
          <w:tcPr>
            <w:tcW w:w="1001" w:type="dxa"/>
            <w:vAlign w:val="center"/>
          </w:tcPr>
          <w:p w14:paraId="3905959B">
            <w:pPr>
              <w:spacing w:line="240" w:lineRule="auto"/>
              <w:ind w:firstLine="0" w:firstLineChars="0"/>
              <w:jc w:val="center"/>
              <w:rPr>
                <w:rFonts w:cs="Times New Roman"/>
                <w:sz w:val="21"/>
                <w:lang w:eastAsia="zh-CN"/>
              </w:rPr>
            </w:pPr>
            <w:r>
              <w:rPr>
                <w:rFonts w:hint="eastAsia" w:cs="Times New Roman"/>
                <w:sz w:val="21"/>
                <w:lang w:eastAsia="zh-CN"/>
              </w:rPr>
              <w:t>98.16</w:t>
            </w:r>
          </w:p>
        </w:tc>
        <w:tc>
          <w:tcPr>
            <w:tcW w:w="1290" w:type="dxa"/>
            <w:vAlign w:val="center"/>
          </w:tcPr>
          <w:p w14:paraId="26493261">
            <w:pPr>
              <w:spacing w:line="240" w:lineRule="auto"/>
              <w:ind w:firstLine="0" w:firstLineChars="0"/>
              <w:jc w:val="center"/>
              <w:rPr>
                <w:rFonts w:cs="Times New Roman"/>
                <w:sz w:val="21"/>
                <w:lang w:eastAsia="zh-CN"/>
              </w:rPr>
            </w:pPr>
            <w:r>
              <w:rPr>
                <w:rFonts w:hint="eastAsia" w:cs="Times New Roman"/>
                <w:sz w:val="21"/>
                <w:lang w:eastAsia="zh-CN"/>
              </w:rPr>
              <w:t>98.16</w:t>
            </w:r>
          </w:p>
        </w:tc>
        <w:tc>
          <w:tcPr>
            <w:tcW w:w="1361" w:type="dxa"/>
            <w:vAlign w:val="center"/>
          </w:tcPr>
          <w:p w14:paraId="611E6943">
            <w:pPr>
              <w:spacing w:line="240" w:lineRule="auto"/>
              <w:ind w:firstLine="0" w:firstLineChars="0"/>
              <w:jc w:val="center"/>
              <w:rPr>
                <w:rFonts w:cs="Times New Roman"/>
                <w:sz w:val="21"/>
                <w:lang w:eastAsia="zh-CN"/>
              </w:rPr>
            </w:pPr>
            <w:r>
              <w:rPr>
                <w:rFonts w:hint="eastAsia" w:cs="Times New Roman"/>
                <w:sz w:val="21"/>
                <w:lang w:eastAsia="zh-CN"/>
              </w:rPr>
              <w:t>98.3</w:t>
            </w:r>
          </w:p>
        </w:tc>
        <w:tc>
          <w:tcPr>
            <w:tcW w:w="1372" w:type="dxa"/>
            <w:vAlign w:val="center"/>
          </w:tcPr>
          <w:p w14:paraId="66B907C1">
            <w:pPr>
              <w:spacing w:line="240" w:lineRule="auto"/>
              <w:ind w:firstLine="0" w:firstLineChars="0"/>
              <w:jc w:val="center"/>
              <w:rPr>
                <w:rFonts w:cs="Times New Roman"/>
                <w:sz w:val="21"/>
              </w:rPr>
            </w:pPr>
            <w:r>
              <w:rPr>
                <w:rFonts w:cs="Times New Roman"/>
                <w:sz w:val="21"/>
              </w:rPr>
              <w:t>约束性指标</w:t>
            </w:r>
          </w:p>
        </w:tc>
      </w:tr>
      <w:tr w14:paraId="0A87B6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jc w:val="center"/>
        </w:trPr>
        <w:tc>
          <w:tcPr>
            <w:tcW w:w="2442" w:type="dxa"/>
            <w:vAlign w:val="center"/>
          </w:tcPr>
          <w:p w14:paraId="28FBDC12">
            <w:pPr>
              <w:spacing w:line="240" w:lineRule="auto"/>
              <w:ind w:firstLine="0" w:firstLineChars="0"/>
              <w:jc w:val="center"/>
              <w:rPr>
                <w:rFonts w:cs="Times New Roman"/>
                <w:sz w:val="21"/>
              </w:rPr>
            </w:pPr>
            <w:r>
              <w:rPr>
                <w:rFonts w:cs="Times New Roman"/>
                <w:sz w:val="21"/>
              </w:rPr>
              <w:t>林地综合利用率</w:t>
            </w:r>
          </w:p>
        </w:tc>
        <w:tc>
          <w:tcPr>
            <w:tcW w:w="1864" w:type="dxa"/>
            <w:vAlign w:val="center"/>
          </w:tcPr>
          <w:p w14:paraId="613665A5">
            <w:pPr>
              <w:spacing w:line="240" w:lineRule="auto"/>
              <w:ind w:firstLine="0" w:firstLineChars="0"/>
              <w:jc w:val="center"/>
              <w:rPr>
                <w:rFonts w:cs="Times New Roman"/>
                <w:sz w:val="21"/>
              </w:rPr>
            </w:pPr>
            <w:r>
              <w:rPr>
                <w:rFonts w:cs="Times New Roman"/>
                <w:sz w:val="21"/>
              </w:rPr>
              <w:t>%</w:t>
            </w:r>
          </w:p>
        </w:tc>
        <w:tc>
          <w:tcPr>
            <w:tcW w:w="1001" w:type="dxa"/>
            <w:vAlign w:val="center"/>
          </w:tcPr>
          <w:p w14:paraId="7EE6533D">
            <w:pPr>
              <w:spacing w:line="240" w:lineRule="auto"/>
              <w:ind w:firstLine="0" w:firstLineChars="0"/>
              <w:jc w:val="center"/>
              <w:rPr>
                <w:rFonts w:cs="Times New Roman"/>
                <w:sz w:val="21"/>
              </w:rPr>
            </w:pPr>
            <w:r>
              <w:rPr>
                <w:rFonts w:cs="Times New Roman"/>
                <w:sz w:val="21"/>
              </w:rPr>
              <w:t>98</w:t>
            </w:r>
          </w:p>
        </w:tc>
        <w:tc>
          <w:tcPr>
            <w:tcW w:w="1290" w:type="dxa"/>
            <w:vAlign w:val="center"/>
          </w:tcPr>
          <w:p w14:paraId="6514455E">
            <w:pPr>
              <w:spacing w:line="240" w:lineRule="auto"/>
              <w:ind w:firstLine="0" w:firstLineChars="0"/>
              <w:jc w:val="center"/>
              <w:rPr>
                <w:rFonts w:cs="Times New Roman"/>
                <w:sz w:val="21"/>
              </w:rPr>
            </w:pPr>
            <w:r>
              <w:rPr>
                <w:rFonts w:cs="Times New Roman"/>
                <w:sz w:val="21"/>
              </w:rPr>
              <w:t>98</w:t>
            </w:r>
          </w:p>
        </w:tc>
        <w:tc>
          <w:tcPr>
            <w:tcW w:w="1361" w:type="dxa"/>
            <w:vAlign w:val="center"/>
          </w:tcPr>
          <w:p w14:paraId="55B60AE1">
            <w:pPr>
              <w:spacing w:line="240" w:lineRule="auto"/>
              <w:ind w:firstLine="0" w:firstLineChars="0"/>
              <w:jc w:val="center"/>
              <w:rPr>
                <w:rFonts w:cs="Times New Roman"/>
                <w:sz w:val="21"/>
              </w:rPr>
            </w:pPr>
            <w:r>
              <w:rPr>
                <w:rFonts w:cs="Times New Roman"/>
                <w:sz w:val="21"/>
              </w:rPr>
              <w:t>98</w:t>
            </w:r>
          </w:p>
        </w:tc>
        <w:tc>
          <w:tcPr>
            <w:tcW w:w="1372" w:type="dxa"/>
            <w:vAlign w:val="center"/>
          </w:tcPr>
          <w:p w14:paraId="43CC2A83">
            <w:pPr>
              <w:spacing w:line="240" w:lineRule="auto"/>
              <w:ind w:firstLine="0" w:firstLineChars="0"/>
              <w:jc w:val="center"/>
              <w:rPr>
                <w:rFonts w:cs="Times New Roman"/>
                <w:sz w:val="21"/>
              </w:rPr>
            </w:pPr>
            <w:r>
              <w:rPr>
                <w:rFonts w:cs="Times New Roman"/>
                <w:sz w:val="21"/>
              </w:rPr>
              <w:t>约束性指标</w:t>
            </w:r>
          </w:p>
        </w:tc>
      </w:tr>
      <w:tr w14:paraId="338782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jc w:val="center"/>
        </w:trPr>
        <w:tc>
          <w:tcPr>
            <w:tcW w:w="2442" w:type="dxa"/>
            <w:vAlign w:val="center"/>
          </w:tcPr>
          <w:p w14:paraId="1361434F">
            <w:pPr>
              <w:spacing w:line="240" w:lineRule="auto"/>
              <w:ind w:firstLine="0" w:firstLineChars="0"/>
              <w:jc w:val="center"/>
              <w:rPr>
                <w:rFonts w:cs="Times New Roman"/>
                <w:sz w:val="21"/>
              </w:rPr>
            </w:pPr>
            <w:r>
              <w:rPr>
                <w:rFonts w:cs="Times New Roman"/>
                <w:sz w:val="21"/>
              </w:rPr>
              <w:t>活立木蓄积量</w:t>
            </w:r>
          </w:p>
        </w:tc>
        <w:tc>
          <w:tcPr>
            <w:tcW w:w="1864" w:type="dxa"/>
            <w:vAlign w:val="center"/>
          </w:tcPr>
          <w:p w14:paraId="155FF4F5">
            <w:pPr>
              <w:spacing w:line="240" w:lineRule="auto"/>
              <w:ind w:firstLine="0" w:firstLineChars="0"/>
              <w:jc w:val="center"/>
              <w:rPr>
                <w:rFonts w:cs="Times New Roman"/>
                <w:sz w:val="21"/>
                <w:lang w:eastAsia="zh-CN"/>
              </w:rPr>
            </w:pPr>
            <w:r>
              <w:rPr>
                <w:rFonts w:cs="Times New Roman"/>
                <w:sz w:val="21"/>
                <w:lang w:eastAsia="zh-CN"/>
              </w:rPr>
              <w:t>m</w:t>
            </w:r>
            <w:r>
              <w:rPr>
                <w:rFonts w:cs="Times New Roman"/>
                <w:sz w:val="21"/>
                <w:vertAlign w:val="superscript"/>
                <w:lang w:eastAsia="zh-CN"/>
              </w:rPr>
              <w:t>3</w:t>
            </w:r>
          </w:p>
        </w:tc>
        <w:tc>
          <w:tcPr>
            <w:tcW w:w="1001" w:type="dxa"/>
            <w:vAlign w:val="center"/>
          </w:tcPr>
          <w:p w14:paraId="1D452AE1">
            <w:pPr>
              <w:spacing w:line="240" w:lineRule="auto"/>
              <w:ind w:firstLine="0" w:firstLineChars="0"/>
              <w:jc w:val="center"/>
              <w:rPr>
                <w:rFonts w:cs="Times New Roman"/>
                <w:sz w:val="21"/>
                <w:lang w:eastAsia="zh-CN"/>
              </w:rPr>
            </w:pPr>
            <w:r>
              <w:rPr>
                <w:rFonts w:hint="eastAsia" w:cs="Times New Roman"/>
                <w:sz w:val="21"/>
                <w:lang w:eastAsia="zh-CN"/>
              </w:rPr>
              <w:t>781642</w:t>
            </w:r>
          </w:p>
        </w:tc>
        <w:tc>
          <w:tcPr>
            <w:tcW w:w="1290" w:type="dxa"/>
            <w:vAlign w:val="center"/>
          </w:tcPr>
          <w:p w14:paraId="018AC558">
            <w:pPr>
              <w:spacing w:line="240" w:lineRule="auto"/>
              <w:ind w:firstLine="0" w:firstLineChars="0"/>
              <w:jc w:val="center"/>
              <w:rPr>
                <w:rFonts w:cs="Times New Roman"/>
                <w:sz w:val="21"/>
              </w:rPr>
            </w:pPr>
            <w:r>
              <w:rPr>
                <w:rFonts w:hint="eastAsia" w:cs="Times New Roman"/>
                <w:sz w:val="21"/>
                <w:lang w:eastAsia="zh-CN"/>
              </w:rPr>
              <w:t>781642</w:t>
            </w:r>
            <w:r>
              <w:rPr>
                <w:rFonts w:cs="Times New Roman"/>
                <w:sz w:val="21"/>
                <w:lang w:eastAsia="zh-CN"/>
              </w:rPr>
              <w:t>以上</w:t>
            </w:r>
          </w:p>
        </w:tc>
        <w:tc>
          <w:tcPr>
            <w:tcW w:w="1361" w:type="dxa"/>
            <w:vAlign w:val="center"/>
          </w:tcPr>
          <w:p w14:paraId="43C17F02">
            <w:pPr>
              <w:spacing w:line="240" w:lineRule="auto"/>
              <w:ind w:firstLine="0" w:firstLineChars="0"/>
              <w:jc w:val="center"/>
              <w:rPr>
                <w:rFonts w:cs="Times New Roman"/>
                <w:sz w:val="21"/>
                <w:lang w:eastAsia="zh-CN"/>
              </w:rPr>
            </w:pPr>
            <w:r>
              <w:rPr>
                <w:rFonts w:hint="eastAsia" w:cs="Times New Roman"/>
                <w:sz w:val="21"/>
                <w:lang w:eastAsia="zh-CN"/>
              </w:rPr>
              <w:t>800000</w:t>
            </w:r>
            <w:r>
              <w:rPr>
                <w:rFonts w:cs="Times New Roman"/>
                <w:sz w:val="21"/>
                <w:lang w:eastAsia="zh-CN"/>
              </w:rPr>
              <w:t>以上</w:t>
            </w:r>
          </w:p>
        </w:tc>
        <w:tc>
          <w:tcPr>
            <w:tcW w:w="1372" w:type="dxa"/>
            <w:vAlign w:val="center"/>
          </w:tcPr>
          <w:p w14:paraId="713258D9">
            <w:pPr>
              <w:spacing w:line="240" w:lineRule="auto"/>
              <w:ind w:firstLine="0" w:firstLineChars="0"/>
              <w:jc w:val="center"/>
              <w:rPr>
                <w:rFonts w:cs="Times New Roman"/>
                <w:sz w:val="21"/>
              </w:rPr>
            </w:pPr>
            <w:r>
              <w:rPr>
                <w:rFonts w:cs="Times New Roman"/>
                <w:sz w:val="21"/>
              </w:rPr>
              <w:t>预期性指标</w:t>
            </w:r>
          </w:p>
        </w:tc>
      </w:tr>
      <w:tr w14:paraId="7DE247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jc w:val="center"/>
        </w:trPr>
        <w:tc>
          <w:tcPr>
            <w:tcW w:w="2442" w:type="dxa"/>
            <w:vAlign w:val="center"/>
          </w:tcPr>
          <w:p w14:paraId="70A38AB4">
            <w:pPr>
              <w:spacing w:line="240" w:lineRule="auto"/>
              <w:ind w:firstLine="0" w:firstLineChars="0"/>
              <w:jc w:val="center"/>
              <w:rPr>
                <w:rFonts w:cs="Times New Roman"/>
                <w:sz w:val="21"/>
              </w:rPr>
            </w:pPr>
            <w:r>
              <w:rPr>
                <w:rFonts w:cs="Times New Roman"/>
                <w:sz w:val="21"/>
              </w:rPr>
              <w:t>乔木林亩平蓄积量</w:t>
            </w:r>
          </w:p>
        </w:tc>
        <w:tc>
          <w:tcPr>
            <w:tcW w:w="1864" w:type="dxa"/>
            <w:vAlign w:val="center"/>
          </w:tcPr>
          <w:p w14:paraId="4D0D05F0">
            <w:pPr>
              <w:spacing w:line="240" w:lineRule="auto"/>
              <w:ind w:firstLine="0" w:firstLineChars="0"/>
              <w:jc w:val="center"/>
              <w:rPr>
                <w:rFonts w:cs="Times New Roman"/>
                <w:sz w:val="21"/>
                <w:lang w:eastAsia="zh-CN"/>
              </w:rPr>
            </w:pPr>
            <w:r>
              <w:rPr>
                <w:rFonts w:cs="Times New Roman"/>
                <w:sz w:val="21"/>
                <w:lang w:eastAsia="zh-CN"/>
              </w:rPr>
              <w:t>m</w:t>
            </w:r>
            <w:r>
              <w:rPr>
                <w:rFonts w:cs="Times New Roman"/>
                <w:sz w:val="21"/>
                <w:vertAlign w:val="superscript"/>
                <w:lang w:eastAsia="zh-CN"/>
              </w:rPr>
              <w:t>3</w:t>
            </w:r>
          </w:p>
        </w:tc>
        <w:tc>
          <w:tcPr>
            <w:tcW w:w="1001" w:type="dxa"/>
            <w:vAlign w:val="center"/>
          </w:tcPr>
          <w:p w14:paraId="07A9AD6B">
            <w:pPr>
              <w:spacing w:line="240" w:lineRule="auto"/>
              <w:ind w:firstLine="0" w:firstLineChars="0"/>
              <w:jc w:val="center"/>
              <w:rPr>
                <w:rFonts w:cs="Times New Roman"/>
                <w:sz w:val="21"/>
                <w:lang w:eastAsia="zh-CN"/>
              </w:rPr>
            </w:pPr>
            <w:r>
              <w:rPr>
                <w:rFonts w:hint="eastAsia" w:cs="Times New Roman"/>
                <w:sz w:val="21"/>
                <w:lang w:eastAsia="zh-CN"/>
              </w:rPr>
              <w:t>7.42</w:t>
            </w:r>
          </w:p>
        </w:tc>
        <w:tc>
          <w:tcPr>
            <w:tcW w:w="1290" w:type="dxa"/>
            <w:vAlign w:val="center"/>
          </w:tcPr>
          <w:p w14:paraId="136EA48F">
            <w:pPr>
              <w:spacing w:line="240" w:lineRule="auto"/>
              <w:ind w:firstLine="0" w:firstLineChars="0"/>
              <w:jc w:val="center"/>
              <w:rPr>
                <w:rFonts w:cs="Times New Roman"/>
                <w:sz w:val="21"/>
                <w:lang w:eastAsia="zh-CN"/>
              </w:rPr>
            </w:pPr>
            <w:r>
              <w:rPr>
                <w:rFonts w:hint="eastAsia" w:cs="Times New Roman"/>
                <w:sz w:val="21"/>
                <w:lang w:eastAsia="zh-CN"/>
              </w:rPr>
              <w:t>7.42</w:t>
            </w:r>
            <w:r>
              <w:rPr>
                <w:rFonts w:cs="Times New Roman"/>
                <w:sz w:val="21"/>
                <w:lang w:eastAsia="zh-CN"/>
              </w:rPr>
              <w:t>以上</w:t>
            </w:r>
          </w:p>
        </w:tc>
        <w:tc>
          <w:tcPr>
            <w:tcW w:w="1361" w:type="dxa"/>
            <w:vAlign w:val="center"/>
          </w:tcPr>
          <w:p w14:paraId="16ABCEC1">
            <w:pPr>
              <w:spacing w:line="240" w:lineRule="auto"/>
              <w:ind w:firstLine="0" w:firstLineChars="0"/>
              <w:jc w:val="center"/>
              <w:rPr>
                <w:rFonts w:cs="Times New Roman"/>
                <w:sz w:val="21"/>
                <w:lang w:eastAsia="zh-CN"/>
              </w:rPr>
            </w:pPr>
            <w:r>
              <w:rPr>
                <w:rFonts w:hint="eastAsia" w:cs="Times New Roman"/>
                <w:sz w:val="21"/>
                <w:lang w:eastAsia="zh-CN"/>
              </w:rPr>
              <w:t>7.8</w:t>
            </w:r>
            <w:r>
              <w:rPr>
                <w:rFonts w:cs="Times New Roman"/>
                <w:sz w:val="21"/>
                <w:lang w:eastAsia="zh-CN"/>
              </w:rPr>
              <w:t>以上</w:t>
            </w:r>
          </w:p>
        </w:tc>
        <w:tc>
          <w:tcPr>
            <w:tcW w:w="1372" w:type="dxa"/>
            <w:vAlign w:val="center"/>
          </w:tcPr>
          <w:p w14:paraId="58277C8E">
            <w:pPr>
              <w:spacing w:line="240" w:lineRule="auto"/>
              <w:ind w:firstLine="0" w:firstLineChars="0"/>
              <w:jc w:val="center"/>
              <w:rPr>
                <w:rFonts w:cs="Times New Roman"/>
                <w:sz w:val="21"/>
              </w:rPr>
            </w:pPr>
            <w:r>
              <w:rPr>
                <w:rFonts w:cs="Times New Roman"/>
                <w:sz w:val="21"/>
              </w:rPr>
              <w:t>预期性指标</w:t>
            </w:r>
          </w:p>
        </w:tc>
      </w:tr>
      <w:tr w14:paraId="45BEF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jc w:val="center"/>
        </w:trPr>
        <w:tc>
          <w:tcPr>
            <w:tcW w:w="2442" w:type="dxa"/>
            <w:vAlign w:val="center"/>
          </w:tcPr>
          <w:p w14:paraId="6CDDD343">
            <w:pPr>
              <w:spacing w:line="240" w:lineRule="auto"/>
              <w:ind w:firstLine="0" w:firstLineChars="0"/>
              <w:jc w:val="center"/>
              <w:rPr>
                <w:rFonts w:cs="Times New Roman"/>
                <w:sz w:val="21"/>
              </w:rPr>
            </w:pPr>
            <w:r>
              <w:rPr>
                <w:rFonts w:cs="Times New Roman"/>
                <w:sz w:val="21"/>
              </w:rPr>
              <w:t>公益林面积</w:t>
            </w:r>
          </w:p>
        </w:tc>
        <w:tc>
          <w:tcPr>
            <w:tcW w:w="1864" w:type="dxa"/>
            <w:vAlign w:val="center"/>
          </w:tcPr>
          <w:p w14:paraId="14FEA28F">
            <w:pPr>
              <w:spacing w:line="240" w:lineRule="auto"/>
              <w:ind w:firstLine="0" w:firstLineChars="0"/>
              <w:jc w:val="center"/>
              <w:rPr>
                <w:rFonts w:cs="Times New Roman"/>
                <w:sz w:val="21"/>
                <w:lang w:eastAsia="zh-CN"/>
              </w:rPr>
            </w:pPr>
            <w:r>
              <w:rPr>
                <w:rFonts w:cs="Times New Roman"/>
                <w:sz w:val="21"/>
                <w:lang w:eastAsia="zh-CN"/>
              </w:rPr>
              <w:t>hm</w:t>
            </w:r>
            <w:r>
              <w:rPr>
                <w:rFonts w:cs="Times New Roman"/>
                <w:sz w:val="21"/>
                <w:vertAlign w:val="superscript"/>
                <w:lang w:eastAsia="zh-CN"/>
              </w:rPr>
              <w:t>2</w:t>
            </w:r>
          </w:p>
        </w:tc>
        <w:tc>
          <w:tcPr>
            <w:tcW w:w="1001" w:type="dxa"/>
            <w:vAlign w:val="center"/>
          </w:tcPr>
          <w:p w14:paraId="07AF0D1D">
            <w:pPr>
              <w:spacing w:line="240" w:lineRule="auto"/>
              <w:ind w:firstLine="0" w:firstLineChars="0"/>
              <w:jc w:val="center"/>
              <w:rPr>
                <w:rFonts w:cs="Times New Roman"/>
                <w:sz w:val="21"/>
                <w:lang w:eastAsia="zh-CN"/>
              </w:rPr>
            </w:pPr>
            <w:r>
              <w:rPr>
                <w:rFonts w:hint="eastAsia" w:cs="Times New Roman"/>
                <w:sz w:val="21"/>
                <w:lang w:eastAsia="zh-CN"/>
              </w:rPr>
              <w:t>10782.38</w:t>
            </w:r>
          </w:p>
        </w:tc>
        <w:tc>
          <w:tcPr>
            <w:tcW w:w="1290" w:type="dxa"/>
            <w:vAlign w:val="center"/>
          </w:tcPr>
          <w:p w14:paraId="6196B7BF">
            <w:pPr>
              <w:spacing w:line="240" w:lineRule="auto"/>
              <w:ind w:firstLine="0" w:firstLineChars="0"/>
              <w:jc w:val="center"/>
              <w:rPr>
                <w:rFonts w:cs="Times New Roman"/>
                <w:sz w:val="21"/>
                <w:lang w:eastAsia="zh-CN"/>
              </w:rPr>
            </w:pPr>
            <w:r>
              <w:rPr>
                <w:rFonts w:hint="eastAsia" w:cs="Times New Roman"/>
                <w:sz w:val="21"/>
                <w:lang w:eastAsia="zh-CN"/>
              </w:rPr>
              <w:t>10782.38</w:t>
            </w:r>
          </w:p>
        </w:tc>
        <w:tc>
          <w:tcPr>
            <w:tcW w:w="1361" w:type="dxa"/>
            <w:vAlign w:val="center"/>
          </w:tcPr>
          <w:p w14:paraId="6E140CA6">
            <w:pPr>
              <w:spacing w:line="240" w:lineRule="auto"/>
              <w:ind w:firstLine="0" w:firstLineChars="0"/>
              <w:jc w:val="center"/>
              <w:rPr>
                <w:rFonts w:cs="Times New Roman"/>
                <w:sz w:val="21"/>
                <w:lang w:eastAsia="zh-CN"/>
              </w:rPr>
            </w:pPr>
            <w:r>
              <w:rPr>
                <w:rFonts w:hint="eastAsia" w:cs="Times New Roman"/>
                <w:sz w:val="21"/>
                <w:lang w:eastAsia="zh-CN"/>
              </w:rPr>
              <w:t>10782.38</w:t>
            </w:r>
          </w:p>
        </w:tc>
        <w:tc>
          <w:tcPr>
            <w:tcW w:w="1372" w:type="dxa"/>
            <w:vAlign w:val="center"/>
          </w:tcPr>
          <w:p w14:paraId="12363C96">
            <w:pPr>
              <w:spacing w:line="240" w:lineRule="auto"/>
              <w:ind w:firstLine="0" w:firstLineChars="0"/>
              <w:jc w:val="center"/>
              <w:rPr>
                <w:rFonts w:cs="Times New Roman"/>
                <w:sz w:val="21"/>
              </w:rPr>
            </w:pPr>
            <w:r>
              <w:rPr>
                <w:rFonts w:cs="Times New Roman"/>
                <w:sz w:val="21"/>
              </w:rPr>
              <w:t>预期性指标</w:t>
            </w:r>
          </w:p>
        </w:tc>
      </w:tr>
      <w:tr w14:paraId="04C927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jc w:val="center"/>
        </w:trPr>
        <w:tc>
          <w:tcPr>
            <w:tcW w:w="2442" w:type="dxa"/>
            <w:vAlign w:val="center"/>
          </w:tcPr>
          <w:p w14:paraId="4A5A72D6">
            <w:pPr>
              <w:spacing w:line="240" w:lineRule="auto"/>
              <w:ind w:firstLine="0" w:firstLineChars="0"/>
              <w:jc w:val="center"/>
              <w:rPr>
                <w:rFonts w:cs="Times New Roman"/>
                <w:sz w:val="21"/>
              </w:rPr>
            </w:pPr>
            <w:r>
              <w:rPr>
                <w:rFonts w:cs="Times New Roman"/>
                <w:sz w:val="21"/>
              </w:rPr>
              <w:t>混交林面积</w:t>
            </w:r>
          </w:p>
        </w:tc>
        <w:tc>
          <w:tcPr>
            <w:tcW w:w="1864" w:type="dxa"/>
            <w:vAlign w:val="center"/>
          </w:tcPr>
          <w:p w14:paraId="0AF44A58">
            <w:pPr>
              <w:spacing w:line="240" w:lineRule="auto"/>
              <w:ind w:firstLine="0" w:firstLineChars="0"/>
              <w:jc w:val="center"/>
              <w:rPr>
                <w:rFonts w:cs="Times New Roman"/>
                <w:sz w:val="21"/>
                <w:lang w:eastAsia="zh-CN"/>
              </w:rPr>
            </w:pPr>
            <w:r>
              <w:rPr>
                <w:rFonts w:cs="Times New Roman"/>
                <w:sz w:val="21"/>
                <w:lang w:eastAsia="zh-CN"/>
              </w:rPr>
              <w:t>hm</w:t>
            </w:r>
            <w:r>
              <w:rPr>
                <w:rFonts w:cs="Times New Roman"/>
                <w:sz w:val="21"/>
                <w:vertAlign w:val="superscript"/>
                <w:lang w:eastAsia="zh-CN"/>
              </w:rPr>
              <w:t>2</w:t>
            </w:r>
          </w:p>
        </w:tc>
        <w:tc>
          <w:tcPr>
            <w:tcW w:w="1001" w:type="dxa"/>
            <w:vAlign w:val="center"/>
          </w:tcPr>
          <w:p w14:paraId="58D4DA33">
            <w:pPr>
              <w:spacing w:line="240" w:lineRule="auto"/>
              <w:ind w:firstLine="0" w:firstLineChars="0"/>
              <w:jc w:val="center"/>
              <w:rPr>
                <w:rFonts w:cs="Times New Roman"/>
                <w:sz w:val="21"/>
                <w:lang w:eastAsia="zh-CN"/>
              </w:rPr>
            </w:pPr>
            <w:r>
              <w:rPr>
                <w:rFonts w:hint="eastAsia" w:cs="Times New Roman"/>
                <w:sz w:val="21"/>
                <w:lang w:eastAsia="zh-CN"/>
              </w:rPr>
              <w:t>4701.82</w:t>
            </w:r>
          </w:p>
        </w:tc>
        <w:tc>
          <w:tcPr>
            <w:tcW w:w="1290" w:type="dxa"/>
            <w:vAlign w:val="center"/>
          </w:tcPr>
          <w:p w14:paraId="78C3B442">
            <w:pPr>
              <w:spacing w:line="240" w:lineRule="auto"/>
              <w:ind w:firstLine="0" w:firstLineChars="0"/>
              <w:jc w:val="center"/>
              <w:rPr>
                <w:rFonts w:cs="Times New Roman"/>
                <w:sz w:val="21"/>
                <w:lang w:eastAsia="zh-CN"/>
              </w:rPr>
            </w:pPr>
            <w:r>
              <w:rPr>
                <w:rFonts w:hint="eastAsia" w:cs="Times New Roman"/>
                <w:sz w:val="21"/>
                <w:lang w:eastAsia="zh-CN"/>
              </w:rPr>
              <w:t>4800</w:t>
            </w:r>
          </w:p>
        </w:tc>
        <w:tc>
          <w:tcPr>
            <w:tcW w:w="1361" w:type="dxa"/>
            <w:vAlign w:val="center"/>
          </w:tcPr>
          <w:p w14:paraId="06E75119">
            <w:pPr>
              <w:spacing w:line="240" w:lineRule="auto"/>
              <w:ind w:firstLine="0" w:firstLineChars="0"/>
              <w:jc w:val="center"/>
              <w:rPr>
                <w:rFonts w:cs="Times New Roman"/>
                <w:sz w:val="21"/>
                <w:lang w:eastAsia="zh-CN"/>
              </w:rPr>
            </w:pPr>
            <w:r>
              <w:rPr>
                <w:rFonts w:hint="eastAsia" w:cs="Times New Roman"/>
                <w:sz w:val="21"/>
                <w:lang w:eastAsia="zh-CN"/>
              </w:rPr>
              <w:t>5000</w:t>
            </w:r>
          </w:p>
        </w:tc>
        <w:tc>
          <w:tcPr>
            <w:tcW w:w="1372" w:type="dxa"/>
            <w:vAlign w:val="center"/>
          </w:tcPr>
          <w:p w14:paraId="731EEF24">
            <w:pPr>
              <w:spacing w:line="240" w:lineRule="auto"/>
              <w:ind w:firstLine="0" w:firstLineChars="0"/>
              <w:jc w:val="center"/>
              <w:rPr>
                <w:rFonts w:cs="Times New Roman"/>
                <w:sz w:val="21"/>
              </w:rPr>
            </w:pPr>
            <w:r>
              <w:rPr>
                <w:rFonts w:cs="Times New Roman"/>
                <w:sz w:val="21"/>
              </w:rPr>
              <w:t>预期性指标</w:t>
            </w:r>
          </w:p>
        </w:tc>
      </w:tr>
      <w:tr w14:paraId="2C713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jc w:val="center"/>
        </w:trPr>
        <w:tc>
          <w:tcPr>
            <w:tcW w:w="2442" w:type="dxa"/>
            <w:vAlign w:val="center"/>
          </w:tcPr>
          <w:p w14:paraId="3405B08F">
            <w:pPr>
              <w:spacing w:line="240" w:lineRule="auto"/>
              <w:ind w:firstLine="0" w:firstLineChars="0"/>
              <w:jc w:val="center"/>
              <w:rPr>
                <w:rFonts w:cs="Times New Roman"/>
                <w:sz w:val="21"/>
              </w:rPr>
            </w:pPr>
            <w:r>
              <w:rPr>
                <w:rFonts w:cs="Times New Roman"/>
                <w:sz w:val="21"/>
              </w:rPr>
              <w:t>年竹材产量</w:t>
            </w:r>
          </w:p>
        </w:tc>
        <w:tc>
          <w:tcPr>
            <w:tcW w:w="1864" w:type="dxa"/>
            <w:vAlign w:val="center"/>
          </w:tcPr>
          <w:p w14:paraId="59533B4F">
            <w:pPr>
              <w:pStyle w:val="22"/>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万根</w:t>
            </w:r>
          </w:p>
        </w:tc>
        <w:tc>
          <w:tcPr>
            <w:tcW w:w="1001" w:type="dxa"/>
            <w:vAlign w:val="center"/>
          </w:tcPr>
          <w:p w14:paraId="69172BF9">
            <w:pPr>
              <w:spacing w:line="240" w:lineRule="auto"/>
              <w:ind w:firstLine="0" w:firstLineChars="0"/>
              <w:jc w:val="center"/>
              <w:rPr>
                <w:rFonts w:cs="Times New Roman"/>
                <w:sz w:val="21"/>
              </w:rPr>
            </w:pPr>
          </w:p>
        </w:tc>
        <w:tc>
          <w:tcPr>
            <w:tcW w:w="1290" w:type="dxa"/>
            <w:vAlign w:val="center"/>
          </w:tcPr>
          <w:p w14:paraId="38FEED56">
            <w:pPr>
              <w:spacing w:line="240" w:lineRule="auto"/>
              <w:ind w:firstLine="0" w:firstLineChars="0"/>
              <w:jc w:val="center"/>
              <w:rPr>
                <w:rFonts w:cs="Times New Roman"/>
                <w:sz w:val="21"/>
                <w:lang w:eastAsia="zh-CN"/>
              </w:rPr>
            </w:pPr>
            <w:r>
              <w:rPr>
                <w:rFonts w:hint="eastAsia" w:cs="Times New Roman"/>
                <w:sz w:val="21"/>
                <w:lang w:eastAsia="zh-CN"/>
              </w:rPr>
              <w:t>19</w:t>
            </w:r>
          </w:p>
        </w:tc>
        <w:tc>
          <w:tcPr>
            <w:tcW w:w="1361" w:type="dxa"/>
            <w:vAlign w:val="center"/>
          </w:tcPr>
          <w:p w14:paraId="26E3DC14">
            <w:pPr>
              <w:spacing w:line="240" w:lineRule="auto"/>
              <w:ind w:firstLine="0" w:firstLineChars="0"/>
              <w:jc w:val="center"/>
              <w:rPr>
                <w:rFonts w:cs="Times New Roman"/>
                <w:sz w:val="21"/>
                <w:lang w:eastAsia="zh-CN"/>
              </w:rPr>
            </w:pPr>
            <w:r>
              <w:rPr>
                <w:rFonts w:hint="eastAsia" w:cs="Times New Roman"/>
                <w:sz w:val="21"/>
                <w:lang w:eastAsia="zh-CN"/>
              </w:rPr>
              <w:t>19</w:t>
            </w:r>
          </w:p>
        </w:tc>
        <w:tc>
          <w:tcPr>
            <w:tcW w:w="1372" w:type="dxa"/>
            <w:vAlign w:val="center"/>
          </w:tcPr>
          <w:p w14:paraId="0E7EAAF5">
            <w:pPr>
              <w:spacing w:line="240" w:lineRule="auto"/>
              <w:ind w:firstLine="0" w:firstLineChars="0"/>
              <w:jc w:val="center"/>
              <w:rPr>
                <w:rFonts w:cs="Times New Roman"/>
                <w:sz w:val="21"/>
              </w:rPr>
            </w:pPr>
            <w:r>
              <w:rPr>
                <w:rFonts w:cs="Times New Roman"/>
                <w:sz w:val="21"/>
              </w:rPr>
              <w:t>预期性指标</w:t>
            </w:r>
          </w:p>
        </w:tc>
      </w:tr>
      <w:tr w14:paraId="16D146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jc w:val="center"/>
        </w:trPr>
        <w:tc>
          <w:tcPr>
            <w:tcW w:w="2442" w:type="dxa"/>
            <w:vAlign w:val="center"/>
          </w:tcPr>
          <w:p w14:paraId="0F08E23C">
            <w:pPr>
              <w:spacing w:line="240" w:lineRule="auto"/>
              <w:ind w:firstLine="0" w:firstLineChars="0"/>
              <w:jc w:val="center"/>
              <w:rPr>
                <w:rFonts w:cs="Times New Roman"/>
                <w:sz w:val="21"/>
                <w:lang w:eastAsia="zh-CN"/>
              </w:rPr>
            </w:pPr>
            <w:r>
              <w:rPr>
                <w:rFonts w:cs="Times New Roman"/>
                <w:sz w:val="21"/>
                <w:lang w:eastAsia="zh-CN"/>
              </w:rPr>
              <w:t>森林游憩</w:t>
            </w:r>
          </w:p>
        </w:tc>
        <w:tc>
          <w:tcPr>
            <w:tcW w:w="1864" w:type="dxa"/>
            <w:vAlign w:val="center"/>
          </w:tcPr>
          <w:p w14:paraId="62DBD65C">
            <w:pPr>
              <w:pStyle w:val="22"/>
              <w:spacing w:line="240" w:lineRule="auto"/>
              <w:ind w:firstLine="0" w:firstLineChars="0"/>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万人次/年</w:t>
            </w:r>
          </w:p>
        </w:tc>
        <w:tc>
          <w:tcPr>
            <w:tcW w:w="1001" w:type="dxa"/>
            <w:vAlign w:val="center"/>
          </w:tcPr>
          <w:p w14:paraId="26BB7AF7">
            <w:pPr>
              <w:spacing w:line="240" w:lineRule="auto"/>
              <w:ind w:firstLine="0" w:firstLineChars="0"/>
              <w:jc w:val="center"/>
              <w:rPr>
                <w:rFonts w:cs="Times New Roman"/>
                <w:sz w:val="21"/>
                <w:lang w:eastAsia="zh-CN"/>
              </w:rPr>
            </w:pPr>
            <w:r>
              <w:rPr>
                <w:rFonts w:cs="Times New Roman"/>
                <w:sz w:val="21"/>
                <w:lang w:eastAsia="zh-CN"/>
              </w:rPr>
              <w:t>500</w:t>
            </w:r>
          </w:p>
        </w:tc>
        <w:tc>
          <w:tcPr>
            <w:tcW w:w="1290" w:type="dxa"/>
            <w:vAlign w:val="center"/>
          </w:tcPr>
          <w:p w14:paraId="01690CA8">
            <w:pPr>
              <w:spacing w:line="240" w:lineRule="auto"/>
              <w:ind w:firstLine="0" w:firstLineChars="0"/>
              <w:jc w:val="center"/>
              <w:rPr>
                <w:rFonts w:cs="Times New Roman"/>
                <w:sz w:val="21"/>
                <w:lang w:eastAsia="zh-CN"/>
              </w:rPr>
            </w:pPr>
            <w:r>
              <w:rPr>
                <w:rFonts w:cs="Times New Roman"/>
                <w:sz w:val="21"/>
                <w:lang w:eastAsia="zh-CN"/>
              </w:rPr>
              <w:t>500</w:t>
            </w:r>
          </w:p>
        </w:tc>
        <w:tc>
          <w:tcPr>
            <w:tcW w:w="1361" w:type="dxa"/>
            <w:vAlign w:val="center"/>
          </w:tcPr>
          <w:p w14:paraId="361741FA">
            <w:pPr>
              <w:spacing w:line="240" w:lineRule="auto"/>
              <w:ind w:firstLine="0" w:firstLineChars="0"/>
              <w:jc w:val="center"/>
              <w:rPr>
                <w:rFonts w:cs="Times New Roman"/>
                <w:sz w:val="21"/>
                <w:lang w:eastAsia="zh-CN"/>
              </w:rPr>
            </w:pPr>
            <w:r>
              <w:rPr>
                <w:rFonts w:cs="Times New Roman"/>
                <w:sz w:val="21"/>
                <w:lang w:eastAsia="zh-CN"/>
              </w:rPr>
              <w:t>600</w:t>
            </w:r>
          </w:p>
        </w:tc>
        <w:tc>
          <w:tcPr>
            <w:tcW w:w="1372" w:type="dxa"/>
            <w:vAlign w:val="center"/>
          </w:tcPr>
          <w:p w14:paraId="354AEF76">
            <w:pPr>
              <w:spacing w:line="240" w:lineRule="auto"/>
              <w:ind w:firstLine="0" w:firstLineChars="0"/>
              <w:jc w:val="center"/>
              <w:rPr>
                <w:rFonts w:cs="Times New Roman"/>
                <w:sz w:val="21"/>
              </w:rPr>
            </w:pPr>
            <w:r>
              <w:rPr>
                <w:rFonts w:cs="Times New Roman"/>
                <w:sz w:val="21"/>
              </w:rPr>
              <w:t>预期性指标</w:t>
            </w:r>
          </w:p>
        </w:tc>
      </w:tr>
    </w:tbl>
    <w:p w14:paraId="7587A527">
      <w:pPr>
        <w:pStyle w:val="3"/>
      </w:pPr>
      <w:bookmarkStart w:id="56" w:name="bookmark32"/>
      <w:bookmarkEnd w:id="56"/>
      <w:bookmarkStart w:id="57" w:name="_Toc10921"/>
      <w:r>
        <w:t>3.5森林区划</w:t>
      </w:r>
      <w:bookmarkEnd w:id="57"/>
    </w:p>
    <w:p w14:paraId="6FD7B609">
      <w:pPr>
        <w:pStyle w:val="4"/>
      </w:pPr>
      <w:r>
        <w:t>3.5.1森林分类区划</w:t>
      </w:r>
    </w:p>
    <w:p w14:paraId="416F74A0">
      <w:pPr>
        <w:ind w:firstLine="480"/>
        <w:rPr>
          <w:lang w:eastAsia="zh-CN"/>
        </w:rPr>
      </w:pPr>
      <w:r>
        <w:rPr>
          <w:lang w:eastAsia="zh-CN"/>
        </w:rPr>
        <w:t>林场所处的生态区位为</w:t>
      </w:r>
      <w:r>
        <w:rPr>
          <w:rFonts w:hint="eastAsia"/>
          <w:lang w:eastAsia="zh-CN"/>
        </w:rPr>
        <w:t>阳明山自然保护区</w:t>
      </w:r>
      <w:r>
        <w:rPr>
          <w:lang w:eastAsia="zh-CN"/>
        </w:rPr>
        <w:t>、公益林地面积为</w:t>
      </w:r>
      <w:r>
        <w:rPr>
          <w:rFonts w:hint="eastAsia"/>
          <w:lang w:eastAsia="zh-CN"/>
        </w:rPr>
        <w:t>10782.38</w:t>
      </w:r>
      <w:r>
        <w:rPr>
          <w:lang w:eastAsia="zh-CN"/>
        </w:rPr>
        <w:t>hm</w:t>
      </w:r>
      <w:r>
        <w:rPr>
          <w:vertAlign w:val="superscript"/>
          <w:lang w:eastAsia="zh-CN"/>
        </w:rPr>
        <w:t>2</w:t>
      </w:r>
      <w:r>
        <w:rPr>
          <w:lang w:eastAsia="zh-CN"/>
        </w:rPr>
        <w:t>。</w:t>
      </w:r>
    </w:p>
    <w:p w14:paraId="6BD9F39E">
      <w:pPr>
        <w:pStyle w:val="4"/>
      </w:pPr>
      <w:r>
        <w:t>3.5.2经营区划和布局</w:t>
      </w:r>
    </w:p>
    <w:p w14:paraId="2363D7E8">
      <w:pPr>
        <w:ind w:firstLine="480"/>
        <w:rPr>
          <w:lang w:eastAsia="zh-CN"/>
        </w:rPr>
      </w:pPr>
      <w:r>
        <w:rPr>
          <w:rFonts w:hint="eastAsia"/>
          <w:lang w:eastAsia="zh-CN"/>
        </w:rPr>
        <w:t>整个林场都位于阳明山国家森林公园和阳明山自然保护区中，绝大多数林地为特种用途林和防护林，大部分属于国家级重点生态公益林，因此，整个林场划分为一个森林经营区，即阳明山自然保护区。</w:t>
      </w:r>
    </w:p>
    <w:p w14:paraId="485E9B26">
      <w:pPr>
        <w:ind w:firstLine="480"/>
        <w:rPr>
          <w:rFonts w:cs="宋体"/>
          <w:lang w:eastAsia="zh-CN"/>
        </w:rPr>
      </w:pPr>
      <w:r>
        <w:rPr>
          <w:rFonts w:hint="eastAsia" w:cs="宋体"/>
          <w:lang w:eastAsia="zh-CN"/>
        </w:rPr>
        <w:br w:type="page"/>
      </w:r>
    </w:p>
    <w:p w14:paraId="7072DFA9">
      <w:pPr>
        <w:pStyle w:val="2"/>
        <w:spacing w:before="120" w:after="120"/>
        <w:rPr>
          <w:lang w:eastAsia="zh-CN"/>
        </w:rPr>
      </w:pPr>
      <w:bookmarkStart w:id="58" w:name="bookmark34"/>
      <w:bookmarkEnd w:id="58"/>
      <w:bookmarkStart w:id="59" w:name="bookmark36"/>
      <w:bookmarkEnd w:id="59"/>
      <w:bookmarkStart w:id="60" w:name="_Toc24784"/>
      <w:r>
        <w:rPr>
          <w:lang w:eastAsia="zh-CN"/>
        </w:rPr>
        <w:t>第四章</w:t>
      </w:r>
      <w:r>
        <w:rPr>
          <w:rFonts w:hint="eastAsia"/>
          <w:lang w:eastAsia="zh-CN"/>
        </w:rPr>
        <w:t xml:space="preserve"> </w:t>
      </w:r>
      <w:r>
        <w:rPr>
          <w:lang w:eastAsia="zh-CN"/>
        </w:rPr>
        <w:t>森林经营技术体系</w:t>
      </w:r>
      <w:bookmarkEnd w:id="60"/>
    </w:p>
    <w:p w14:paraId="01FB54F4">
      <w:pPr>
        <w:pStyle w:val="3"/>
        <w:rPr>
          <w:lang w:eastAsia="zh-CN"/>
        </w:rPr>
      </w:pPr>
      <w:bookmarkStart w:id="61" w:name="_Toc17207"/>
      <w:r>
        <w:rPr>
          <w:lang w:eastAsia="zh-CN"/>
        </w:rPr>
        <w:t>4.1森林经营类型组织</w:t>
      </w:r>
      <w:bookmarkEnd w:id="61"/>
    </w:p>
    <w:p w14:paraId="21F6C02D">
      <w:pPr>
        <w:pStyle w:val="4"/>
      </w:pPr>
      <w:r>
        <w:t>4.1.1森林经营类型设计</w:t>
      </w:r>
    </w:p>
    <w:p w14:paraId="12374649">
      <w:pPr>
        <w:ind w:firstLine="480"/>
        <w:rPr>
          <w:lang w:eastAsia="zh-CN"/>
        </w:rPr>
      </w:pPr>
      <w:r>
        <w:rPr>
          <w:lang w:eastAsia="zh-CN"/>
        </w:rPr>
        <w:t>在森林经营区划的基础上，根据不同的林种、树种、培育目标、森林管理类型要求等，设计森林经营类型。</w:t>
      </w:r>
    </w:p>
    <w:p w14:paraId="6D901105">
      <w:pPr>
        <w:ind w:firstLine="480"/>
        <w:rPr>
          <w:rFonts w:hint="default"/>
          <w:lang w:val="en-US" w:eastAsia="zh-CN"/>
        </w:rPr>
      </w:pPr>
      <w:r>
        <w:rPr>
          <w:rFonts w:hint="eastAsia"/>
          <w:lang w:eastAsia="zh-CN"/>
        </w:rPr>
        <w:t>(</w:t>
      </w:r>
      <w:r>
        <w:rPr>
          <w:lang w:eastAsia="zh-CN"/>
        </w:rPr>
        <w:t>1</w:t>
      </w:r>
      <w:r>
        <w:rPr>
          <w:rFonts w:hint="eastAsia"/>
          <w:lang w:eastAsia="zh-CN"/>
        </w:rPr>
        <w:t>)</w:t>
      </w:r>
      <w:r>
        <w:rPr>
          <w:lang w:eastAsia="zh-CN"/>
        </w:rPr>
        <w:t>培育目标：主要参考设计的林种有特种用途林、防护林</w:t>
      </w:r>
      <w:r>
        <w:rPr>
          <w:rFonts w:hint="eastAsia"/>
          <w:lang w:eastAsia="zh-CN"/>
        </w:rPr>
        <w:t>。</w:t>
      </w:r>
    </w:p>
    <w:p w14:paraId="4AE9D6FD">
      <w:pPr>
        <w:ind w:firstLine="480"/>
        <w:rPr>
          <w:lang w:eastAsia="zh-CN"/>
        </w:rPr>
      </w:pPr>
      <w:r>
        <w:rPr>
          <w:rFonts w:hint="eastAsia"/>
          <w:lang w:eastAsia="zh-CN"/>
        </w:rPr>
        <w:t>(</w:t>
      </w:r>
      <w:r>
        <w:rPr>
          <w:lang w:eastAsia="zh-CN"/>
        </w:rPr>
        <w:t>2</w:t>
      </w:r>
      <w:r>
        <w:rPr>
          <w:rFonts w:hint="eastAsia"/>
          <w:lang w:eastAsia="zh-CN"/>
        </w:rPr>
        <w:t>)</w:t>
      </w:r>
      <w:r>
        <w:rPr>
          <w:lang w:eastAsia="zh-CN"/>
        </w:rPr>
        <w:t>主要树种：主要参考设计的林种有杉木</w:t>
      </w:r>
      <w:r>
        <w:rPr>
          <w:rFonts w:hint="eastAsia"/>
          <w:lang w:eastAsia="zh-CN"/>
        </w:rPr>
        <w:t>(</w:t>
      </w:r>
      <w:r>
        <w:rPr>
          <w:lang w:eastAsia="zh-CN"/>
        </w:rPr>
        <w:t>柏木</w:t>
      </w:r>
      <w:r>
        <w:rPr>
          <w:rFonts w:hint="eastAsia"/>
          <w:lang w:eastAsia="zh-CN"/>
        </w:rPr>
        <w:t>)</w:t>
      </w:r>
      <w:r>
        <w:rPr>
          <w:lang w:eastAsia="zh-CN"/>
        </w:rPr>
        <w:t>、马尾松、国外松、阔叶林等。</w:t>
      </w:r>
    </w:p>
    <w:p w14:paraId="07E99097">
      <w:pPr>
        <w:ind w:firstLine="480"/>
        <w:rPr>
          <w:lang w:eastAsia="zh-CN"/>
        </w:rPr>
      </w:pPr>
      <w:r>
        <w:rPr>
          <w:rFonts w:hint="eastAsia"/>
          <w:lang w:eastAsia="zh-CN"/>
        </w:rPr>
        <w:t>(</w:t>
      </w:r>
      <w:r>
        <w:rPr>
          <w:lang w:eastAsia="zh-CN"/>
        </w:rPr>
        <w:t>3</w:t>
      </w:r>
      <w:r>
        <w:rPr>
          <w:rFonts w:hint="eastAsia"/>
          <w:lang w:eastAsia="zh-CN"/>
        </w:rPr>
        <w:t>)</w:t>
      </w:r>
      <w:r>
        <w:rPr>
          <w:lang w:eastAsia="zh-CN"/>
        </w:rPr>
        <w:t>经营周期：特种用途林和防护林经营周期为21</w:t>
      </w:r>
      <w:r>
        <w:rPr>
          <w:rFonts w:hint="eastAsia"/>
          <w:lang w:eastAsia="zh-CN"/>
        </w:rPr>
        <w:t>～</w:t>
      </w:r>
      <w:r>
        <w:rPr>
          <w:lang w:eastAsia="zh-CN"/>
        </w:rPr>
        <w:t>51年，用材林周期为16</w:t>
      </w:r>
      <w:r>
        <w:rPr>
          <w:rFonts w:hint="eastAsia"/>
          <w:lang w:eastAsia="zh-CN"/>
        </w:rPr>
        <w:t>～</w:t>
      </w:r>
      <w:r>
        <w:rPr>
          <w:lang w:eastAsia="zh-CN"/>
        </w:rPr>
        <w:t>51年。</w:t>
      </w:r>
    </w:p>
    <w:p w14:paraId="265C9AD1">
      <w:pPr>
        <w:ind w:firstLine="480"/>
        <w:rPr>
          <w:lang w:eastAsia="zh-CN"/>
        </w:rPr>
      </w:pPr>
      <w:r>
        <w:rPr>
          <w:rFonts w:hint="eastAsia"/>
          <w:lang w:eastAsia="zh-CN"/>
        </w:rPr>
        <w:t>(</w:t>
      </w:r>
      <w:r>
        <w:rPr>
          <w:lang w:eastAsia="zh-CN"/>
        </w:rPr>
        <w:t>4</w:t>
      </w:r>
      <w:r>
        <w:rPr>
          <w:rFonts w:hint="eastAsia"/>
          <w:lang w:eastAsia="zh-CN"/>
        </w:rPr>
        <w:t>)</w:t>
      </w:r>
      <w:r>
        <w:rPr>
          <w:lang w:eastAsia="zh-CN"/>
        </w:rPr>
        <w:t>培育措施：明确</w:t>
      </w:r>
      <w:r>
        <w:rPr>
          <w:rFonts w:hint="eastAsia"/>
          <w:lang w:eastAsia="zh-CN"/>
        </w:rPr>
        <w:t>适宜</w:t>
      </w:r>
      <w:r>
        <w:rPr>
          <w:lang w:eastAsia="zh-CN"/>
        </w:rPr>
        <w:t>的定株、整枝、抚育间伐等措施，包括作业起始时间、间隔期、方式、强度、主要产出，以及不同阶段生长指标要求等内容。</w:t>
      </w:r>
    </w:p>
    <w:p w14:paraId="49AC12FA">
      <w:pPr>
        <w:ind w:firstLine="480"/>
        <w:rPr>
          <w:lang w:eastAsia="zh-CN"/>
        </w:rPr>
      </w:pPr>
      <w:r>
        <w:rPr>
          <w:rFonts w:hint="eastAsia"/>
          <w:lang w:eastAsia="zh-CN"/>
        </w:rPr>
        <w:t>(</w:t>
      </w:r>
      <w:r>
        <w:rPr>
          <w:lang w:eastAsia="zh-CN"/>
        </w:rPr>
        <w:t>5</w:t>
      </w:r>
      <w:r>
        <w:rPr>
          <w:rFonts w:hint="eastAsia"/>
          <w:lang w:eastAsia="zh-CN"/>
        </w:rPr>
        <w:t>)</w:t>
      </w:r>
      <w:r>
        <w:rPr>
          <w:lang w:eastAsia="zh-CN"/>
        </w:rPr>
        <w:t>采伐更新。主伐——皆伐、择伐、渐伐，其他采伐——更新采伐，抚育采伐。</w:t>
      </w:r>
    </w:p>
    <w:p w14:paraId="6960CC7F">
      <w:pPr>
        <w:ind w:firstLine="480"/>
        <w:rPr>
          <w:lang w:eastAsia="zh-CN"/>
        </w:rPr>
      </w:pPr>
      <w:r>
        <w:rPr>
          <w:rFonts w:hint="eastAsia"/>
          <w:lang w:eastAsia="zh-CN"/>
        </w:rPr>
        <w:t>(</w:t>
      </w:r>
      <w:r>
        <w:rPr>
          <w:lang w:eastAsia="zh-CN"/>
        </w:rPr>
        <w:t>6</w:t>
      </w:r>
      <w:r>
        <w:rPr>
          <w:rFonts w:hint="eastAsia"/>
          <w:lang w:eastAsia="zh-CN"/>
        </w:rPr>
        <w:t>)</w:t>
      </w:r>
      <w:r>
        <w:rPr>
          <w:lang w:eastAsia="zh-CN"/>
        </w:rPr>
        <w:t>森林管理类型，本次仅划分为三个类型</w:t>
      </w:r>
      <w:r>
        <w:rPr>
          <w:rFonts w:eastAsia="仿宋"/>
          <w:sz w:val="28"/>
          <w:szCs w:val="28"/>
          <w:lang w:eastAsia="zh-CN"/>
        </w:rPr>
        <w:t>：</w:t>
      </w:r>
      <w:r>
        <w:rPr>
          <w:lang w:eastAsia="zh-CN"/>
        </w:rPr>
        <w:t>严格保护类型、重点保护类型、保护经营类型。</w:t>
      </w:r>
    </w:p>
    <w:p w14:paraId="41920F82">
      <w:pPr>
        <w:spacing w:line="240" w:lineRule="auto"/>
        <w:ind w:firstLine="0" w:firstLineChars="0"/>
        <w:jc w:val="center"/>
        <w:rPr>
          <w:rFonts w:eastAsia="黑体" w:cs="Times New Roman"/>
          <w:b/>
          <w:bCs/>
          <w:szCs w:val="24"/>
          <w:lang w:eastAsia="zh-CN"/>
        </w:rPr>
      </w:pPr>
      <w:r>
        <w:rPr>
          <w:rFonts w:eastAsia="黑体" w:cs="Times New Roman"/>
          <w:b/>
          <w:bCs/>
          <w:szCs w:val="24"/>
          <w:lang w:eastAsia="zh-CN"/>
        </w:rPr>
        <w:t>表4-1不同管理类型的主要经营管理策略</w:t>
      </w:r>
    </w:p>
    <w:tbl>
      <w:tblPr>
        <w:tblStyle w:val="21"/>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96"/>
        <w:gridCol w:w="4039"/>
        <w:gridCol w:w="3667"/>
      </w:tblGrid>
      <w:tr w14:paraId="20F91A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96" w:type="dxa"/>
            <w:vAlign w:val="center"/>
          </w:tcPr>
          <w:p w14:paraId="1B69D33C">
            <w:pPr>
              <w:spacing w:line="240" w:lineRule="auto"/>
              <w:ind w:firstLine="0" w:firstLineChars="0"/>
              <w:jc w:val="center"/>
              <w:rPr>
                <w:rFonts w:cs="Times New Roman"/>
                <w:sz w:val="21"/>
              </w:rPr>
            </w:pPr>
            <w:r>
              <w:rPr>
                <w:rFonts w:cs="Times New Roman"/>
                <w:sz w:val="21"/>
              </w:rPr>
              <w:t>管理类型</w:t>
            </w:r>
          </w:p>
        </w:tc>
        <w:tc>
          <w:tcPr>
            <w:tcW w:w="4039" w:type="dxa"/>
            <w:vAlign w:val="center"/>
          </w:tcPr>
          <w:p w14:paraId="45D95294">
            <w:pPr>
              <w:spacing w:line="240" w:lineRule="auto"/>
              <w:ind w:firstLine="0" w:firstLineChars="0"/>
              <w:jc w:val="center"/>
              <w:rPr>
                <w:rFonts w:cs="Times New Roman"/>
                <w:sz w:val="21"/>
              </w:rPr>
            </w:pPr>
            <w:r>
              <w:rPr>
                <w:rFonts w:cs="Times New Roman"/>
                <w:sz w:val="21"/>
              </w:rPr>
              <w:t>主要培育策略</w:t>
            </w:r>
          </w:p>
        </w:tc>
        <w:tc>
          <w:tcPr>
            <w:tcW w:w="0" w:type="auto"/>
            <w:vAlign w:val="center"/>
          </w:tcPr>
          <w:p w14:paraId="3D41D0EE">
            <w:pPr>
              <w:spacing w:line="240" w:lineRule="auto"/>
              <w:ind w:firstLine="0" w:firstLineChars="0"/>
              <w:jc w:val="center"/>
              <w:rPr>
                <w:rFonts w:cs="Times New Roman"/>
                <w:sz w:val="21"/>
              </w:rPr>
            </w:pPr>
            <w:r>
              <w:rPr>
                <w:rFonts w:cs="Times New Roman"/>
                <w:sz w:val="21"/>
              </w:rPr>
              <w:t>主要利用策略</w:t>
            </w:r>
          </w:p>
        </w:tc>
      </w:tr>
      <w:tr w14:paraId="2FFA7B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96" w:type="dxa"/>
            <w:vAlign w:val="center"/>
          </w:tcPr>
          <w:p w14:paraId="0F6CD58F">
            <w:pPr>
              <w:spacing w:line="240" w:lineRule="auto"/>
              <w:ind w:firstLine="0" w:firstLineChars="0"/>
              <w:jc w:val="center"/>
              <w:rPr>
                <w:rFonts w:cs="Times New Roman"/>
                <w:sz w:val="21"/>
              </w:rPr>
            </w:pPr>
            <w:r>
              <w:rPr>
                <w:rFonts w:cs="Times New Roman"/>
                <w:sz w:val="21"/>
              </w:rPr>
              <w:t>严格保护</w:t>
            </w:r>
          </w:p>
        </w:tc>
        <w:tc>
          <w:tcPr>
            <w:tcW w:w="4039" w:type="dxa"/>
            <w:vAlign w:val="center"/>
          </w:tcPr>
          <w:p w14:paraId="5D4999CD">
            <w:pPr>
              <w:spacing w:line="240" w:lineRule="auto"/>
              <w:ind w:firstLine="0" w:firstLineChars="0"/>
              <w:jc w:val="center"/>
              <w:rPr>
                <w:rFonts w:cs="Times New Roman"/>
                <w:sz w:val="21"/>
                <w:lang w:eastAsia="zh-CN"/>
              </w:rPr>
            </w:pPr>
            <w:r>
              <w:rPr>
                <w:rFonts w:cs="Times New Roman"/>
                <w:sz w:val="21"/>
                <w:lang w:eastAsia="zh-CN"/>
              </w:rPr>
              <w:t>仅进行适度的卫生清理</w:t>
            </w:r>
          </w:p>
        </w:tc>
        <w:tc>
          <w:tcPr>
            <w:tcW w:w="0" w:type="auto"/>
            <w:vAlign w:val="center"/>
          </w:tcPr>
          <w:p w14:paraId="6B9E38EB">
            <w:pPr>
              <w:spacing w:line="240" w:lineRule="auto"/>
              <w:ind w:firstLine="0" w:firstLineChars="0"/>
              <w:jc w:val="center"/>
              <w:rPr>
                <w:rFonts w:cs="Times New Roman"/>
                <w:sz w:val="21"/>
              </w:rPr>
            </w:pPr>
            <w:r>
              <w:rPr>
                <w:rFonts w:cs="Times New Roman"/>
                <w:sz w:val="21"/>
              </w:rPr>
              <w:t>不进行采伐利用活动</w:t>
            </w:r>
          </w:p>
        </w:tc>
      </w:tr>
      <w:tr w14:paraId="2530D5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96" w:type="dxa"/>
            <w:vAlign w:val="center"/>
          </w:tcPr>
          <w:p w14:paraId="375AAF11">
            <w:pPr>
              <w:spacing w:line="240" w:lineRule="auto"/>
              <w:ind w:firstLine="0" w:firstLineChars="0"/>
              <w:jc w:val="center"/>
              <w:rPr>
                <w:rFonts w:cs="Times New Roman"/>
                <w:sz w:val="21"/>
              </w:rPr>
            </w:pPr>
            <w:r>
              <w:rPr>
                <w:rFonts w:cs="Times New Roman"/>
                <w:sz w:val="21"/>
              </w:rPr>
              <w:t>重点保护</w:t>
            </w:r>
          </w:p>
        </w:tc>
        <w:tc>
          <w:tcPr>
            <w:tcW w:w="4039" w:type="dxa"/>
            <w:vAlign w:val="center"/>
          </w:tcPr>
          <w:p w14:paraId="2CFAFFAF">
            <w:pPr>
              <w:spacing w:line="240" w:lineRule="auto"/>
              <w:ind w:firstLine="0" w:firstLineChars="0"/>
              <w:jc w:val="center"/>
              <w:rPr>
                <w:rFonts w:cs="Times New Roman"/>
                <w:sz w:val="21"/>
                <w:lang w:eastAsia="zh-CN"/>
              </w:rPr>
            </w:pPr>
            <w:r>
              <w:rPr>
                <w:rFonts w:cs="Times New Roman"/>
                <w:sz w:val="21"/>
                <w:lang w:eastAsia="zh-CN"/>
              </w:rPr>
              <w:t>推行近自然森林经营，进行低强度的抚育间伐、卫生伐，一般不进行林下清理</w:t>
            </w:r>
          </w:p>
        </w:tc>
        <w:tc>
          <w:tcPr>
            <w:tcW w:w="0" w:type="auto"/>
            <w:vAlign w:val="center"/>
          </w:tcPr>
          <w:p w14:paraId="342FB49E">
            <w:pPr>
              <w:spacing w:line="240" w:lineRule="auto"/>
              <w:ind w:firstLine="0" w:firstLineChars="0"/>
              <w:jc w:val="center"/>
              <w:rPr>
                <w:rFonts w:cs="Times New Roman"/>
                <w:sz w:val="21"/>
                <w:lang w:eastAsia="zh-CN"/>
              </w:rPr>
            </w:pPr>
            <w:r>
              <w:rPr>
                <w:rFonts w:cs="Times New Roman"/>
                <w:sz w:val="21"/>
                <w:lang w:eastAsia="zh-CN"/>
              </w:rPr>
              <w:t>可进行低强度的更新采伐</w:t>
            </w:r>
          </w:p>
        </w:tc>
      </w:tr>
      <w:tr w14:paraId="53F367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96" w:type="dxa"/>
            <w:vAlign w:val="center"/>
          </w:tcPr>
          <w:p w14:paraId="5D731AB9">
            <w:pPr>
              <w:spacing w:line="240" w:lineRule="auto"/>
              <w:ind w:firstLine="0" w:firstLineChars="0"/>
              <w:jc w:val="center"/>
              <w:rPr>
                <w:rFonts w:cs="Times New Roman"/>
                <w:sz w:val="21"/>
              </w:rPr>
            </w:pPr>
            <w:r>
              <w:rPr>
                <w:rFonts w:cs="Times New Roman"/>
                <w:sz w:val="21"/>
              </w:rPr>
              <w:t>保护经营</w:t>
            </w:r>
          </w:p>
        </w:tc>
        <w:tc>
          <w:tcPr>
            <w:tcW w:w="4039" w:type="dxa"/>
            <w:vAlign w:val="center"/>
          </w:tcPr>
          <w:p w14:paraId="23D516CE">
            <w:pPr>
              <w:spacing w:line="240" w:lineRule="auto"/>
              <w:ind w:firstLine="0" w:firstLineChars="0"/>
              <w:jc w:val="center"/>
              <w:rPr>
                <w:rFonts w:cs="Times New Roman"/>
                <w:sz w:val="21"/>
                <w:lang w:eastAsia="zh-CN"/>
              </w:rPr>
            </w:pPr>
            <w:r>
              <w:rPr>
                <w:rFonts w:cs="Times New Roman"/>
                <w:sz w:val="21"/>
                <w:lang w:eastAsia="zh-CN"/>
              </w:rPr>
              <w:t>实行全周期经营，推行近自然森林经营，以伐促抚、采育结合</w:t>
            </w:r>
          </w:p>
        </w:tc>
        <w:tc>
          <w:tcPr>
            <w:tcW w:w="0" w:type="auto"/>
            <w:vAlign w:val="center"/>
          </w:tcPr>
          <w:p w14:paraId="40D8B062">
            <w:pPr>
              <w:spacing w:line="240" w:lineRule="auto"/>
              <w:ind w:firstLine="0" w:firstLineChars="0"/>
              <w:jc w:val="center"/>
              <w:rPr>
                <w:rFonts w:cs="Times New Roman"/>
                <w:sz w:val="21"/>
                <w:lang w:eastAsia="zh-CN"/>
              </w:rPr>
            </w:pPr>
            <w:r>
              <w:rPr>
                <w:rFonts w:cs="Times New Roman"/>
                <w:sz w:val="21"/>
                <w:lang w:eastAsia="zh-CN"/>
              </w:rPr>
              <w:t>可对主林层进行主伐、更新采伐，人工林可皆伐，控制皆伐面积</w:t>
            </w:r>
          </w:p>
        </w:tc>
      </w:tr>
    </w:tbl>
    <w:p w14:paraId="3BD1F4E4">
      <w:pPr>
        <w:pStyle w:val="4"/>
      </w:pPr>
      <w:r>
        <w:t>4.1.2森林经营类型</w:t>
      </w:r>
    </w:p>
    <w:p w14:paraId="00ACA3F3">
      <w:pPr>
        <w:ind w:firstLine="480"/>
        <w:rPr>
          <w:lang w:eastAsia="zh-CN"/>
        </w:rPr>
      </w:pPr>
      <w:r>
        <w:rPr>
          <w:lang w:eastAsia="zh-CN"/>
        </w:rPr>
        <w:t>根据林场森林经营区划、林种、树种、培育目标、森林管理类型等，本次共设计9种森林经营类型。</w:t>
      </w:r>
    </w:p>
    <w:p w14:paraId="7A1A61F0">
      <w:pPr>
        <w:ind w:firstLine="480"/>
        <w:rPr>
          <w:lang w:eastAsia="zh-CN"/>
        </w:rPr>
      </w:pPr>
      <w:r>
        <w:rPr>
          <w:rFonts w:hint="eastAsia"/>
          <w:lang w:eastAsia="zh-CN"/>
        </w:rPr>
        <w:t>(</w:t>
      </w:r>
      <w:r>
        <w:rPr>
          <w:lang w:eastAsia="zh-CN"/>
        </w:rPr>
        <w:t>1</w:t>
      </w:r>
      <w:r>
        <w:rPr>
          <w:rFonts w:hint="eastAsia"/>
          <w:lang w:eastAsia="zh-CN"/>
        </w:rPr>
        <w:t>)</w:t>
      </w:r>
      <w:r>
        <w:rPr>
          <w:lang w:eastAsia="zh-CN"/>
        </w:rPr>
        <w:t>严格保护与重点保护经营类型，优势树种只分针叶、阔叶林和马尾松、杉木</w:t>
      </w:r>
      <w:r>
        <w:rPr>
          <w:rFonts w:hint="eastAsia"/>
          <w:lang w:eastAsia="zh-CN"/>
        </w:rPr>
        <w:t>(</w:t>
      </w:r>
      <w:r>
        <w:rPr>
          <w:lang w:eastAsia="zh-CN"/>
        </w:rPr>
        <w:t>柏木</w:t>
      </w:r>
      <w:r>
        <w:rPr>
          <w:rFonts w:hint="eastAsia"/>
          <w:lang w:eastAsia="zh-CN"/>
        </w:rPr>
        <w:t>)</w:t>
      </w:r>
      <w:r>
        <w:rPr>
          <w:lang w:eastAsia="zh-CN"/>
        </w:rPr>
        <w:t>，林种只按一级林种划分。</w:t>
      </w:r>
    </w:p>
    <w:p w14:paraId="612C2B06">
      <w:pPr>
        <w:ind w:firstLine="480"/>
        <w:rPr>
          <w:lang w:eastAsia="zh-CN"/>
        </w:rPr>
      </w:pPr>
      <w:r>
        <w:rPr>
          <w:rFonts w:hint="eastAsia"/>
          <w:lang w:eastAsia="zh-CN"/>
        </w:rPr>
        <w:t>(</w:t>
      </w:r>
      <w:r>
        <w:rPr>
          <w:lang w:eastAsia="zh-CN"/>
        </w:rPr>
        <w:t>2</w:t>
      </w:r>
      <w:r>
        <w:rPr>
          <w:rFonts w:hint="eastAsia"/>
          <w:lang w:eastAsia="zh-CN"/>
        </w:rPr>
        <w:t>)</w:t>
      </w:r>
      <w:r>
        <w:rPr>
          <w:lang w:eastAsia="zh-CN"/>
        </w:rPr>
        <w:t>保护经营型优势树种分杉木和湿地松，林种细分到材种。</w:t>
      </w:r>
    </w:p>
    <w:p w14:paraId="767B6DB4">
      <w:pPr>
        <w:ind w:firstLine="480"/>
        <w:rPr>
          <w:lang w:eastAsia="zh-CN"/>
        </w:rPr>
      </w:pPr>
      <w:r>
        <w:rPr>
          <w:rFonts w:hint="eastAsia"/>
          <w:lang w:eastAsia="zh-CN"/>
        </w:rPr>
        <w:t>(</w:t>
      </w:r>
      <w:r>
        <w:rPr>
          <w:lang w:eastAsia="zh-CN"/>
        </w:rPr>
        <w:t>3</w:t>
      </w:r>
      <w:r>
        <w:rPr>
          <w:rFonts w:hint="eastAsia"/>
          <w:lang w:eastAsia="zh-CN"/>
        </w:rPr>
        <w:t>)</w:t>
      </w:r>
      <w:r>
        <w:rPr>
          <w:lang w:eastAsia="zh-CN"/>
        </w:rPr>
        <w:t>自然保护地内所有林木划分为严格保护类型。其他公益林划分为重点保护类型。</w:t>
      </w:r>
    </w:p>
    <w:p w14:paraId="782C7B23">
      <w:pPr>
        <w:spacing w:line="240" w:lineRule="auto"/>
        <w:ind w:firstLine="0" w:firstLineChars="0"/>
        <w:jc w:val="center"/>
        <w:rPr>
          <w:rFonts w:eastAsia="黑体" w:cs="Times New Roman"/>
          <w:b/>
          <w:bCs/>
          <w:szCs w:val="24"/>
          <w:lang w:eastAsia="zh-CN"/>
        </w:rPr>
      </w:pPr>
      <w:r>
        <w:rPr>
          <w:rFonts w:eastAsia="黑体" w:cs="Times New Roman"/>
          <w:b/>
          <w:bCs/>
          <w:szCs w:val="24"/>
          <w:lang w:eastAsia="zh-CN"/>
        </w:rPr>
        <w:t>表4-2林场森林经营类型设计表</w:t>
      </w:r>
    </w:p>
    <w:tbl>
      <w:tblPr>
        <w:tblStyle w:val="1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4"/>
        <w:gridCol w:w="3956"/>
        <w:gridCol w:w="3957"/>
      </w:tblGrid>
      <w:tr w14:paraId="64EAD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8" w:type="pct"/>
            <w:shd w:val="clear" w:color="auto" w:fill="auto"/>
            <w:vAlign w:val="center"/>
          </w:tcPr>
          <w:p w14:paraId="5D7CEB85">
            <w:pPr>
              <w:spacing w:line="240" w:lineRule="auto"/>
              <w:ind w:firstLine="0" w:firstLineChars="0"/>
              <w:jc w:val="center"/>
              <w:textAlignment w:val="center"/>
              <w:rPr>
                <w:rFonts w:cs="宋体"/>
                <w:bCs/>
                <w:sz w:val="21"/>
              </w:rPr>
            </w:pPr>
            <w:r>
              <w:rPr>
                <w:rFonts w:hint="eastAsia" w:cs="宋体"/>
                <w:bCs/>
                <w:sz w:val="21"/>
                <w:lang w:eastAsia="zh-CN" w:bidi="ar"/>
              </w:rPr>
              <w:t>代号</w:t>
            </w:r>
          </w:p>
        </w:tc>
        <w:tc>
          <w:tcPr>
            <w:tcW w:w="2220" w:type="pct"/>
            <w:shd w:val="clear" w:color="auto" w:fill="auto"/>
            <w:vAlign w:val="center"/>
          </w:tcPr>
          <w:p w14:paraId="1C642642">
            <w:pPr>
              <w:spacing w:line="240" w:lineRule="auto"/>
              <w:ind w:firstLine="0" w:firstLineChars="0"/>
              <w:jc w:val="center"/>
              <w:textAlignment w:val="center"/>
              <w:rPr>
                <w:rFonts w:cs="宋体"/>
                <w:bCs/>
                <w:sz w:val="21"/>
              </w:rPr>
            </w:pPr>
            <w:r>
              <w:rPr>
                <w:rFonts w:hint="eastAsia" w:cs="宋体"/>
                <w:bCs/>
                <w:sz w:val="21"/>
                <w:lang w:eastAsia="zh-CN" w:bidi="ar"/>
              </w:rPr>
              <w:t>类型名称</w:t>
            </w:r>
          </w:p>
        </w:tc>
        <w:tc>
          <w:tcPr>
            <w:tcW w:w="2220" w:type="pct"/>
            <w:shd w:val="clear" w:color="auto" w:fill="auto"/>
            <w:vAlign w:val="center"/>
          </w:tcPr>
          <w:p w14:paraId="491C7CC1">
            <w:pPr>
              <w:spacing w:line="240" w:lineRule="auto"/>
              <w:ind w:firstLine="0" w:firstLineChars="0"/>
              <w:jc w:val="center"/>
              <w:textAlignment w:val="center"/>
              <w:rPr>
                <w:rFonts w:cs="宋体"/>
                <w:bCs/>
                <w:sz w:val="21"/>
              </w:rPr>
            </w:pPr>
            <w:r>
              <w:rPr>
                <w:rFonts w:hint="eastAsia" w:cs="宋体"/>
                <w:bCs/>
                <w:sz w:val="21"/>
                <w:lang w:eastAsia="zh-CN" w:bidi="ar"/>
              </w:rPr>
              <w:t>适用对象</w:t>
            </w:r>
          </w:p>
        </w:tc>
      </w:tr>
      <w:tr w14:paraId="443A5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8" w:type="pct"/>
            <w:shd w:val="clear" w:color="auto" w:fill="auto"/>
            <w:vAlign w:val="center"/>
          </w:tcPr>
          <w:p w14:paraId="211D7CF3">
            <w:pPr>
              <w:spacing w:line="240" w:lineRule="auto"/>
              <w:ind w:firstLine="0" w:firstLineChars="0"/>
              <w:jc w:val="center"/>
              <w:textAlignment w:val="center"/>
              <w:rPr>
                <w:rFonts w:cs="宋体"/>
                <w:sz w:val="21"/>
              </w:rPr>
            </w:pPr>
            <w:r>
              <w:rPr>
                <w:rFonts w:hint="eastAsia" w:cs="宋体"/>
                <w:sz w:val="21"/>
                <w:lang w:eastAsia="zh-CN" w:bidi="ar"/>
              </w:rPr>
              <w:t>1</w:t>
            </w:r>
          </w:p>
        </w:tc>
        <w:tc>
          <w:tcPr>
            <w:tcW w:w="2220" w:type="pct"/>
            <w:shd w:val="clear" w:color="auto" w:fill="auto"/>
            <w:vAlign w:val="center"/>
          </w:tcPr>
          <w:p w14:paraId="034F45EE">
            <w:pPr>
              <w:spacing w:line="240" w:lineRule="auto"/>
              <w:ind w:firstLine="0" w:firstLineChars="0"/>
              <w:jc w:val="center"/>
              <w:textAlignment w:val="center"/>
              <w:rPr>
                <w:rFonts w:cs="宋体"/>
                <w:sz w:val="21"/>
                <w:lang w:eastAsia="zh-CN"/>
              </w:rPr>
            </w:pPr>
            <w:r>
              <w:rPr>
                <w:rFonts w:hint="eastAsia" w:cs="宋体"/>
                <w:sz w:val="21"/>
                <w:lang w:eastAsia="zh-CN" w:bidi="ar"/>
              </w:rPr>
              <w:t>灌木防护林严格保护型</w:t>
            </w:r>
          </w:p>
        </w:tc>
        <w:tc>
          <w:tcPr>
            <w:tcW w:w="2220" w:type="pct"/>
            <w:shd w:val="clear" w:color="auto" w:fill="auto"/>
            <w:vAlign w:val="center"/>
          </w:tcPr>
          <w:p w14:paraId="133A7229">
            <w:pPr>
              <w:spacing w:line="240" w:lineRule="auto"/>
              <w:ind w:firstLine="0" w:firstLineChars="0"/>
              <w:jc w:val="center"/>
              <w:textAlignment w:val="center"/>
              <w:rPr>
                <w:rFonts w:cs="宋体"/>
                <w:sz w:val="21"/>
              </w:rPr>
            </w:pPr>
            <w:r>
              <w:rPr>
                <w:rFonts w:hint="eastAsia" w:cs="宋体"/>
                <w:sz w:val="21"/>
                <w:lang w:eastAsia="zh-CN" w:bidi="ar"/>
              </w:rPr>
              <w:t>林场所有灌木防护林</w:t>
            </w:r>
          </w:p>
        </w:tc>
      </w:tr>
      <w:tr w14:paraId="08BE5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8" w:type="pct"/>
            <w:shd w:val="clear" w:color="auto" w:fill="auto"/>
            <w:vAlign w:val="center"/>
          </w:tcPr>
          <w:p w14:paraId="0D80B79E">
            <w:pPr>
              <w:spacing w:line="240" w:lineRule="auto"/>
              <w:ind w:firstLine="0" w:firstLineChars="0"/>
              <w:jc w:val="center"/>
              <w:textAlignment w:val="center"/>
              <w:rPr>
                <w:rFonts w:cs="宋体"/>
                <w:sz w:val="21"/>
              </w:rPr>
            </w:pPr>
            <w:r>
              <w:rPr>
                <w:rFonts w:hint="eastAsia" w:cs="宋体"/>
                <w:sz w:val="21"/>
                <w:lang w:eastAsia="zh-CN" w:bidi="ar"/>
              </w:rPr>
              <w:t>2</w:t>
            </w:r>
          </w:p>
        </w:tc>
        <w:tc>
          <w:tcPr>
            <w:tcW w:w="2220" w:type="pct"/>
            <w:shd w:val="clear" w:color="auto" w:fill="auto"/>
            <w:vAlign w:val="center"/>
          </w:tcPr>
          <w:p w14:paraId="1E10D74E">
            <w:pPr>
              <w:spacing w:line="240" w:lineRule="auto"/>
              <w:ind w:firstLine="0" w:firstLineChars="0"/>
              <w:jc w:val="center"/>
              <w:textAlignment w:val="center"/>
              <w:rPr>
                <w:rFonts w:cs="宋体"/>
                <w:sz w:val="21"/>
                <w:lang w:eastAsia="zh-CN"/>
              </w:rPr>
            </w:pPr>
            <w:r>
              <w:rPr>
                <w:rFonts w:hint="eastAsia" w:cs="宋体"/>
                <w:sz w:val="21"/>
                <w:lang w:eastAsia="zh-CN" w:bidi="ar"/>
              </w:rPr>
              <w:t>灌木能源林保护经营型</w:t>
            </w:r>
          </w:p>
        </w:tc>
        <w:tc>
          <w:tcPr>
            <w:tcW w:w="2220" w:type="pct"/>
            <w:shd w:val="clear" w:color="auto" w:fill="auto"/>
            <w:vAlign w:val="center"/>
          </w:tcPr>
          <w:p w14:paraId="072099F1">
            <w:pPr>
              <w:spacing w:line="240" w:lineRule="auto"/>
              <w:ind w:firstLine="0" w:firstLineChars="0"/>
              <w:jc w:val="center"/>
              <w:textAlignment w:val="center"/>
              <w:rPr>
                <w:rFonts w:cs="宋体"/>
                <w:sz w:val="21"/>
              </w:rPr>
            </w:pPr>
            <w:r>
              <w:rPr>
                <w:rFonts w:hint="eastAsia" w:cs="宋体"/>
                <w:sz w:val="21"/>
                <w:lang w:eastAsia="zh-CN" w:bidi="ar"/>
              </w:rPr>
              <w:t>林场所有灌木能源林</w:t>
            </w:r>
          </w:p>
        </w:tc>
      </w:tr>
      <w:tr w14:paraId="358CB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8" w:type="pct"/>
            <w:shd w:val="clear" w:color="auto" w:fill="auto"/>
            <w:vAlign w:val="center"/>
          </w:tcPr>
          <w:p w14:paraId="08B96A9C">
            <w:pPr>
              <w:spacing w:line="240" w:lineRule="auto"/>
              <w:ind w:firstLine="0" w:firstLineChars="0"/>
              <w:jc w:val="center"/>
              <w:textAlignment w:val="center"/>
              <w:rPr>
                <w:rFonts w:cs="宋体"/>
                <w:sz w:val="21"/>
              </w:rPr>
            </w:pPr>
            <w:r>
              <w:rPr>
                <w:rFonts w:hint="eastAsia" w:cs="宋体"/>
                <w:sz w:val="21"/>
                <w:lang w:eastAsia="zh-CN" w:bidi="ar"/>
              </w:rPr>
              <w:t>3</w:t>
            </w:r>
          </w:p>
        </w:tc>
        <w:tc>
          <w:tcPr>
            <w:tcW w:w="2220" w:type="pct"/>
            <w:shd w:val="clear" w:color="auto" w:fill="auto"/>
            <w:vAlign w:val="center"/>
          </w:tcPr>
          <w:p w14:paraId="4C3B9F10">
            <w:pPr>
              <w:spacing w:line="240" w:lineRule="auto"/>
              <w:ind w:firstLine="0" w:firstLineChars="0"/>
              <w:jc w:val="center"/>
              <w:textAlignment w:val="center"/>
              <w:rPr>
                <w:rFonts w:cs="宋体"/>
                <w:sz w:val="21"/>
                <w:lang w:eastAsia="zh-CN"/>
              </w:rPr>
            </w:pPr>
            <w:r>
              <w:rPr>
                <w:rFonts w:hint="eastAsia" w:cs="宋体"/>
                <w:sz w:val="21"/>
                <w:lang w:eastAsia="zh-CN" w:bidi="ar"/>
              </w:rPr>
              <w:t>灌木特用林严格保护型</w:t>
            </w:r>
          </w:p>
        </w:tc>
        <w:tc>
          <w:tcPr>
            <w:tcW w:w="2220" w:type="pct"/>
            <w:shd w:val="clear" w:color="auto" w:fill="auto"/>
            <w:vAlign w:val="center"/>
          </w:tcPr>
          <w:p w14:paraId="26521217">
            <w:pPr>
              <w:spacing w:line="240" w:lineRule="auto"/>
              <w:ind w:firstLine="0" w:firstLineChars="0"/>
              <w:jc w:val="center"/>
              <w:textAlignment w:val="center"/>
              <w:rPr>
                <w:rFonts w:cs="宋体"/>
                <w:sz w:val="21"/>
              </w:rPr>
            </w:pPr>
            <w:r>
              <w:rPr>
                <w:rFonts w:hint="eastAsia" w:cs="宋体"/>
                <w:sz w:val="21"/>
                <w:lang w:eastAsia="zh-CN" w:bidi="ar"/>
              </w:rPr>
              <w:t>林场所有灌木特用林</w:t>
            </w:r>
          </w:p>
        </w:tc>
      </w:tr>
      <w:tr w14:paraId="080CA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8" w:type="pct"/>
            <w:shd w:val="clear" w:color="auto" w:fill="auto"/>
            <w:vAlign w:val="center"/>
          </w:tcPr>
          <w:p w14:paraId="72702278">
            <w:pPr>
              <w:spacing w:line="240" w:lineRule="auto"/>
              <w:ind w:firstLine="0" w:firstLineChars="0"/>
              <w:jc w:val="center"/>
              <w:textAlignment w:val="center"/>
              <w:rPr>
                <w:rFonts w:cs="宋体"/>
                <w:sz w:val="21"/>
              </w:rPr>
            </w:pPr>
            <w:r>
              <w:rPr>
                <w:rFonts w:hint="eastAsia" w:cs="宋体"/>
                <w:sz w:val="21"/>
                <w:lang w:eastAsia="zh-CN" w:bidi="ar"/>
              </w:rPr>
              <w:t>4</w:t>
            </w:r>
          </w:p>
        </w:tc>
        <w:tc>
          <w:tcPr>
            <w:tcW w:w="2220" w:type="pct"/>
            <w:shd w:val="clear" w:color="auto" w:fill="auto"/>
            <w:vAlign w:val="center"/>
          </w:tcPr>
          <w:p w14:paraId="52E74AA2">
            <w:pPr>
              <w:spacing w:line="240" w:lineRule="auto"/>
              <w:ind w:firstLine="0" w:firstLineChars="0"/>
              <w:jc w:val="center"/>
              <w:textAlignment w:val="center"/>
              <w:rPr>
                <w:rFonts w:cs="宋体"/>
                <w:sz w:val="21"/>
                <w:lang w:eastAsia="zh-CN"/>
              </w:rPr>
            </w:pPr>
            <w:r>
              <w:rPr>
                <w:rFonts w:hint="eastAsia" w:cs="宋体"/>
                <w:sz w:val="21"/>
                <w:lang w:eastAsia="zh-CN" w:bidi="ar"/>
              </w:rPr>
              <w:t>马尾松防护林严格保护型</w:t>
            </w:r>
          </w:p>
        </w:tc>
        <w:tc>
          <w:tcPr>
            <w:tcW w:w="2220" w:type="pct"/>
            <w:shd w:val="clear" w:color="auto" w:fill="auto"/>
            <w:vAlign w:val="center"/>
          </w:tcPr>
          <w:p w14:paraId="0E26F834">
            <w:pPr>
              <w:spacing w:line="240" w:lineRule="auto"/>
              <w:ind w:firstLine="0" w:firstLineChars="0"/>
              <w:jc w:val="center"/>
              <w:textAlignment w:val="center"/>
              <w:rPr>
                <w:rFonts w:cs="宋体"/>
                <w:sz w:val="21"/>
                <w:lang w:eastAsia="zh-CN"/>
              </w:rPr>
            </w:pPr>
            <w:r>
              <w:rPr>
                <w:rFonts w:hint="eastAsia" w:cs="宋体"/>
                <w:sz w:val="21"/>
                <w:lang w:eastAsia="zh-CN" w:bidi="ar"/>
              </w:rPr>
              <w:t>林场所有马尾松防护林</w:t>
            </w:r>
          </w:p>
        </w:tc>
      </w:tr>
      <w:tr w14:paraId="4AD4D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8" w:type="pct"/>
            <w:shd w:val="clear" w:color="auto" w:fill="auto"/>
            <w:vAlign w:val="center"/>
          </w:tcPr>
          <w:p w14:paraId="67FF6E27">
            <w:pPr>
              <w:spacing w:line="240" w:lineRule="auto"/>
              <w:ind w:firstLine="0" w:firstLineChars="0"/>
              <w:jc w:val="center"/>
              <w:textAlignment w:val="center"/>
              <w:rPr>
                <w:rFonts w:cs="宋体"/>
                <w:sz w:val="21"/>
              </w:rPr>
            </w:pPr>
            <w:r>
              <w:rPr>
                <w:rFonts w:hint="eastAsia" w:cs="宋体"/>
                <w:sz w:val="21"/>
                <w:lang w:eastAsia="zh-CN" w:bidi="ar"/>
              </w:rPr>
              <w:t>5</w:t>
            </w:r>
          </w:p>
        </w:tc>
        <w:tc>
          <w:tcPr>
            <w:tcW w:w="2220" w:type="pct"/>
            <w:shd w:val="clear" w:color="auto" w:fill="auto"/>
            <w:vAlign w:val="center"/>
          </w:tcPr>
          <w:p w14:paraId="4D31B4AB">
            <w:pPr>
              <w:spacing w:line="240" w:lineRule="auto"/>
              <w:ind w:firstLine="0" w:firstLineChars="0"/>
              <w:jc w:val="center"/>
              <w:textAlignment w:val="center"/>
              <w:rPr>
                <w:rFonts w:cs="宋体"/>
                <w:sz w:val="21"/>
                <w:lang w:eastAsia="zh-CN"/>
              </w:rPr>
            </w:pPr>
            <w:r>
              <w:rPr>
                <w:rFonts w:hint="eastAsia" w:cs="宋体"/>
                <w:sz w:val="21"/>
                <w:lang w:eastAsia="zh-CN" w:bidi="ar"/>
              </w:rPr>
              <w:t>马尾松特用林严格保护型</w:t>
            </w:r>
          </w:p>
        </w:tc>
        <w:tc>
          <w:tcPr>
            <w:tcW w:w="2220" w:type="pct"/>
            <w:shd w:val="clear" w:color="auto" w:fill="auto"/>
            <w:vAlign w:val="center"/>
          </w:tcPr>
          <w:p w14:paraId="06ECF08C">
            <w:pPr>
              <w:spacing w:line="240" w:lineRule="auto"/>
              <w:ind w:firstLine="0" w:firstLineChars="0"/>
              <w:jc w:val="center"/>
              <w:textAlignment w:val="center"/>
              <w:rPr>
                <w:rFonts w:cs="宋体"/>
                <w:sz w:val="21"/>
                <w:lang w:eastAsia="zh-CN"/>
              </w:rPr>
            </w:pPr>
            <w:r>
              <w:rPr>
                <w:rFonts w:hint="eastAsia" w:cs="宋体"/>
                <w:sz w:val="21"/>
                <w:lang w:eastAsia="zh-CN" w:bidi="ar"/>
              </w:rPr>
              <w:t>林场所有马尾松特用林</w:t>
            </w:r>
          </w:p>
        </w:tc>
      </w:tr>
      <w:tr w14:paraId="3890D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8" w:type="pct"/>
            <w:shd w:val="clear" w:color="auto" w:fill="auto"/>
            <w:vAlign w:val="center"/>
          </w:tcPr>
          <w:p w14:paraId="6234BB93">
            <w:pPr>
              <w:spacing w:line="240" w:lineRule="auto"/>
              <w:ind w:firstLine="0" w:firstLineChars="0"/>
              <w:jc w:val="center"/>
              <w:textAlignment w:val="center"/>
              <w:rPr>
                <w:rFonts w:cs="宋体"/>
                <w:sz w:val="21"/>
              </w:rPr>
            </w:pPr>
            <w:r>
              <w:rPr>
                <w:rFonts w:hint="eastAsia" w:cs="宋体"/>
                <w:sz w:val="21"/>
                <w:lang w:eastAsia="zh-CN" w:bidi="ar"/>
              </w:rPr>
              <w:t>7</w:t>
            </w:r>
          </w:p>
        </w:tc>
        <w:tc>
          <w:tcPr>
            <w:tcW w:w="2220" w:type="pct"/>
            <w:shd w:val="clear" w:color="auto" w:fill="auto"/>
            <w:vAlign w:val="center"/>
          </w:tcPr>
          <w:p w14:paraId="1C0CD185">
            <w:pPr>
              <w:spacing w:line="240" w:lineRule="auto"/>
              <w:ind w:firstLine="0" w:firstLineChars="0"/>
              <w:jc w:val="center"/>
              <w:textAlignment w:val="center"/>
              <w:rPr>
                <w:rFonts w:cs="宋体"/>
                <w:sz w:val="21"/>
                <w:lang w:eastAsia="zh-CN"/>
              </w:rPr>
            </w:pPr>
            <w:r>
              <w:rPr>
                <w:rFonts w:hint="eastAsia" w:cs="宋体"/>
                <w:sz w:val="21"/>
                <w:lang w:eastAsia="zh-CN" w:bidi="ar"/>
              </w:rPr>
              <w:t>杉木防护林严格保护型</w:t>
            </w:r>
          </w:p>
        </w:tc>
        <w:tc>
          <w:tcPr>
            <w:tcW w:w="2220" w:type="pct"/>
            <w:shd w:val="clear" w:color="auto" w:fill="auto"/>
            <w:vAlign w:val="center"/>
          </w:tcPr>
          <w:p w14:paraId="32CE89FF">
            <w:pPr>
              <w:spacing w:line="240" w:lineRule="auto"/>
              <w:ind w:firstLine="0" w:firstLineChars="0"/>
              <w:jc w:val="center"/>
              <w:textAlignment w:val="center"/>
              <w:rPr>
                <w:rFonts w:cs="宋体"/>
                <w:sz w:val="21"/>
              </w:rPr>
            </w:pPr>
            <w:r>
              <w:rPr>
                <w:rFonts w:hint="eastAsia" w:cs="宋体"/>
                <w:sz w:val="21"/>
                <w:lang w:eastAsia="zh-CN" w:bidi="ar"/>
              </w:rPr>
              <w:t>林场所有杉木防护林</w:t>
            </w:r>
          </w:p>
        </w:tc>
      </w:tr>
      <w:tr w14:paraId="16DC8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8" w:type="pct"/>
            <w:shd w:val="clear" w:color="auto" w:fill="auto"/>
            <w:vAlign w:val="center"/>
          </w:tcPr>
          <w:p w14:paraId="28491043">
            <w:pPr>
              <w:spacing w:line="240" w:lineRule="auto"/>
              <w:ind w:firstLine="0" w:firstLineChars="0"/>
              <w:jc w:val="center"/>
              <w:textAlignment w:val="center"/>
              <w:rPr>
                <w:rFonts w:cs="宋体"/>
                <w:sz w:val="21"/>
              </w:rPr>
            </w:pPr>
            <w:r>
              <w:rPr>
                <w:rFonts w:hint="eastAsia" w:cs="宋体"/>
                <w:sz w:val="21"/>
                <w:lang w:eastAsia="zh-CN" w:bidi="ar"/>
              </w:rPr>
              <w:t>8</w:t>
            </w:r>
          </w:p>
        </w:tc>
        <w:tc>
          <w:tcPr>
            <w:tcW w:w="2220" w:type="pct"/>
            <w:shd w:val="clear" w:color="auto" w:fill="auto"/>
            <w:vAlign w:val="center"/>
          </w:tcPr>
          <w:p w14:paraId="16019097">
            <w:pPr>
              <w:spacing w:line="240" w:lineRule="auto"/>
              <w:ind w:firstLine="0" w:firstLineChars="0"/>
              <w:jc w:val="center"/>
              <w:textAlignment w:val="center"/>
              <w:rPr>
                <w:rFonts w:cs="宋体"/>
                <w:sz w:val="21"/>
                <w:lang w:eastAsia="zh-CN"/>
              </w:rPr>
            </w:pPr>
            <w:r>
              <w:rPr>
                <w:rFonts w:hint="eastAsia" w:cs="宋体"/>
                <w:sz w:val="21"/>
                <w:lang w:eastAsia="zh-CN" w:bidi="ar"/>
              </w:rPr>
              <w:t>杉木特用林严格保护型</w:t>
            </w:r>
          </w:p>
        </w:tc>
        <w:tc>
          <w:tcPr>
            <w:tcW w:w="2220" w:type="pct"/>
            <w:shd w:val="clear" w:color="auto" w:fill="auto"/>
            <w:vAlign w:val="center"/>
          </w:tcPr>
          <w:p w14:paraId="5514B7D0">
            <w:pPr>
              <w:spacing w:line="240" w:lineRule="auto"/>
              <w:ind w:firstLine="0" w:firstLineChars="0"/>
              <w:jc w:val="center"/>
              <w:textAlignment w:val="center"/>
              <w:rPr>
                <w:rFonts w:cs="宋体"/>
                <w:sz w:val="21"/>
              </w:rPr>
            </w:pPr>
            <w:r>
              <w:rPr>
                <w:rFonts w:hint="eastAsia" w:cs="宋体"/>
                <w:sz w:val="21"/>
                <w:lang w:eastAsia="zh-CN" w:bidi="ar"/>
              </w:rPr>
              <w:t>林场所有杉木特用林</w:t>
            </w:r>
          </w:p>
        </w:tc>
      </w:tr>
      <w:tr w14:paraId="2267B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8" w:type="pct"/>
            <w:shd w:val="clear" w:color="auto" w:fill="auto"/>
            <w:vAlign w:val="center"/>
          </w:tcPr>
          <w:p w14:paraId="5D984CB4">
            <w:pPr>
              <w:spacing w:line="240" w:lineRule="auto"/>
              <w:ind w:firstLine="0" w:firstLineChars="0"/>
              <w:jc w:val="center"/>
              <w:textAlignment w:val="center"/>
              <w:rPr>
                <w:rFonts w:cs="宋体"/>
                <w:sz w:val="21"/>
              </w:rPr>
            </w:pPr>
            <w:r>
              <w:rPr>
                <w:rFonts w:hint="eastAsia" w:cs="宋体"/>
                <w:sz w:val="21"/>
                <w:lang w:val="en-US" w:eastAsia="zh-CN" w:bidi="ar"/>
              </w:rPr>
              <w:t>9</w:t>
            </w:r>
          </w:p>
        </w:tc>
        <w:tc>
          <w:tcPr>
            <w:tcW w:w="2220" w:type="pct"/>
            <w:shd w:val="clear" w:color="auto" w:fill="auto"/>
            <w:vAlign w:val="center"/>
          </w:tcPr>
          <w:p w14:paraId="36C38363">
            <w:pPr>
              <w:spacing w:line="240" w:lineRule="auto"/>
              <w:ind w:firstLine="0" w:firstLineChars="0"/>
              <w:jc w:val="center"/>
              <w:textAlignment w:val="center"/>
              <w:rPr>
                <w:rFonts w:cs="宋体"/>
                <w:sz w:val="21"/>
                <w:lang w:eastAsia="zh-CN"/>
              </w:rPr>
            </w:pPr>
            <w:r>
              <w:rPr>
                <w:rFonts w:hint="eastAsia" w:cs="宋体"/>
                <w:sz w:val="21"/>
                <w:lang w:eastAsia="zh-CN" w:bidi="ar"/>
              </w:rPr>
              <w:t>硬阔防护林严格保护型</w:t>
            </w:r>
          </w:p>
        </w:tc>
        <w:tc>
          <w:tcPr>
            <w:tcW w:w="2220" w:type="pct"/>
            <w:shd w:val="clear" w:color="auto" w:fill="auto"/>
            <w:vAlign w:val="center"/>
          </w:tcPr>
          <w:p w14:paraId="05943952">
            <w:pPr>
              <w:spacing w:line="240" w:lineRule="auto"/>
              <w:ind w:firstLine="0" w:firstLineChars="0"/>
              <w:jc w:val="center"/>
              <w:textAlignment w:val="center"/>
              <w:rPr>
                <w:rFonts w:cs="宋体"/>
                <w:sz w:val="21"/>
                <w:lang w:eastAsia="zh-CN"/>
              </w:rPr>
            </w:pPr>
            <w:r>
              <w:rPr>
                <w:rFonts w:hint="eastAsia" w:cs="宋体"/>
                <w:sz w:val="21"/>
                <w:lang w:eastAsia="zh-CN" w:bidi="ar"/>
              </w:rPr>
              <w:t>林场所有硬阔叶林防护林</w:t>
            </w:r>
          </w:p>
        </w:tc>
      </w:tr>
      <w:tr w14:paraId="71BDB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8" w:type="pct"/>
            <w:shd w:val="clear" w:color="auto" w:fill="auto"/>
            <w:vAlign w:val="center"/>
          </w:tcPr>
          <w:p w14:paraId="7FB5C64B">
            <w:pPr>
              <w:spacing w:line="240" w:lineRule="auto"/>
              <w:ind w:firstLine="0" w:firstLineChars="0"/>
              <w:jc w:val="center"/>
              <w:textAlignment w:val="center"/>
              <w:rPr>
                <w:rFonts w:cs="宋体"/>
                <w:sz w:val="21"/>
              </w:rPr>
            </w:pPr>
            <w:r>
              <w:rPr>
                <w:rFonts w:hint="eastAsia" w:cs="宋体"/>
                <w:sz w:val="21"/>
                <w:lang w:eastAsia="zh-CN" w:bidi="ar"/>
              </w:rPr>
              <w:t>1</w:t>
            </w:r>
            <w:r>
              <w:rPr>
                <w:rFonts w:hint="eastAsia" w:cs="宋体"/>
                <w:sz w:val="21"/>
                <w:lang w:val="en-US" w:eastAsia="zh-CN" w:bidi="ar"/>
              </w:rPr>
              <w:t>0</w:t>
            </w:r>
          </w:p>
        </w:tc>
        <w:tc>
          <w:tcPr>
            <w:tcW w:w="2220" w:type="pct"/>
            <w:shd w:val="clear" w:color="auto" w:fill="auto"/>
            <w:vAlign w:val="center"/>
          </w:tcPr>
          <w:p w14:paraId="7B85291F">
            <w:pPr>
              <w:spacing w:line="240" w:lineRule="auto"/>
              <w:ind w:firstLine="0" w:firstLineChars="0"/>
              <w:jc w:val="center"/>
              <w:textAlignment w:val="center"/>
              <w:rPr>
                <w:rFonts w:cs="宋体"/>
                <w:sz w:val="21"/>
                <w:lang w:eastAsia="zh-CN"/>
              </w:rPr>
            </w:pPr>
            <w:r>
              <w:rPr>
                <w:rFonts w:hint="eastAsia" w:cs="宋体"/>
                <w:sz w:val="21"/>
                <w:lang w:eastAsia="zh-CN" w:bidi="ar"/>
              </w:rPr>
              <w:t>硬阔特用林严格保护型</w:t>
            </w:r>
          </w:p>
        </w:tc>
        <w:tc>
          <w:tcPr>
            <w:tcW w:w="2220" w:type="pct"/>
            <w:shd w:val="clear" w:color="auto" w:fill="auto"/>
            <w:vAlign w:val="center"/>
          </w:tcPr>
          <w:p w14:paraId="3E879075">
            <w:pPr>
              <w:spacing w:line="240" w:lineRule="auto"/>
              <w:ind w:firstLine="0" w:firstLineChars="0"/>
              <w:jc w:val="center"/>
              <w:textAlignment w:val="center"/>
              <w:rPr>
                <w:rFonts w:cs="宋体"/>
                <w:sz w:val="21"/>
              </w:rPr>
            </w:pPr>
            <w:r>
              <w:rPr>
                <w:rFonts w:hint="eastAsia" w:cs="宋体"/>
                <w:sz w:val="21"/>
                <w:lang w:eastAsia="zh-CN" w:bidi="ar"/>
              </w:rPr>
              <w:t>林场所有硬阔特用林</w:t>
            </w:r>
          </w:p>
        </w:tc>
      </w:tr>
      <w:tr w14:paraId="218B1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8" w:type="pct"/>
            <w:shd w:val="clear" w:color="auto" w:fill="auto"/>
            <w:vAlign w:val="center"/>
          </w:tcPr>
          <w:p w14:paraId="1747166F">
            <w:pPr>
              <w:spacing w:line="240" w:lineRule="auto"/>
              <w:ind w:firstLine="0" w:firstLineChars="0"/>
              <w:jc w:val="center"/>
              <w:textAlignment w:val="center"/>
              <w:rPr>
                <w:rFonts w:cs="宋体"/>
                <w:sz w:val="21"/>
              </w:rPr>
            </w:pPr>
            <w:r>
              <w:rPr>
                <w:rFonts w:hint="eastAsia" w:cs="宋体"/>
                <w:sz w:val="21"/>
                <w:lang w:eastAsia="zh-CN" w:bidi="ar"/>
              </w:rPr>
              <w:t>1</w:t>
            </w:r>
            <w:r>
              <w:rPr>
                <w:rFonts w:hint="eastAsia" w:cs="宋体"/>
                <w:sz w:val="21"/>
                <w:lang w:val="en-US" w:eastAsia="zh-CN" w:bidi="ar"/>
              </w:rPr>
              <w:t>1</w:t>
            </w:r>
          </w:p>
        </w:tc>
        <w:tc>
          <w:tcPr>
            <w:tcW w:w="2220" w:type="pct"/>
            <w:shd w:val="clear" w:color="auto" w:fill="auto"/>
            <w:vAlign w:val="center"/>
          </w:tcPr>
          <w:p w14:paraId="1D346230">
            <w:pPr>
              <w:spacing w:line="240" w:lineRule="auto"/>
              <w:ind w:firstLine="0" w:firstLineChars="0"/>
              <w:jc w:val="center"/>
              <w:textAlignment w:val="center"/>
              <w:rPr>
                <w:rFonts w:cs="宋体"/>
                <w:sz w:val="21"/>
                <w:lang w:eastAsia="zh-CN"/>
              </w:rPr>
            </w:pPr>
            <w:r>
              <w:rPr>
                <w:rFonts w:hint="eastAsia" w:cs="宋体"/>
                <w:sz w:val="21"/>
                <w:lang w:eastAsia="zh-CN" w:bidi="ar"/>
              </w:rPr>
              <w:t>针阔混防护林严格保护型</w:t>
            </w:r>
          </w:p>
        </w:tc>
        <w:tc>
          <w:tcPr>
            <w:tcW w:w="2220" w:type="pct"/>
            <w:shd w:val="clear" w:color="auto" w:fill="auto"/>
            <w:vAlign w:val="center"/>
          </w:tcPr>
          <w:p w14:paraId="7DA7984F">
            <w:pPr>
              <w:spacing w:line="240" w:lineRule="auto"/>
              <w:ind w:firstLine="0" w:firstLineChars="0"/>
              <w:jc w:val="center"/>
              <w:textAlignment w:val="center"/>
              <w:rPr>
                <w:rFonts w:cs="宋体"/>
                <w:sz w:val="21"/>
                <w:lang w:eastAsia="zh-CN"/>
              </w:rPr>
            </w:pPr>
            <w:r>
              <w:rPr>
                <w:rFonts w:hint="eastAsia" w:cs="宋体"/>
                <w:sz w:val="21"/>
                <w:lang w:eastAsia="zh-CN" w:bidi="ar"/>
              </w:rPr>
              <w:t>林场所有针阔叶林防护林</w:t>
            </w:r>
          </w:p>
        </w:tc>
      </w:tr>
      <w:tr w14:paraId="42633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8" w:type="pct"/>
            <w:shd w:val="clear" w:color="auto" w:fill="auto"/>
            <w:vAlign w:val="center"/>
          </w:tcPr>
          <w:p w14:paraId="70DE2D9C">
            <w:pPr>
              <w:spacing w:line="240" w:lineRule="auto"/>
              <w:ind w:firstLine="0" w:firstLineChars="0"/>
              <w:jc w:val="center"/>
              <w:textAlignment w:val="center"/>
              <w:rPr>
                <w:rFonts w:cs="宋体"/>
                <w:sz w:val="21"/>
              </w:rPr>
            </w:pPr>
            <w:r>
              <w:rPr>
                <w:rFonts w:hint="eastAsia" w:cs="宋体"/>
                <w:sz w:val="21"/>
                <w:lang w:eastAsia="zh-CN" w:bidi="ar"/>
              </w:rPr>
              <w:t>1</w:t>
            </w:r>
            <w:r>
              <w:rPr>
                <w:rFonts w:hint="eastAsia" w:cs="宋体"/>
                <w:sz w:val="21"/>
                <w:lang w:val="en-US" w:eastAsia="zh-CN" w:bidi="ar"/>
              </w:rPr>
              <w:t>2</w:t>
            </w:r>
          </w:p>
        </w:tc>
        <w:tc>
          <w:tcPr>
            <w:tcW w:w="2220" w:type="pct"/>
            <w:shd w:val="clear" w:color="auto" w:fill="auto"/>
            <w:vAlign w:val="center"/>
          </w:tcPr>
          <w:p w14:paraId="16889AC8">
            <w:pPr>
              <w:spacing w:line="240" w:lineRule="auto"/>
              <w:ind w:firstLine="0" w:firstLineChars="0"/>
              <w:jc w:val="center"/>
              <w:textAlignment w:val="center"/>
              <w:rPr>
                <w:rFonts w:cs="宋体"/>
                <w:sz w:val="21"/>
                <w:lang w:eastAsia="zh-CN"/>
              </w:rPr>
            </w:pPr>
            <w:r>
              <w:rPr>
                <w:rFonts w:hint="eastAsia" w:cs="宋体"/>
                <w:sz w:val="21"/>
                <w:lang w:eastAsia="zh-CN" w:bidi="ar"/>
              </w:rPr>
              <w:t>针阔混特用林严格保护型</w:t>
            </w:r>
          </w:p>
        </w:tc>
        <w:tc>
          <w:tcPr>
            <w:tcW w:w="2220" w:type="pct"/>
            <w:shd w:val="clear" w:color="auto" w:fill="auto"/>
            <w:vAlign w:val="center"/>
          </w:tcPr>
          <w:p w14:paraId="11A6ADB8">
            <w:pPr>
              <w:spacing w:line="240" w:lineRule="auto"/>
              <w:ind w:firstLine="0" w:firstLineChars="0"/>
              <w:jc w:val="center"/>
              <w:textAlignment w:val="center"/>
              <w:rPr>
                <w:rFonts w:cs="宋体"/>
                <w:sz w:val="21"/>
                <w:lang w:eastAsia="zh-CN"/>
              </w:rPr>
            </w:pPr>
            <w:r>
              <w:rPr>
                <w:rFonts w:hint="eastAsia" w:cs="宋体"/>
                <w:sz w:val="21"/>
                <w:lang w:eastAsia="zh-CN" w:bidi="ar"/>
              </w:rPr>
              <w:t>林场所有针阔混特用林</w:t>
            </w:r>
          </w:p>
        </w:tc>
      </w:tr>
      <w:tr w14:paraId="05C40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8" w:type="pct"/>
            <w:shd w:val="clear" w:color="auto" w:fill="auto"/>
            <w:vAlign w:val="center"/>
          </w:tcPr>
          <w:p w14:paraId="2EF387E3">
            <w:pPr>
              <w:spacing w:line="240" w:lineRule="auto"/>
              <w:ind w:firstLine="0" w:firstLineChars="0"/>
              <w:jc w:val="center"/>
              <w:textAlignment w:val="center"/>
              <w:rPr>
                <w:rFonts w:cs="宋体"/>
                <w:sz w:val="21"/>
              </w:rPr>
            </w:pPr>
            <w:r>
              <w:rPr>
                <w:rFonts w:hint="eastAsia" w:cs="宋体"/>
                <w:sz w:val="21"/>
                <w:lang w:eastAsia="zh-CN" w:bidi="ar"/>
              </w:rPr>
              <w:t>1</w:t>
            </w:r>
            <w:r>
              <w:rPr>
                <w:rFonts w:hint="eastAsia" w:cs="宋体"/>
                <w:sz w:val="21"/>
                <w:lang w:val="en-US" w:eastAsia="zh-CN" w:bidi="ar"/>
              </w:rPr>
              <w:t>3</w:t>
            </w:r>
          </w:p>
        </w:tc>
        <w:tc>
          <w:tcPr>
            <w:tcW w:w="2220" w:type="pct"/>
            <w:shd w:val="clear" w:color="auto" w:fill="auto"/>
            <w:vAlign w:val="center"/>
          </w:tcPr>
          <w:p w14:paraId="4FB0DF1D">
            <w:pPr>
              <w:spacing w:line="240" w:lineRule="auto"/>
              <w:ind w:firstLine="0" w:firstLineChars="0"/>
              <w:jc w:val="center"/>
              <w:textAlignment w:val="center"/>
              <w:rPr>
                <w:rFonts w:cs="宋体"/>
                <w:sz w:val="21"/>
                <w:lang w:eastAsia="zh-CN"/>
              </w:rPr>
            </w:pPr>
            <w:r>
              <w:rPr>
                <w:rFonts w:hint="eastAsia" w:cs="宋体"/>
                <w:sz w:val="21"/>
                <w:lang w:eastAsia="zh-CN" w:bidi="ar"/>
              </w:rPr>
              <w:t>竹林防护林严格保护型</w:t>
            </w:r>
          </w:p>
        </w:tc>
        <w:tc>
          <w:tcPr>
            <w:tcW w:w="2220" w:type="pct"/>
            <w:shd w:val="clear" w:color="auto" w:fill="auto"/>
            <w:vAlign w:val="center"/>
          </w:tcPr>
          <w:p w14:paraId="4F6C3898">
            <w:pPr>
              <w:spacing w:line="240" w:lineRule="auto"/>
              <w:ind w:firstLine="0" w:firstLineChars="0"/>
              <w:jc w:val="center"/>
              <w:textAlignment w:val="center"/>
              <w:rPr>
                <w:rFonts w:cs="宋体"/>
                <w:sz w:val="21"/>
              </w:rPr>
            </w:pPr>
            <w:r>
              <w:rPr>
                <w:rFonts w:hint="eastAsia" w:cs="宋体"/>
                <w:sz w:val="21"/>
                <w:lang w:eastAsia="zh-CN" w:bidi="ar"/>
              </w:rPr>
              <w:t>林场所有竹木防护林</w:t>
            </w:r>
          </w:p>
        </w:tc>
      </w:tr>
      <w:tr w14:paraId="2C291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8" w:type="pct"/>
            <w:shd w:val="clear" w:color="auto" w:fill="auto"/>
            <w:vAlign w:val="center"/>
          </w:tcPr>
          <w:p w14:paraId="4DA61E8C">
            <w:pPr>
              <w:spacing w:line="240" w:lineRule="auto"/>
              <w:ind w:firstLine="0" w:firstLineChars="0"/>
              <w:jc w:val="center"/>
              <w:textAlignment w:val="center"/>
              <w:rPr>
                <w:rFonts w:cs="宋体"/>
                <w:sz w:val="21"/>
              </w:rPr>
            </w:pPr>
            <w:r>
              <w:rPr>
                <w:rFonts w:hint="eastAsia" w:cs="宋体"/>
                <w:sz w:val="21"/>
                <w:lang w:eastAsia="zh-CN" w:bidi="ar"/>
              </w:rPr>
              <w:t>1</w:t>
            </w:r>
            <w:r>
              <w:rPr>
                <w:rFonts w:hint="eastAsia" w:cs="宋体"/>
                <w:sz w:val="21"/>
                <w:lang w:val="en-US" w:eastAsia="zh-CN" w:bidi="ar"/>
              </w:rPr>
              <w:t>4</w:t>
            </w:r>
          </w:p>
        </w:tc>
        <w:tc>
          <w:tcPr>
            <w:tcW w:w="2220" w:type="pct"/>
            <w:shd w:val="clear" w:color="auto" w:fill="auto"/>
            <w:vAlign w:val="center"/>
          </w:tcPr>
          <w:p w14:paraId="78EEBF31">
            <w:pPr>
              <w:spacing w:line="240" w:lineRule="auto"/>
              <w:ind w:firstLine="0" w:firstLineChars="0"/>
              <w:jc w:val="center"/>
              <w:textAlignment w:val="center"/>
              <w:rPr>
                <w:rFonts w:cs="宋体"/>
                <w:sz w:val="21"/>
                <w:lang w:eastAsia="zh-CN"/>
              </w:rPr>
            </w:pPr>
            <w:r>
              <w:rPr>
                <w:rFonts w:hint="eastAsia" w:cs="宋体"/>
                <w:sz w:val="21"/>
                <w:lang w:eastAsia="zh-CN" w:bidi="ar"/>
              </w:rPr>
              <w:t>竹林特用林严格保护型</w:t>
            </w:r>
          </w:p>
        </w:tc>
        <w:tc>
          <w:tcPr>
            <w:tcW w:w="2220" w:type="pct"/>
            <w:shd w:val="clear" w:color="auto" w:fill="auto"/>
            <w:vAlign w:val="center"/>
          </w:tcPr>
          <w:p w14:paraId="7A29AEF0">
            <w:pPr>
              <w:spacing w:line="240" w:lineRule="auto"/>
              <w:ind w:firstLine="0" w:firstLineChars="0"/>
              <w:jc w:val="center"/>
              <w:textAlignment w:val="center"/>
              <w:rPr>
                <w:rFonts w:cs="宋体"/>
                <w:sz w:val="21"/>
              </w:rPr>
            </w:pPr>
            <w:r>
              <w:rPr>
                <w:rFonts w:hint="eastAsia" w:cs="宋体"/>
                <w:sz w:val="21"/>
                <w:lang w:eastAsia="zh-CN" w:bidi="ar"/>
              </w:rPr>
              <w:t>林场所有竹木特用林</w:t>
            </w:r>
          </w:p>
        </w:tc>
      </w:tr>
    </w:tbl>
    <w:p w14:paraId="40244514">
      <w:pPr>
        <w:kinsoku/>
        <w:autoSpaceDE/>
        <w:autoSpaceDN/>
        <w:adjustRightInd/>
        <w:snapToGrid/>
        <w:spacing w:line="240" w:lineRule="auto"/>
        <w:ind w:firstLine="0" w:firstLineChars="0"/>
        <w:jc w:val="left"/>
        <w:textAlignment w:val="auto"/>
        <w:rPr>
          <w:rFonts w:eastAsia="华文中宋" w:cs="Times New Roman"/>
          <w:b/>
          <w:bCs/>
          <w:snapToGrid/>
          <w:color w:val="000000" w:themeColor="text1"/>
          <w:kern w:val="2"/>
          <w:sz w:val="30"/>
          <w:szCs w:val="30"/>
          <w:lang w:eastAsia="zh-CN"/>
          <w14:textFill>
            <w14:solidFill>
              <w14:schemeClr w14:val="tx1"/>
            </w14:solidFill>
          </w14:textFill>
        </w:rPr>
      </w:pPr>
      <w:r>
        <w:br w:type="page"/>
      </w:r>
    </w:p>
    <w:p w14:paraId="4A7AEDA0">
      <w:pPr>
        <w:pStyle w:val="4"/>
      </w:pPr>
      <w:r>
        <w:t>4.2.3森林经营类型的组织</w:t>
      </w:r>
    </w:p>
    <w:p w14:paraId="68FAF966">
      <w:pPr>
        <w:spacing w:line="240" w:lineRule="auto"/>
        <w:ind w:firstLine="0" w:firstLineChars="0"/>
        <w:jc w:val="center"/>
        <w:rPr>
          <w:rFonts w:eastAsia="黑体" w:cs="Times New Roman"/>
          <w:b/>
          <w:bCs/>
          <w:szCs w:val="24"/>
          <w:lang w:eastAsia="zh-CN"/>
        </w:rPr>
      </w:pPr>
      <w:r>
        <w:rPr>
          <w:rFonts w:eastAsia="黑体" w:cs="Times New Roman"/>
          <w:b/>
          <w:bCs/>
          <w:szCs w:val="24"/>
          <w:lang w:eastAsia="zh-CN"/>
        </w:rPr>
        <w:t>表4-3林场森林经营类型组织表</w:t>
      </w:r>
    </w:p>
    <w:tbl>
      <w:tblPr>
        <w:tblStyle w:val="17"/>
        <w:tblW w:w="508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62"/>
        <w:gridCol w:w="1266"/>
        <w:gridCol w:w="951"/>
        <w:gridCol w:w="1739"/>
        <w:gridCol w:w="1266"/>
        <w:gridCol w:w="953"/>
        <w:gridCol w:w="1818"/>
      </w:tblGrid>
      <w:tr w14:paraId="46A1E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6" w:hRule="atLeast"/>
          <w:tblHeader/>
        </w:trPr>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573F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bookmarkStart w:id="62" w:name="bookmark38"/>
            <w:bookmarkEnd w:id="62"/>
            <w:bookmarkStart w:id="63" w:name="_Toc21407"/>
            <w:r>
              <w:rPr>
                <w:rFonts w:hint="default" w:ascii="Times New Roman" w:hAnsi="Times New Roman" w:eastAsia="宋体" w:cs="Times New Roman"/>
                <w:i w:val="0"/>
                <w:iCs w:val="0"/>
                <w:snapToGrid w:val="0"/>
                <w:color w:val="000000"/>
                <w:kern w:val="0"/>
                <w:sz w:val="21"/>
                <w:szCs w:val="21"/>
                <w:u w:val="none"/>
                <w:lang w:val="en-US" w:eastAsia="zh-CN" w:bidi="ar"/>
              </w:rPr>
              <w:t>经营区</w:t>
            </w: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25F7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经营类型</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F8F30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经营目的</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52D1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面积</w:t>
            </w: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1948E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小班数量</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E5DA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经营周期</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78C6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主要经营措施</w:t>
            </w:r>
          </w:p>
        </w:tc>
      </w:tr>
      <w:tr w14:paraId="72802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6" w:hRule="atLeast"/>
        </w:trPr>
        <w:tc>
          <w:tcPr>
            <w:tcW w:w="587" w:type="pct"/>
            <w:vMerge w:val="restart"/>
            <w:tcBorders>
              <w:top w:val="single" w:color="000000" w:sz="4" w:space="0"/>
              <w:left w:val="single" w:color="000000" w:sz="4" w:space="0"/>
              <w:right w:val="single" w:color="000000" w:sz="4" w:space="0"/>
            </w:tcBorders>
            <w:shd w:val="clear" w:color="auto" w:fill="auto"/>
            <w:vAlign w:val="center"/>
          </w:tcPr>
          <w:p w14:paraId="665F0FFB">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1582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snapToGrid w:val="0"/>
                <w:color w:val="00B050"/>
                <w:kern w:val="0"/>
                <w:sz w:val="21"/>
                <w:szCs w:val="21"/>
                <w:u w:val="none"/>
                <w:lang w:val="en-US" w:eastAsia="zh-CN" w:bidi="ar"/>
              </w:rPr>
              <w:t>马尾松防护林重点保护型</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8F4A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snapToGrid w:val="0"/>
                <w:color w:val="00B050"/>
                <w:kern w:val="0"/>
                <w:sz w:val="21"/>
                <w:szCs w:val="21"/>
                <w:u w:val="none"/>
                <w:lang w:val="en-US" w:eastAsia="zh-CN" w:bidi="ar"/>
              </w:rPr>
              <w:t>防护林</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0FD8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B050"/>
                <w:sz w:val="21"/>
                <w:szCs w:val="21"/>
                <w:u w:val="none"/>
                <w:lang w:val="en-US"/>
              </w:rPr>
            </w:pPr>
            <w:r>
              <w:rPr>
                <w:rFonts w:hint="eastAsia" w:cs="Times New Roman"/>
                <w:i w:val="0"/>
                <w:iCs w:val="0"/>
                <w:snapToGrid w:val="0"/>
                <w:color w:val="00B050"/>
                <w:kern w:val="0"/>
                <w:sz w:val="21"/>
                <w:szCs w:val="21"/>
                <w:u w:val="none"/>
                <w:lang w:val="en-US" w:eastAsia="zh-CN" w:bidi="ar"/>
              </w:rPr>
              <w:t>294.45</w:t>
            </w: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C863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B050"/>
                <w:sz w:val="21"/>
                <w:szCs w:val="21"/>
                <w:u w:val="none"/>
                <w:lang w:val="en-US"/>
              </w:rPr>
            </w:pPr>
            <w:r>
              <w:rPr>
                <w:rFonts w:hint="eastAsia" w:cs="Times New Roman"/>
                <w:i w:val="0"/>
                <w:iCs w:val="0"/>
                <w:snapToGrid w:val="0"/>
                <w:color w:val="00B050"/>
                <w:kern w:val="0"/>
                <w:sz w:val="21"/>
                <w:szCs w:val="21"/>
                <w:u w:val="none"/>
                <w:lang w:val="en-US" w:eastAsia="zh-CN" w:bidi="ar"/>
              </w:rPr>
              <w:t>160</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4030A">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snapToGrid w:val="0"/>
                <w:color w:val="00B050"/>
                <w:kern w:val="0"/>
                <w:sz w:val="21"/>
                <w:szCs w:val="21"/>
                <w:u w:val="none"/>
                <w:lang w:val="en-US" w:eastAsia="zh-CN" w:bidi="ar"/>
              </w:rPr>
              <w:t>0-31</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1592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snapToGrid w:val="0"/>
                <w:color w:val="00B050"/>
                <w:kern w:val="0"/>
                <w:sz w:val="21"/>
                <w:szCs w:val="21"/>
                <w:u w:val="none"/>
                <w:lang w:val="en-US" w:eastAsia="zh-CN" w:bidi="ar"/>
              </w:rPr>
              <w:t>进行低强度的更新采伐</w:t>
            </w:r>
          </w:p>
        </w:tc>
      </w:tr>
      <w:tr w14:paraId="2434E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6"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096F75">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8D08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snapToGrid w:val="0"/>
                <w:color w:val="00B050"/>
                <w:kern w:val="0"/>
                <w:sz w:val="21"/>
                <w:szCs w:val="21"/>
                <w:u w:val="none"/>
                <w:lang w:val="en-US" w:eastAsia="zh-CN" w:bidi="ar"/>
              </w:rPr>
              <w:t>杉木特用林重点保护型</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CD99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snapToGrid w:val="0"/>
                <w:color w:val="00B050"/>
                <w:kern w:val="0"/>
                <w:sz w:val="21"/>
                <w:szCs w:val="21"/>
                <w:u w:val="none"/>
                <w:lang w:val="en-US" w:eastAsia="zh-CN" w:bidi="ar"/>
              </w:rPr>
              <w:t>特用林</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DA9F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snapToGrid w:val="0"/>
                <w:color w:val="00B050"/>
                <w:kern w:val="0"/>
                <w:sz w:val="21"/>
                <w:szCs w:val="21"/>
                <w:u w:val="none"/>
                <w:lang w:val="en-US" w:eastAsia="zh-CN" w:bidi="ar"/>
              </w:rPr>
              <w:t>693.34</w:t>
            </w: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1089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snapToGrid w:val="0"/>
                <w:color w:val="00B050"/>
                <w:kern w:val="0"/>
                <w:sz w:val="21"/>
                <w:szCs w:val="21"/>
                <w:u w:val="none"/>
                <w:lang w:val="en-US" w:eastAsia="zh-CN" w:bidi="ar"/>
              </w:rPr>
              <w:t>320</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05660">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snapToGrid w:val="0"/>
                <w:color w:val="00B050"/>
                <w:kern w:val="0"/>
                <w:sz w:val="21"/>
                <w:szCs w:val="21"/>
                <w:u w:val="none"/>
                <w:lang w:val="en-US" w:eastAsia="zh-CN" w:bidi="ar"/>
              </w:rPr>
              <w:t>0-31</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8AF8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snapToGrid w:val="0"/>
                <w:color w:val="00B050"/>
                <w:kern w:val="0"/>
                <w:sz w:val="21"/>
                <w:szCs w:val="21"/>
                <w:u w:val="none"/>
                <w:lang w:val="en-US" w:eastAsia="zh-CN" w:bidi="ar"/>
              </w:rPr>
              <w:t>进行低强度的更新采伐</w:t>
            </w:r>
          </w:p>
        </w:tc>
      </w:tr>
      <w:tr w14:paraId="50B9E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6"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047054">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91F1A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针阔混防护林重点保护型</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1515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防护林</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9F94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lang w:val="en-US"/>
              </w:rPr>
            </w:pPr>
            <w:r>
              <w:rPr>
                <w:rFonts w:hint="eastAsia" w:cs="Times New Roman"/>
                <w:i w:val="0"/>
                <w:iCs w:val="0"/>
                <w:snapToGrid w:val="0"/>
                <w:color w:val="FF0000"/>
                <w:kern w:val="0"/>
                <w:sz w:val="21"/>
                <w:szCs w:val="21"/>
                <w:u w:val="none"/>
                <w:lang w:val="en-US" w:eastAsia="zh-CN" w:bidi="ar"/>
              </w:rPr>
              <w:t>499.35</w:t>
            </w: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87A4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lang w:val="en-US"/>
              </w:rPr>
            </w:pPr>
            <w:r>
              <w:rPr>
                <w:rFonts w:hint="eastAsia" w:cs="Times New Roman"/>
                <w:i w:val="0"/>
                <w:iCs w:val="0"/>
                <w:snapToGrid w:val="0"/>
                <w:color w:val="FF0000"/>
                <w:kern w:val="0"/>
                <w:sz w:val="21"/>
                <w:szCs w:val="21"/>
                <w:u w:val="none"/>
                <w:lang w:val="en-US" w:eastAsia="zh-CN" w:bidi="ar"/>
              </w:rPr>
              <w:t>141</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8E69F9">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0-41</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8FBF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进行低强度的更新采伐</w:t>
            </w:r>
          </w:p>
        </w:tc>
      </w:tr>
      <w:tr w14:paraId="321B8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6"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6CDE0F">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C9CC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针阔混特用林重点保护型</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3147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特用林</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3E84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2283.36</w:t>
            </w: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0B40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576</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5FD2E">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0-41</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9626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进行低强度的更新采伐</w:t>
            </w:r>
          </w:p>
        </w:tc>
      </w:tr>
      <w:tr w14:paraId="33067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6"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AC3A3B">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DDE9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snapToGrid w:val="0"/>
                <w:color w:val="00B050"/>
                <w:kern w:val="0"/>
                <w:sz w:val="21"/>
                <w:szCs w:val="21"/>
                <w:u w:val="none"/>
                <w:lang w:val="en-US" w:eastAsia="zh-CN" w:bidi="ar"/>
              </w:rPr>
              <w:t>竹林防护林严格保护型</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7433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snapToGrid w:val="0"/>
                <w:color w:val="00B050"/>
                <w:kern w:val="0"/>
                <w:sz w:val="21"/>
                <w:szCs w:val="21"/>
                <w:u w:val="none"/>
                <w:lang w:val="en-US" w:eastAsia="zh-CN" w:bidi="ar"/>
              </w:rPr>
              <w:t>防护林</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AE57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snapToGrid w:val="0"/>
                <w:color w:val="00B050"/>
                <w:kern w:val="0"/>
                <w:sz w:val="21"/>
                <w:szCs w:val="21"/>
                <w:u w:val="none"/>
                <w:lang w:val="en-US" w:eastAsia="zh-CN" w:bidi="ar"/>
              </w:rPr>
              <w:t>45.03</w:t>
            </w: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64E0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snapToGrid w:val="0"/>
                <w:color w:val="00B050"/>
                <w:kern w:val="0"/>
                <w:sz w:val="21"/>
                <w:szCs w:val="21"/>
                <w:u w:val="none"/>
                <w:lang w:val="en-US" w:eastAsia="zh-CN" w:bidi="ar"/>
              </w:rPr>
              <w:t>17</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7BF6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B050"/>
                <w:sz w:val="21"/>
                <w:szCs w:val="21"/>
                <w:u w:val="none"/>
              </w:rPr>
            </w:pPr>
            <w:r>
              <w:rPr>
                <w:rFonts w:hint="eastAsia" w:cs="Times New Roman"/>
                <w:i w:val="0"/>
                <w:iCs w:val="0"/>
                <w:color w:val="00B050"/>
                <w:sz w:val="21"/>
                <w:szCs w:val="21"/>
                <w:u w:val="none"/>
                <w:lang w:val="en-US" w:eastAsia="zh-CN"/>
              </w:rPr>
              <w:t>0-10</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504B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snapToGrid w:val="0"/>
                <w:color w:val="00B050"/>
                <w:kern w:val="0"/>
                <w:sz w:val="21"/>
                <w:szCs w:val="21"/>
                <w:u w:val="none"/>
                <w:lang w:val="en-US" w:eastAsia="zh-CN" w:bidi="ar"/>
              </w:rPr>
              <w:t>全封</w:t>
            </w:r>
          </w:p>
        </w:tc>
      </w:tr>
      <w:tr w14:paraId="6A616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6"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3279D7">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FF0000"/>
                <w:sz w:val="21"/>
                <w:szCs w:val="21"/>
                <w:u w:val="none"/>
              </w:rPr>
            </w:pP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C003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竹林防护林重点保护型</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0C05B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防护林</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DD4A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lang w:val="en-US"/>
              </w:rPr>
            </w:pPr>
            <w:r>
              <w:rPr>
                <w:rFonts w:hint="eastAsia" w:cs="Times New Roman"/>
                <w:i w:val="0"/>
                <w:iCs w:val="0"/>
                <w:snapToGrid w:val="0"/>
                <w:color w:val="FF0000"/>
                <w:kern w:val="0"/>
                <w:sz w:val="21"/>
                <w:szCs w:val="21"/>
                <w:u w:val="none"/>
                <w:lang w:val="en-US" w:eastAsia="zh-CN" w:bidi="ar"/>
              </w:rPr>
              <w:t>84.96</w:t>
            </w: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D729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lang w:val="en-US"/>
              </w:rPr>
            </w:pPr>
            <w:r>
              <w:rPr>
                <w:rFonts w:hint="eastAsia" w:cs="Times New Roman"/>
                <w:i w:val="0"/>
                <w:iCs w:val="0"/>
                <w:snapToGrid w:val="0"/>
                <w:color w:val="FF0000"/>
                <w:kern w:val="0"/>
                <w:sz w:val="21"/>
                <w:szCs w:val="21"/>
                <w:u w:val="none"/>
                <w:lang w:val="en-US" w:eastAsia="zh-CN" w:bidi="ar"/>
              </w:rPr>
              <w:t>190</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C53BC">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FF0000"/>
                <w:sz w:val="21"/>
                <w:szCs w:val="21"/>
                <w:u w:val="none"/>
              </w:rPr>
            </w:pPr>
            <w:r>
              <w:rPr>
                <w:rFonts w:hint="eastAsia" w:cs="Times New Roman"/>
                <w:i w:val="0"/>
                <w:iCs w:val="0"/>
                <w:color w:val="FF0000"/>
                <w:sz w:val="21"/>
                <w:szCs w:val="21"/>
                <w:u w:val="none"/>
                <w:lang w:val="en-US" w:eastAsia="zh-CN"/>
              </w:rPr>
              <w:t>0-10</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CE0EF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进行低强度的更新采伐</w:t>
            </w:r>
          </w:p>
        </w:tc>
      </w:tr>
      <w:tr w14:paraId="3B5811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6"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DCFB87">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6E27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snapToGrid w:val="0"/>
                <w:color w:val="00B050"/>
                <w:kern w:val="0"/>
                <w:sz w:val="21"/>
                <w:szCs w:val="21"/>
                <w:u w:val="none"/>
                <w:lang w:val="en-US" w:eastAsia="zh-CN" w:bidi="ar"/>
              </w:rPr>
              <w:t>竹林特用林严格保护型</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033A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snapToGrid w:val="0"/>
                <w:color w:val="00B050"/>
                <w:kern w:val="0"/>
                <w:sz w:val="21"/>
                <w:szCs w:val="21"/>
                <w:u w:val="none"/>
                <w:lang w:val="en-US" w:eastAsia="zh-CN" w:bidi="ar"/>
              </w:rPr>
              <w:t>防护林</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3FB4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snapToGrid w:val="0"/>
                <w:color w:val="00B050"/>
                <w:kern w:val="0"/>
                <w:sz w:val="21"/>
                <w:szCs w:val="21"/>
                <w:u w:val="none"/>
                <w:lang w:val="en-US" w:eastAsia="zh-CN" w:bidi="ar"/>
              </w:rPr>
              <w:t>549.38</w:t>
            </w: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41AE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snapToGrid w:val="0"/>
                <w:color w:val="00B050"/>
                <w:kern w:val="0"/>
                <w:sz w:val="21"/>
                <w:szCs w:val="21"/>
                <w:u w:val="none"/>
                <w:lang w:val="en-US" w:eastAsia="zh-CN" w:bidi="ar"/>
              </w:rPr>
              <w:t>262</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CD5A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B050"/>
                <w:sz w:val="21"/>
                <w:szCs w:val="21"/>
                <w:u w:val="none"/>
              </w:rPr>
            </w:pPr>
            <w:r>
              <w:rPr>
                <w:rFonts w:hint="eastAsia" w:cs="Times New Roman"/>
                <w:i w:val="0"/>
                <w:iCs w:val="0"/>
                <w:color w:val="00B050"/>
                <w:sz w:val="21"/>
                <w:szCs w:val="21"/>
                <w:u w:val="none"/>
                <w:lang w:val="en-US" w:eastAsia="zh-CN"/>
              </w:rPr>
              <w:t>0-10</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D72B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snapToGrid w:val="0"/>
                <w:color w:val="00B050"/>
                <w:kern w:val="0"/>
                <w:sz w:val="21"/>
                <w:szCs w:val="21"/>
                <w:u w:val="none"/>
                <w:lang w:val="en-US" w:eastAsia="zh-CN" w:bidi="ar"/>
              </w:rPr>
              <w:t>全封</w:t>
            </w:r>
          </w:p>
        </w:tc>
      </w:tr>
      <w:tr w14:paraId="7BA97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6" w:hRule="atLeast"/>
        </w:trPr>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9394ED">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3495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竹林特用林重点保护型</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E3CF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防护林</w:t>
            </w:r>
          </w:p>
        </w:tc>
        <w:tc>
          <w:tcPr>
            <w:tcW w:w="9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E875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3249.62</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A26E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666</w:t>
            </w:r>
          </w:p>
        </w:tc>
        <w:tc>
          <w:tcPr>
            <w:tcW w:w="5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71F93">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FF0000"/>
                <w:sz w:val="21"/>
                <w:szCs w:val="21"/>
                <w:u w:val="none"/>
              </w:rPr>
            </w:pPr>
            <w:r>
              <w:rPr>
                <w:rFonts w:hint="eastAsia" w:cs="Times New Roman"/>
                <w:i w:val="0"/>
                <w:iCs w:val="0"/>
                <w:color w:val="FF0000"/>
                <w:sz w:val="21"/>
                <w:szCs w:val="21"/>
                <w:u w:val="none"/>
                <w:lang w:val="en-US" w:eastAsia="zh-CN"/>
              </w:rPr>
              <w:t>0-10</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C4A2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snapToGrid w:val="0"/>
                <w:color w:val="FF0000"/>
                <w:kern w:val="0"/>
                <w:sz w:val="21"/>
                <w:szCs w:val="21"/>
                <w:u w:val="none"/>
                <w:lang w:val="en-US" w:eastAsia="zh-CN" w:bidi="ar"/>
              </w:rPr>
              <w:t>进行低强度的更新采伐</w:t>
            </w:r>
          </w:p>
        </w:tc>
      </w:tr>
      <w:tr w14:paraId="0E8F13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6" w:hRule="atLeast"/>
        </w:trPr>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CB5C3">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E12B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snapToGrid w:val="0"/>
                <w:color w:val="FF0000"/>
                <w:kern w:val="0"/>
                <w:sz w:val="21"/>
                <w:szCs w:val="21"/>
                <w:u w:val="none"/>
                <w:lang w:val="en-US" w:eastAsia="zh-CN" w:bidi="ar"/>
              </w:rPr>
            </w:pP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50AD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snapToGrid w:val="0"/>
                <w:color w:val="FF0000"/>
                <w:kern w:val="0"/>
                <w:sz w:val="21"/>
                <w:szCs w:val="21"/>
                <w:u w:val="none"/>
                <w:lang w:val="en-US" w:eastAsia="zh-CN" w:bidi="ar"/>
              </w:rPr>
            </w:pPr>
          </w:p>
        </w:tc>
        <w:tc>
          <w:tcPr>
            <w:tcW w:w="9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022C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snapToGrid w:val="0"/>
                <w:color w:val="FF0000"/>
                <w:kern w:val="0"/>
                <w:sz w:val="21"/>
                <w:szCs w:val="21"/>
                <w:u w:val="none"/>
                <w:lang w:val="en-US" w:eastAsia="zh-CN" w:bidi="ar"/>
              </w:rPr>
            </w:pPr>
            <w:r>
              <w:rPr>
                <w:rFonts w:hint="eastAsia" w:cs="Times New Roman"/>
                <w:i w:val="0"/>
                <w:iCs w:val="0"/>
                <w:snapToGrid w:val="0"/>
                <w:color w:val="FF0000"/>
                <w:kern w:val="0"/>
                <w:sz w:val="21"/>
                <w:szCs w:val="21"/>
                <w:u w:val="none"/>
                <w:lang w:val="en-US" w:eastAsia="zh-CN" w:bidi="ar"/>
              </w:rPr>
              <w:t>认证面积7699.19</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EB93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snapToGrid w:val="0"/>
                <w:color w:val="FF0000"/>
                <w:kern w:val="0"/>
                <w:sz w:val="21"/>
                <w:szCs w:val="21"/>
                <w:u w:val="none"/>
                <w:lang w:val="en-US" w:eastAsia="zh-CN" w:bidi="ar"/>
              </w:rPr>
            </w:pPr>
            <w:r>
              <w:rPr>
                <w:rFonts w:hint="eastAsia" w:cs="Times New Roman"/>
                <w:i w:val="0"/>
                <w:iCs w:val="0"/>
                <w:snapToGrid w:val="0"/>
                <w:color w:val="FF0000"/>
                <w:kern w:val="0"/>
                <w:sz w:val="21"/>
                <w:szCs w:val="21"/>
                <w:u w:val="none"/>
                <w:lang w:val="en-US" w:eastAsia="zh-CN" w:bidi="ar"/>
              </w:rPr>
              <w:t>2332个小班</w:t>
            </w:r>
          </w:p>
        </w:tc>
        <w:tc>
          <w:tcPr>
            <w:tcW w:w="5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5D281">
            <w:pPr>
              <w:keepNext w:val="0"/>
              <w:keepLines w:val="0"/>
              <w:pageBreakBefore w:val="0"/>
              <w:widowControl/>
              <w:wordWrap/>
              <w:overflowPunct/>
              <w:topLinePunct w:val="0"/>
              <w:bidi w:val="0"/>
              <w:spacing w:line="240" w:lineRule="auto"/>
              <w:ind w:firstLine="0" w:firstLineChars="0"/>
              <w:jc w:val="center"/>
              <w:rPr>
                <w:rFonts w:hint="eastAsia" w:cs="Times New Roman"/>
                <w:i w:val="0"/>
                <w:iCs w:val="0"/>
                <w:color w:val="FF0000"/>
                <w:sz w:val="21"/>
                <w:szCs w:val="21"/>
                <w:u w:val="none"/>
                <w:lang w:val="en-US" w:eastAsia="zh-CN"/>
              </w:rPr>
            </w:pP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88EC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snapToGrid w:val="0"/>
                <w:color w:val="FF0000"/>
                <w:kern w:val="0"/>
                <w:sz w:val="21"/>
                <w:szCs w:val="21"/>
                <w:u w:val="none"/>
                <w:lang w:val="en-US" w:eastAsia="zh-CN" w:bidi="ar"/>
              </w:rPr>
            </w:pPr>
          </w:p>
        </w:tc>
      </w:tr>
      <w:tr w14:paraId="2E400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6"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544673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snapToGrid w:val="0"/>
                <w:color w:val="FF0000"/>
                <w:kern w:val="0"/>
                <w:sz w:val="21"/>
                <w:szCs w:val="21"/>
                <w:u w:val="none"/>
                <w:lang w:val="en-US" w:eastAsia="zh-CN" w:bidi="ar"/>
              </w:rPr>
            </w:pPr>
            <w:r>
              <w:rPr>
                <w:rFonts w:hint="eastAsia" w:cs="Times New Roman"/>
                <w:i w:val="0"/>
                <w:iCs w:val="0"/>
                <w:snapToGrid w:val="0"/>
                <w:color w:val="FF0000"/>
                <w:kern w:val="0"/>
                <w:sz w:val="21"/>
                <w:szCs w:val="21"/>
                <w:u w:val="none"/>
                <w:lang w:val="en-US" w:eastAsia="zh-CN" w:bidi="ar"/>
              </w:rPr>
              <w:t>备注：认证面积7699.19公顷（红色和绿色字体标注），其中高保林</w:t>
            </w:r>
            <w:r>
              <w:rPr>
                <w:rFonts w:hint="eastAsia" w:ascii="宋体" w:hAnsi="宋体" w:cs="宋体"/>
                <w:color w:val="000000"/>
                <w:sz w:val="22"/>
                <w:szCs w:val="22"/>
              </w:rPr>
              <w:t>3770.2</w:t>
            </w:r>
            <w:r>
              <w:rPr>
                <w:rFonts w:hint="eastAsia" w:cs="Times New Roman"/>
                <w:i w:val="0"/>
                <w:iCs w:val="0"/>
                <w:snapToGrid w:val="0"/>
                <w:color w:val="FF0000"/>
                <w:kern w:val="0"/>
                <w:sz w:val="21"/>
                <w:szCs w:val="21"/>
                <w:u w:val="none"/>
                <w:lang w:val="en-US" w:eastAsia="zh-CN" w:bidi="ar"/>
              </w:rPr>
              <w:t>公顷（绿色字体标注）</w:t>
            </w:r>
          </w:p>
        </w:tc>
      </w:tr>
    </w:tbl>
    <w:p w14:paraId="18B96D84">
      <w:pPr>
        <w:ind w:firstLine="480"/>
        <w:rPr>
          <w:lang w:eastAsia="zh-CN"/>
        </w:rPr>
      </w:pPr>
    </w:p>
    <w:p w14:paraId="78719085">
      <w:pPr>
        <w:kinsoku/>
        <w:autoSpaceDE/>
        <w:autoSpaceDN/>
        <w:adjustRightInd/>
        <w:snapToGrid/>
        <w:spacing w:line="240" w:lineRule="auto"/>
        <w:ind w:firstLine="0" w:firstLineChars="0"/>
        <w:jc w:val="left"/>
        <w:textAlignment w:val="auto"/>
        <w:rPr>
          <w:rFonts w:eastAsia="华文中宋" w:cs="Times New Roman"/>
          <w:b/>
          <w:sz w:val="32"/>
          <w:lang w:eastAsia="zh-CN"/>
        </w:rPr>
      </w:pPr>
      <w:r>
        <w:rPr>
          <w:lang w:eastAsia="zh-CN"/>
        </w:rPr>
        <w:br w:type="page"/>
      </w:r>
    </w:p>
    <w:p w14:paraId="37C23574">
      <w:pPr>
        <w:pStyle w:val="3"/>
        <w:rPr>
          <w:lang w:eastAsia="zh-CN"/>
        </w:rPr>
      </w:pPr>
      <w:r>
        <w:rPr>
          <w:lang w:eastAsia="zh-CN"/>
        </w:rPr>
        <w:t>4.2森林经营技术措施</w:t>
      </w:r>
      <w:bookmarkEnd w:id="63"/>
    </w:p>
    <w:p w14:paraId="308975CA">
      <w:pPr>
        <w:pStyle w:val="4"/>
      </w:pPr>
      <w:r>
        <w:t>4.2.1立地分类与立地质量等级划分</w:t>
      </w:r>
    </w:p>
    <w:p w14:paraId="24788746">
      <w:pPr>
        <w:ind w:firstLine="480"/>
        <w:rPr>
          <w:rFonts w:eastAsia="仿宋"/>
          <w:sz w:val="28"/>
          <w:szCs w:val="28"/>
          <w:lang w:eastAsia="zh-CN"/>
        </w:rPr>
      </w:pPr>
      <w:r>
        <w:rPr>
          <w:lang w:eastAsia="zh-CN"/>
        </w:rPr>
        <w:t>根据林场的</w:t>
      </w:r>
      <w:r>
        <w:rPr>
          <w:rFonts w:hint="eastAsia"/>
          <w:lang w:eastAsia="zh-CN"/>
        </w:rPr>
        <w:t>海拔</w:t>
      </w:r>
      <w:r>
        <w:rPr>
          <w:lang w:eastAsia="zh-CN"/>
        </w:rPr>
        <w:t>、成土母质母岩、坡位、土层厚度和腐殖质厚度等，编制林场立地类型表和立地质量等级划分表。见表4-4、表4-5。</w:t>
      </w:r>
    </w:p>
    <w:p w14:paraId="3A955607">
      <w:pPr>
        <w:spacing w:line="327" w:lineRule="auto"/>
        <w:ind w:firstLine="560"/>
        <w:rPr>
          <w:rFonts w:eastAsia="仿宋" w:cs="Times New Roman"/>
          <w:sz w:val="28"/>
          <w:szCs w:val="28"/>
          <w:lang w:eastAsia="zh-CN"/>
        </w:rPr>
        <w:sectPr>
          <w:headerReference r:id="rId26" w:type="default"/>
          <w:footerReference r:id="rId27" w:type="default"/>
          <w:pgSz w:w="11905" w:h="16843"/>
          <w:pgMar w:top="1440" w:right="1406" w:bottom="1440" w:left="1803" w:header="873" w:footer="1276" w:gutter="0"/>
          <w:cols w:space="0" w:num="1"/>
          <w:rtlGutter w:val="0"/>
          <w:docGrid w:linePitch="326" w:charSpace="0"/>
        </w:sectPr>
      </w:pPr>
    </w:p>
    <w:p w14:paraId="3CC3B10A">
      <w:pPr>
        <w:spacing w:line="240" w:lineRule="auto"/>
        <w:ind w:firstLine="0" w:firstLineChars="0"/>
        <w:jc w:val="center"/>
        <w:rPr>
          <w:rFonts w:eastAsia="黑体" w:cs="Times New Roman"/>
          <w:b/>
          <w:bCs/>
          <w:szCs w:val="24"/>
          <w:lang w:eastAsia="zh-CN"/>
        </w:rPr>
      </w:pPr>
      <w:r>
        <w:rPr>
          <w:rFonts w:eastAsia="黑体" w:cs="Times New Roman"/>
          <w:b/>
          <w:bCs/>
          <w:szCs w:val="24"/>
          <w:lang w:eastAsia="zh-CN"/>
        </w:rPr>
        <w:t>表4-4立地类型表</w:t>
      </w:r>
    </w:p>
    <w:p w14:paraId="3A6B9131">
      <w:pPr>
        <w:spacing w:line="240" w:lineRule="auto"/>
        <w:ind w:firstLine="0" w:firstLineChars="0"/>
        <w:jc w:val="right"/>
        <w:rPr>
          <w:rFonts w:cs="Times New Roman"/>
          <w:sz w:val="21"/>
          <w:lang w:eastAsia="zh-CN"/>
        </w:rPr>
      </w:pPr>
      <w:r>
        <w:rPr>
          <w:rFonts w:cs="Times New Roman"/>
          <w:sz w:val="21"/>
          <w:lang w:eastAsia="zh-CN"/>
        </w:rPr>
        <w:t>单位：m、cm、°、%</w:t>
      </w:r>
    </w:p>
    <w:tbl>
      <w:tblPr>
        <w:tblStyle w:val="21"/>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39"/>
        <w:gridCol w:w="1246"/>
        <w:gridCol w:w="623"/>
        <w:gridCol w:w="1093"/>
        <w:gridCol w:w="1093"/>
        <w:gridCol w:w="780"/>
        <w:gridCol w:w="1246"/>
        <w:gridCol w:w="1095"/>
        <w:gridCol w:w="2185"/>
        <w:gridCol w:w="942"/>
        <w:gridCol w:w="2624"/>
      </w:tblGrid>
      <w:tr w14:paraId="00369F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372" w:type="pct"/>
            <w:vMerge w:val="restart"/>
            <w:tcBorders>
              <w:bottom w:val="nil"/>
            </w:tcBorders>
            <w:vAlign w:val="center"/>
          </w:tcPr>
          <w:p w14:paraId="4BADE65B">
            <w:pPr>
              <w:spacing w:line="240" w:lineRule="auto"/>
              <w:ind w:firstLine="0" w:firstLineChars="0"/>
              <w:jc w:val="center"/>
              <w:rPr>
                <w:rFonts w:cs="Times New Roman"/>
                <w:sz w:val="21"/>
              </w:rPr>
            </w:pPr>
            <w:r>
              <w:rPr>
                <w:rFonts w:cs="Times New Roman"/>
                <w:sz w:val="21"/>
              </w:rPr>
              <w:t>立地</w:t>
            </w:r>
          </w:p>
          <w:p w14:paraId="696B1DED">
            <w:pPr>
              <w:spacing w:line="240" w:lineRule="auto"/>
              <w:ind w:firstLine="0" w:firstLineChars="0"/>
              <w:jc w:val="center"/>
              <w:rPr>
                <w:rFonts w:cs="Times New Roman"/>
                <w:sz w:val="21"/>
              </w:rPr>
            </w:pPr>
            <w:r>
              <w:rPr>
                <w:rFonts w:cs="Times New Roman"/>
                <w:sz w:val="21"/>
              </w:rPr>
              <w:t>类型</w:t>
            </w:r>
          </w:p>
          <w:p w14:paraId="4D680A61">
            <w:pPr>
              <w:spacing w:line="240" w:lineRule="auto"/>
              <w:ind w:firstLine="0" w:firstLineChars="0"/>
              <w:jc w:val="center"/>
              <w:rPr>
                <w:rFonts w:cs="Times New Roman"/>
                <w:sz w:val="21"/>
              </w:rPr>
            </w:pPr>
            <w:r>
              <w:rPr>
                <w:rFonts w:cs="Times New Roman"/>
                <w:sz w:val="21"/>
              </w:rPr>
              <w:t>组</w:t>
            </w:r>
          </w:p>
        </w:tc>
        <w:tc>
          <w:tcPr>
            <w:tcW w:w="446" w:type="pct"/>
            <w:vMerge w:val="restart"/>
            <w:tcBorders>
              <w:bottom w:val="nil"/>
            </w:tcBorders>
            <w:vAlign w:val="center"/>
          </w:tcPr>
          <w:p w14:paraId="2B62F9B1">
            <w:pPr>
              <w:spacing w:line="240" w:lineRule="auto"/>
              <w:ind w:firstLine="0" w:firstLineChars="0"/>
              <w:jc w:val="center"/>
              <w:rPr>
                <w:rFonts w:cs="Times New Roman"/>
                <w:sz w:val="21"/>
              </w:rPr>
            </w:pPr>
            <w:r>
              <w:rPr>
                <w:rFonts w:cs="Times New Roman"/>
                <w:sz w:val="21"/>
              </w:rPr>
              <w:t>立地类型名称</w:t>
            </w:r>
          </w:p>
        </w:tc>
        <w:tc>
          <w:tcPr>
            <w:tcW w:w="223" w:type="pct"/>
            <w:vMerge w:val="restart"/>
            <w:tcBorders>
              <w:bottom w:val="nil"/>
            </w:tcBorders>
            <w:textDirection w:val="tbRlV"/>
            <w:vAlign w:val="center"/>
          </w:tcPr>
          <w:p w14:paraId="0F11B599">
            <w:pPr>
              <w:spacing w:line="240" w:lineRule="auto"/>
              <w:ind w:firstLine="0" w:firstLineChars="0"/>
              <w:jc w:val="center"/>
              <w:rPr>
                <w:rFonts w:cs="Times New Roman"/>
                <w:sz w:val="21"/>
              </w:rPr>
            </w:pPr>
            <w:r>
              <w:rPr>
                <w:rFonts w:cs="Times New Roman"/>
                <w:sz w:val="21"/>
              </w:rPr>
              <w:t>代号</w:t>
            </w:r>
          </w:p>
        </w:tc>
        <w:tc>
          <w:tcPr>
            <w:tcW w:w="3017" w:type="pct"/>
            <w:gridSpan w:val="7"/>
            <w:vAlign w:val="center"/>
          </w:tcPr>
          <w:p w14:paraId="35706E32">
            <w:pPr>
              <w:spacing w:line="240" w:lineRule="auto"/>
              <w:ind w:firstLine="0" w:firstLineChars="0"/>
              <w:jc w:val="center"/>
              <w:rPr>
                <w:rFonts w:cs="Times New Roman"/>
                <w:sz w:val="21"/>
              </w:rPr>
            </w:pPr>
            <w:r>
              <w:rPr>
                <w:rFonts w:cs="Times New Roman"/>
                <w:sz w:val="21"/>
              </w:rPr>
              <w:t>立地因子</w:t>
            </w:r>
          </w:p>
        </w:tc>
        <w:tc>
          <w:tcPr>
            <w:tcW w:w="939" w:type="pct"/>
            <w:vAlign w:val="center"/>
          </w:tcPr>
          <w:p w14:paraId="3540562C">
            <w:pPr>
              <w:spacing w:line="240" w:lineRule="auto"/>
              <w:ind w:firstLine="0" w:firstLineChars="0"/>
              <w:jc w:val="center"/>
              <w:rPr>
                <w:rFonts w:cs="Times New Roman"/>
                <w:sz w:val="21"/>
              </w:rPr>
            </w:pPr>
            <w:r>
              <w:rPr>
                <w:rFonts w:cs="Times New Roman"/>
                <w:sz w:val="21"/>
              </w:rPr>
              <w:t>规划树种</w:t>
            </w:r>
          </w:p>
        </w:tc>
      </w:tr>
      <w:tr w14:paraId="5E7514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372" w:type="pct"/>
            <w:vMerge w:val="continue"/>
            <w:tcBorders>
              <w:top w:val="nil"/>
              <w:bottom w:val="nil"/>
            </w:tcBorders>
            <w:vAlign w:val="center"/>
          </w:tcPr>
          <w:p w14:paraId="4AA29EBE">
            <w:pPr>
              <w:spacing w:line="240" w:lineRule="auto"/>
              <w:ind w:firstLine="0" w:firstLineChars="0"/>
              <w:jc w:val="center"/>
              <w:rPr>
                <w:rFonts w:cs="Times New Roman"/>
                <w:sz w:val="21"/>
              </w:rPr>
            </w:pPr>
          </w:p>
        </w:tc>
        <w:tc>
          <w:tcPr>
            <w:tcW w:w="446" w:type="pct"/>
            <w:vMerge w:val="continue"/>
            <w:tcBorders>
              <w:top w:val="nil"/>
              <w:bottom w:val="nil"/>
            </w:tcBorders>
            <w:vAlign w:val="center"/>
          </w:tcPr>
          <w:p w14:paraId="5BB0AFB9">
            <w:pPr>
              <w:spacing w:line="240" w:lineRule="auto"/>
              <w:ind w:firstLine="0" w:firstLineChars="0"/>
              <w:jc w:val="center"/>
              <w:rPr>
                <w:rFonts w:cs="Times New Roman"/>
                <w:sz w:val="21"/>
              </w:rPr>
            </w:pPr>
          </w:p>
        </w:tc>
        <w:tc>
          <w:tcPr>
            <w:tcW w:w="223" w:type="pct"/>
            <w:vMerge w:val="continue"/>
            <w:tcBorders>
              <w:top w:val="nil"/>
              <w:bottom w:val="nil"/>
            </w:tcBorders>
            <w:textDirection w:val="tbRlV"/>
            <w:vAlign w:val="center"/>
          </w:tcPr>
          <w:p w14:paraId="2452261F">
            <w:pPr>
              <w:spacing w:line="240" w:lineRule="auto"/>
              <w:ind w:firstLine="0" w:firstLineChars="0"/>
              <w:jc w:val="center"/>
              <w:rPr>
                <w:rFonts w:cs="Times New Roman"/>
                <w:sz w:val="21"/>
              </w:rPr>
            </w:pPr>
          </w:p>
        </w:tc>
        <w:tc>
          <w:tcPr>
            <w:tcW w:w="1061" w:type="pct"/>
            <w:gridSpan w:val="3"/>
            <w:vAlign w:val="center"/>
          </w:tcPr>
          <w:p w14:paraId="7E8D4BE6">
            <w:pPr>
              <w:spacing w:line="240" w:lineRule="auto"/>
              <w:ind w:firstLine="0" w:firstLineChars="0"/>
              <w:jc w:val="center"/>
              <w:rPr>
                <w:rFonts w:cs="Times New Roman"/>
                <w:sz w:val="21"/>
              </w:rPr>
            </w:pPr>
            <w:r>
              <w:rPr>
                <w:rFonts w:cs="Times New Roman"/>
                <w:sz w:val="21"/>
              </w:rPr>
              <w:t>地形</w:t>
            </w:r>
          </w:p>
        </w:tc>
        <w:tc>
          <w:tcPr>
            <w:tcW w:w="838" w:type="pct"/>
            <w:gridSpan w:val="2"/>
            <w:vAlign w:val="center"/>
          </w:tcPr>
          <w:p w14:paraId="0DA5B231">
            <w:pPr>
              <w:spacing w:line="240" w:lineRule="auto"/>
              <w:ind w:firstLine="0" w:firstLineChars="0"/>
              <w:jc w:val="center"/>
              <w:rPr>
                <w:rFonts w:cs="Times New Roman"/>
                <w:sz w:val="21"/>
              </w:rPr>
            </w:pPr>
            <w:r>
              <w:rPr>
                <w:rFonts w:cs="Times New Roman"/>
                <w:sz w:val="21"/>
              </w:rPr>
              <w:t>土壤</w:t>
            </w:r>
          </w:p>
        </w:tc>
        <w:tc>
          <w:tcPr>
            <w:tcW w:w="1118" w:type="pct"/>
            <w:gridSpan w:val="2"/>
            <w:vAlign w:val="center"/>
          </w:tcPr>
          <w:p w14:paraId="28B1AA30">
            <w:pPr>
              <w:spacing w:line="240" w:lineRule="auto"/>
              <w:ind w:firstLine="0" w:firstLineChars="0"/>
              <w:jc w:val="center"/>
              <w:rPr>
                <w:rFonts w:cs="Times New Roman"/>
                <w:sz w:val="21"/>
              </w:rPr>
            </w:pPr>
            <w:r>
              <w:rPr>
                <w:rFonts w:cs="Times New Roman"/>
                <w:sz w:val="21"/>
              </w:rPr>
              <w:t>主要植被</w:t>
            </w:r>
          </w:p>
        </w:tc>
        <w:tc>
          <w:tcPr>
            <w:tcW w:w="939" w:type="pct"/>
            <w:vMerge w:val="restart"/>
            <w:tcBorders>
              <w:bottom w:val="nil"/>
            </w:tcBorders>
            <w:vAlign w:val="center"/>
          </w:tcPr>
          <w:p w14:paraId="42DAC99B">
            <w:pPr>
              <w:spacing w:line="240" w:lineRule="auto"/>
              <w:ind w:firstLine="0" w:firstLineChars="0"/>
              <w:jc w:val="center"/>
              <w:rPr>
                <w:rFonts w:cs="Times New Roman"/>
                <w:sz w:val="21"/>
              </w:rPr>
            </w:pPr>
            <w:r>
              <w:rPr>
                <w:rFonts w:cs="Times New Roman"/>
                <w:sz w:val="21"/>
              </w:rPr>
              <w:t>树种</w:t>
            </w:r>
          </w:p>
        </w:tc>
      </w:tr>
      <w:tr w14:paraId="42E36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372" w:type="pct"/>
            <w:vMerge w:val="continue"/>
            <w:tcBorders>
              <w:top w:val="nil"/>
            </w:tcBorders>
            <w:vAlign w:val="center"/>
          </w:tcPr>
          <w:p w14:paraId="4CABDFFA">
            <w:pPr>
              <w:spacing w:line="240" w:lineRule="auto"/>
              <w:ind w:firstLine="0" w:firstLineChars="0"/>
              <w:jc w:val="center"/>
              <w:rPr>
                <w:rFonts w:cs="Times New Roman"/>
                <w:sz w:val="21"/>
              </w:rPr>
            </w:pPr>
          </w:p>
        </w:tc>
        <w:tc>
          <w:tcPr>
            <w:tcW w:w="446" w:type="pct"/>
            <w:vMerge w:val="continue"/>
            <w:tcBorders>
              <w:top w:val="nil"/>
            </w:tcBorders>
            <w:vAlign w:val="center"/>
          </w:tcPr>
          <w:p w14:paraId="78BC5C0C">
            <w:pPr>
              <w:spacing w:line="240" w:lineRule="auto"/>
              <w:ind w:firstLine="0" w:firstLineChars="0"/>
              <w:jc w:val="center"/>
              <w:rPr>
                <w:rFonts w:cs="Times New Roman"/>
                <w:sz w:val="21"/>
              </w:rPr>
            </w:pPr>
          </w:p>
        </w:tc>
        <w:tc>
          <w:tcPr>
            <w:tcW w:w="223" w:type="pct"/>
            <w:vMerge w:val="continue"/>
            <w:tcBorders>
              <w:top w:val="nil"/>
            </w:tcBorders>
            <w:textDirection w:val="tbRlV"/>
            <w:vAlign w:val="center"/>
          </w:tcPr>
          <w:p w14:paraId="6D243D94">
            <w:pPr>
              <w:spacing w:line="240" w:lineRule="auto"/>
              <w:ind w:firstLine="0" w:firstLineChars="0"/>
              <w:jc w:val="center"/>
              <w:rPr>
                <w:rFonts w:cs="Times New Roman"/>
                <w:sz w:val="21"/>
              </w:rPr>
            </w:pPr>
          </w:p>
        </w:tc>
        <w:tc>
          <w:tcPr>
            <w:tcW w:w="391" w:type="pct"/>
            <w:vAlign w:val="center"/>
          </w:tcPr>
          <w:p w14:paraId="225B5579">
            <w:pPr>
              <w:spacing w:line="240" w:lineRule="auto"/>
              <w:ind w:firstLine="0" w:firstLineChars="0"/>
              <w:jc w:val="center"/>
              <w:rPr>
                <w:rFonts w:cs="Times New Roman"/>
                <w:sz w:val="21"/>
              </w:rPr>
            </w:pPr>
            <w:r>
              <w:rPr>
                <w:rFonts w:cs="Times New Roman"/>
                <w:sz w:val="21"/>
              </w:rPr>
              <w:t>海拔</w:t>
            </w:r>
          </w:p>
        </w:tc>
        <w:tc>
          <w:tcPr>
            <w:tcW w:w="391" w:type="pct"/>
            <w:vAlign w:val="center"/>
          </w:tcPr>
          <w:p w14:paraId="24EABC6E">
            <w:pPr>
              <w:spacing w:line="240" w:lineRule="auto"/>
              <w:ind w:firstLine="0" w:firstLineChars="0"/>
              <w:jc w:val="center"/>
              <w:rPr>
                <w:rFonts w:cs="Times New Roman"/>
                <w:sz w:val="21"/>
              </w:rPr>
            </w:pPr>
            <w:r>
              <w:rPr>
                <w:rFonts w:cs="Times New Roman"/>
                <w:sz w:val="21"/>
              </w:rPr>
              <w:t>坡位</w:t>
            </w:r>
          </w:p>
        </w:tc>
        <w:tc>
          <w:tcPr>
            <w:tcW w:w="279" w:type="pct"/>
            <w:vAlign w:val="center"/>
          </w:tcPr>
          <w:p w14:paraId="5C4B87A6">
            <w:pPr>
              <w:spacing w:line="240" w:lineRule="auto"/>
              <w:ind w:firstLine="0" w:firstLineChars="0"/>
              <w:jc w:val="center"/>
              <w:rPr>
                <w:rFonts w:cs="Times New Roman"/>
                <w:sz w:val="21"/>
              </w:rPr>
            </w:pPr>
            <w:r>
              <w:rPr>
                <w:rFonts w:cs="Times New Roman"/>
                <w:sz w:val="21"/>
              </w:rPr>
              <w:t>坡度</w:t>
            </w:r>
          </w:p>
        </w:tc>
        <w:tc>
          <w:tcPr>
            <w:tcW w:w="446" w:type="pct"/>
            <w:vAlign w:val="center"/>
          </w:tcPr>
          <w:p w14:paraId="589FD447">
            <w:pPr>
              <w:spacing w:line="240" w:lineRule="auto"/>
              <w:ind w:firstLine="0" w:firstLineChars="0"/>
              <w:jc w:val="center"/>
              <w:rPr>
                <w:rFonts w:cs="Times New Roman"/>
                <w:sz w:val="21"/>
              </w:rPr>
            </w:pPr>
            <w:r>
              <w:rPr>
                <w:rFonts w:cs="Times New Roman"/>
                <w:sz w:val="21"/>
              </w:rPr>
              <w:t>表土层厚度</w:t>
            </w:r>
          </w:p>
        </w:tc>
        <w:tc>
          <w:tcPr>
            <w:tcW w:w="391" w:type="pct"/>
            <w:vAlign w:val="center"/>
          </w:tcPr>
          <w:p w14:paraId="069F93FE">
            <w:pPr>
              <w:spacing w:line="240" w:lineRule="auto"/>
              <w:ind w:firstLine="0" w:firstLineChars="0"/>
              <w:jc w:val="center"/>
              <w:rPr>
                <w:rFonts w:cs="Times New Roman"/>
                <w:sz w:val="21"/>
              </w:rPr>
            </w:pPr>
            <w:r>
              <w:rPr>
                <w:rFonts w:cs="Times New Roman"/>
                <w:sz w:val="21"/>
              </w:rPr>
              <w:t>土层厚度</w:t>
            </w:r>
          </w:p>
        </w:tc>
        <w:tc>
          <w:tcPr>
            <w:tcW w:w="782" w:type="pct"/>
            <w:vAlign w:val="center"/>
          </w:tcPr>
          <w:p w14:paraId="32FD35D7">
            <w:pPr>
              <w:spacing w:line="240" w:lineRule="auto"/>
              <w:ind w:firstLine="0" w:firstLineChars="0"/>
              <w:jc w:val="center"/>
              <w:rPr>
                <w:rFonts w:cs="Times New Roman"/>
                <w:sz w:val="21"/>
              </w:rPr>
            </w:pPr>
            <w:r>
              <w:rPr>
                <w:rFonts w:cs="Times New Roman"/>
                <w:sz w:val="21"/>
              </w:rPr>
              <w:t>植物种类</w:t>
            </w:r>
          </w:p>
        </w:tc>
        <w:tc>
          <w:tcPr>
            <w:tcW w:w="335" w:type="pct"/>
            <w:vAlign w:val="center"/>
          </w:tcPr>
          <w:p w14:paraId="37074648">
            <w:pPr>
              <w:spacing w:line="240" w:lineRule="auto"/>
              <w:ind w:firstLine="0" w:firstLineChars="0"/>
              <w:jc w:val="center"/>
              <w:rPr>
                <w:rFonts w:cs="Times New Roman"/>
                <w:sz w:val="21"/>
              </w:rPr>
            </w:pPr>
            <w:r>
              <w:rPr>
                <w:rFonts w:cs="Times New Roman"/>
                <w:sz w:val="21"/>
              </w:rPr>
              <w:t>盖度</w:t>
            </w:r>
          </w:p>
        </w:tc>
        <w:tc>
          <w:tcPr>
            <w:tcW w:w="939" w:type="pct"/>
            <w:vMerge w:val="continue"/>
            <w:tcBorders>
              <w:top w:val="nil"/>
            </w:tcBorders>
            <w:vAlign w:val="center"/>
          </w:tcPr>
          <w:p w14:paraId="2D201572">
            <w:pPr>
              <w:spacing w:line="240" w:lineRule="auto"/>
              <w:ind w:firstLine="0" w:firstLineChars="0"/>
              <w:jc w:val="center"/>
              <w:rPr>
                <w:rFonts w:cs="Times New Roman"/>
                <w:sz w:val="21"/>
              </w:rPr>
            </w:pPr>
          </w:p>
        </w:tc>
      </w:tr>
      <w:tr w14:paraId="563BD3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372" w:type="pct"/>
            <w:vMerge w:val="restart"/>
            <w:tcBorders>
              <w:bottom w:val="nil"/>
            </w:tcBorders>
            <w:vAlign w:val="center"/>
          </w:tcPr>
          <w:p w14:paraId="2A33F810">
            <w:pPr>
              <w:spacing w:line="240" w:lineRule="auto"/>
              <w:ind w:firstLine="0" w:firstLineChars="0"/>
              <w:jc w:val="center"/>
              <w:rPr>
                <w:rFonts w:cs="Times New Roman" w:eastAsiaTheme="minorEastAsia"/>
                <w:sz w:val="21"/>
                <w:lang w:eastAsia="zh-CN"/>
              </w:rPr>
            </w:pPr>
            <w:r>
              <w:rPr>
                <w:rFonts w:cs="Times New Roman"/>
                <w:sz w:val="21"/>
              </w:rPr>
              <w:t>板页岩类</w:t>
            </w:r>
          </w:p>
        </w:tc>
        <w:tc>
          <w:tcPr>
            <w:tcW w:w="446" w:type="pct"/>
            <w:vAlign w:val="center"/>
          </w:tcPr>
          <w:p w14:paraId="26C036E9">
            <w:pPr>
              <w:spacing w:line="240" w:lineRule="auto"/>
              <w:ind w:firstLine="0" w:firstLineChars="0"/>
              <w:jc w:val="center"/>
              <w:rPr>
                <w:rFonts w:cs="Times New Roman"/>
                <w:sz w:val="21"/>
              </w:rPr>
            </w:pPr>
            <w:r>
              <w:rPr>
                <w:rFonts w:cs="Times New Roman"/>
                <w:sz w:val="21"/>
              </w:rPr>
              <w:t>肥沃型</w:t>
            </w:r>
          </w:p>
        </w:tc>
        <w:tc>
          <w:tcPr>
            <w:tcW w:w="223" w:type="pct"/>
            <w:vAlign w:val="center"/>
          </w:tcPr>
          <w:p w14:paraId="37074BDB">
            <w:pPr>
              <w:spacing w:line="240" w:lineRule="auto"/>
              <w:ind w:firstLine="0" w:firstLineChars="0"/>
              <w:jc w:val="center"/>
              <w:rPr>
                <w:rFonts w:eastAsia="Times New Roman" w:cs="Times New Roman"/>
                <w:sz w:val="21"/>
              </w:rPr>
            </w:pPr>
            <w:r>
              <w:rPr>
                <w:rFonts w:eastAsia="Times New Roman" w:cs="Times New Roman"/>
                <w:sz w:val="21"/>
              </w:rPr>
              <w:t>11</w:t>
            </w:r>
          </w:p>
        </w:tc>
        <w:tc>
          <w:tcPr>
            <w:tcW w:w="391" w:type="pct"/>
            <w:vAlign w:val="center"/>
          </w:tcPr>
          <w:p w14:paraId="2DF5E7C7">
            <w:pPr>
              <w:spacing w:line="240" w:lineRule="auto"/>
              <w:ind w:firstLine="0" w:firstLineChars="0"/>
              <w:jc w:val="center"/>
              <w:rPr>
                <w:rFonts w:eastAsia="Times New Roman" w:cs="Times New Roman"/>
                <w:sz w:val="21"/>
              </w:rPr>
            </w:pPr>
            <w:r>
              <w:rPr>
                <w:rFonts w:eastAsia="Times New Roman" w:cs="Times New Roman"/>
                <w:sz w:val="21"/>
              </w:rPr>
              <w:t>&lt;800</w:t>
            </w:r>
          </w:p>
        </w:tc>
        <w:tc>
          <w:tcPr>
            <w:tcW w:w="391" w:type="pct"/>
            <w:vAlign w:val="center"/>
          </w:tcPr>
          <w:p w14:paraId="4DC98141">
            <w:pPr>
              <w:spacing w:line="240" w:lineRule="auto"/>
              <w:ind w:firstLine="0" w:firstLineChars="0"/>
              <w:jc w:val="center"/>
              <w:rPr>
                <w:rFonts w:cs="Times New Roman"/>
                <w:sz w:val="21"/>
              </w:rPr>
            </w:pPr>
            <w:r>
              <w:rPr>
                <w:rFonts w:cs="Times New Roman"/>
                <w:sz w:val="21"/>
              </w:rPr>
              <w:t>山坡下部、谷、沟</w:t>
            </w:r>
          </w:p>
        </w:tc>
        <w:tc>
          <w:tcPr>
            <w:tcW w:w="279" w:type="pct"/>
            <w:vAlign w:val="center"/>
          </w:tcPr>
          <w:p w14:paraId="46706AC9">
            <w:pPr>
              <w:spacing w:line="240" w:lineRule="auto"/>
              <w:ind w:firstLine="0" w:firstLineChars="0"/>
              <w:jc w:val="center"/>
              <w:rPr>
                <w:rFonts w:eastAsia="Times New Roman" w:cs="Times New Roman"/>
                <w:sz w:val="21"/>
              </w:rPr>
            </w:pPr>
            <w:r>
              <w:rPr>
                <w:rFonts w:eastAsia="Times New Roman" w:cs="Times New Roman"/>
                <w:sz w:val="21"/>
              </w:rPr>
              <w:t>≤25</w:t>
            </w:r>
          </w:p>
        </w:tc>
        <w:tc>
          <w:tcPr>
            <w:tcW w:w="446" w:type="pct"/>
            <w:vAlign w:val="center"/>
          </w:tcPr>
          <w:p w14:paraId="61BD887E">
            <w:pPr>
              <w:spacing w:line="240" w:lineRule="auto"/>
              <w:ind w:firstLine="0" w:firstLineChars="0"/>
              <w:jc w:val="center"/>
              <w:rPr>
                <w:rFonts w:eastAsia="Times New Roman" w:cs="Times New Roman"/>
                <w:sz w:val="21"/>
              </w:rPr>
            </w:pPr>
            <w:r>
              <w:rPr>
                <w:rFonts w:eastAsia="Times New Roman" w:cs="Times New Roman"/>
                <w:sz w:val="21"/>
              </w:rPr>
              <w:t>≥35</w:t>
            </w:r>
          </w:p>
        </w:tc>
        <w:tc>
          <w:tcPr>
            <w:tcW w:w="391" w:type="pct"/>
            <w:vAlign w:val="center"/>
          </w:tcPr>
          <w:p w14:paraId="3F2A440F">
            <w:pPr>
              <w:spacing w:line="240" w:lineRule="auto"/>
              <w:ind w:firstLine="0" w:firstLineChars="0"/>
              <w:jc w:val="center"/>
              <w:rPr>
                <w:rFonts w:eastAsia="Times New Roman" w:cs="Times New Roman"/>
                <w:sz w:val="21"/>
              </w:rPr>
            </w:pPr>
            <w:r>
              <w:rPr>
                <w:rFonts w:eastAsia="Times New Roman" w:cs="Times New Roman"/>
                <w:sz w:val="21"/>
              </w:rPr>
              <w:t>&gt;80</w:t>
            </w:r>
          </w:p>
        </w:tc>
        <w:tc>
          <w:tcPr>
            <w:tcW w:w="782" w:type="pct"/>
            <w:vMerge w:val="restart"/>
            <w:tcBorders>
              <w:bottom w:val="nil"/>
            </w:tcBorders>
            <w:vAlign w:val="center"/>
          </w:tcPr>
          <w:p w14:paraId="5381B7B5">
            <w:pPr>
              <w:spacing w:line="240" w:lineRule="auto"/>
              <w:ind w:firstLine="0" w:firstLineChars="0"/>
              <w:jc w:val="center"/>
              <w:rPr>
                <w:rFonts w:cs="Times New Roman"/>
                <w:sz w:val="21"/>
                <w:lang w:eastAsia="zh-CN"/>
              </w:rPr>
            </w:pPr>
            <w:r>
              <w:rPr>
                <w:rFonts w:cs="Times New Roman"/>
                <w:sz w:val="21"/>
                <w:lang w:eastAsia="zh-CN"/>
              </w:rPr>
              <w:t>杉木、福建柏、马尾松、水青冈、木荷、冬青、楠木、柃木、杜鹃、杜茎山等</w:t>
            </w:r>
          </w:p>
        </w:tc>
        <w:tc>
          <w:tcPr>
            <w:tcW w:w="335" w:type="pct"/>
            <w:vAlign w:val="center"/>
          </w:tcPr>
          <w:p w14:paraId="327186CD">
            <w:pPr>
              <w:spacing w:line="240" w:lineRule="auto"/>
              <w:ind w:firstLine="0" w:firstLineChars="0"/>
              <w:jc w:val="center"/>
              <w:rPr>
                <w:rFonts w:eastAsia="Times New Roman" w:cs="Times New Roman"/>
                <w:sz w:val="21"/>
              </w:rPr>
            </w:pPr>
            <w:r>
              <w:rPr>
                <w:rFonts w:eastAsia="Times New Roman" w:cs="Times New Roman"/>
                <w:sz w:val="21"/>
              </w:rPr>
              <w:t>&gt;70</w:t>
            </w:r>
          </w:p>
        </w:tc>
        <w:tc>
          <w:tcPr>
            <w:tcW w:w="939" w:type="pct"/>
            <w:vMerge w:val="restart"/>
            <w:tcBorders>
              <w:bottom w:val="nil"/>
            </w:tcBorders>
            <w:vAlign w:val="center"/>
          </w:tcPr>
          <w:p w14:paraId="484D3D77">
            <w:pPr>
              <w:spacing w:line="240" w:lineRule="auto"/>
              <w:ind w:firstLine="0" w:firstLineChars="0"/>
              <w:jc w:val="center"/>
              <w:rPr>
                <w:rFonts w:cs="Times New Roman"/>
                <w:sz w:val="21"/>
                <w:lang w:eastAsia="zh-CN"/>
              </w:rPr>
            </w:pPr>
            <w:r>
              <w:rPr>
                <w:rFonts w:cs="Times New Roman"/>
                <w:sz w:val="21"/>
                <w:lang w:eastAsia="zh-CN"/>
              </w:rPr>
              <w:t>青冈、木荷、麻栎、水青冈、楠木、杉木、马尾松</w:t>
            </w:r>
          </w:p>
        </w:tc>
      </w:tr>
      <w:tr w14:paraId="4EFF8F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372" w:type="pct"/>
            <w:vMerge w:val="continue"/>
            <w:tcBorders>
              <w:top w:val="nil"/>
              <w:bottom w:val="nil"/>
            </w:tcBorders>
            <w:vAlign w:val="center"/>
          </w:tcPr>
          <w:p w14:paraId="503363D7">
            <w:pPr>
              <w:spacing w:line="240" w:lineRule="auto"/>
              <w:ind w:firstLine="0" w:firstLineChars="0"/>
              <w:jc w:val="center"/>
              <w:rPr>
                <w:rFonts w:cs="Times New Roman"/>
                <w:sz w:val="21"/>
                <w:lang w:eastAsia="zh-CN"/>
              </w:rPr>
            </w:pPr>
          </w:p>
        </w:tc>
        <w:tc>
          <w:tcPr>
            <w:tcW w:w="446" w:type="pct"/>
            <w:vAlign w:val="center"/>
          </w:tcPr>
          <w:p w14:paraId="5E8A1575">
            <w:pPr>
              <w:spacing w:line="240" w:lineRule="auto"/>
              <w:ind w:firstLine="0" w:firstLineChars="0"/>
              <w:jc w:val="center"/>
              <w:rPr>
                <w:rFonts w:cs="Times New Roman"/>
                <w:sz w:val="21"/>
              </w:rPr>
            </w:pPr>
            <w:r>
              <w:rPr>
                <w:rFonts w:cs="Times New Roman"/>
                <w:sz w:val="21"/>
              </w:rPr>
              <w:t>中等肥沃</w:t>
            </w:r>
          </w:p>
        </w:tc>
        <w:tc>
          <w:tcPr>
            <w:tcW w:w="223" w:type="pct"/>
            <w:vAlign w:val="center"/>
          </w:tcPr>
          <w:p w14:paraId="726607FC">
            <w:pPr>
              <w:spacing w:line="240" w:lineRule="auto"/>
              <w:ind w:firstLine="0" w:firstLineChars="0"/>
              <w:jc w:val="center"/>
              <w:rPr>
                <w:rFonts w:eastAsia="Times New Roman" w:cs="Times New Roman"/>
                <w:sz w:val="21"/>
              </w:rPr>
            </w:pPr>
            <w:r>
              <w:rPr>
                <w:rFonts w:eastAsia="Times New Roman" w:cs="Times New Roman"/>
                <w:sz w:val="21"/>
              </w:rPr>
              <w:t>12</w:t>
            </w:r>
          </w:p>
        </w:tc>
        <w:tc>
          <w:tcPr>
            <w:tcW w:w="391" w:type="pct"/>
            <w:vAlign w:val="center"/>
          </w:tcPr>
          <w:p w14:paraId="4F4D509F">
            <w:pPr>
              <w:spacing w:line="240" w:lineRule="auto"/>
              <w:ind w:firstLine="0" w:firstLineChars="0"/>
              <w:jc w:val="center"/>
              <w:rPr>
                <w:rFonts w:eastAsia="Times New Roman" w:cs="Times New Roman"/>
                <w:sz w:val="21"/>
              </w:rPr>
            </w:pPr>
            <w:r>
              <w:rPr>
                <w:rFonts w:eastAsia="Times New Roman" w:cs="Times New Roman"/>
                <w:sz w:val="21"/>
              </w:rPr>
              <w:t>&lt;</w:t>
            </w:r>
            <w:r>
              <w:rPr>
                <w:rFonts w:eastAsia="Times New Roman" w:cs="Times New Roman"/>
                <w:position w:val="1"/>
                <w:sz w:val="21"/>
              </w:rPr>
              <w:t>1000</w:t>
            </w:r>
          </w:p>
        </w:tc>
        <w:tc>
          <w:tcPr>
            <w:tcW w:w="391" w:type="pct"/>
            <w:vAlign w:val="center"/>
          </w:tcPr>
          <w:p w14:paraId="641ACA30">
            <w:pPr>
              <w:spacing w:line="240" w:lineRule="auto"/>
              <w:ind w:firstLine="0" w:firstLineChars="0"/>
              <w:jc w:val="center"/>
              <w:rPr>
                <w:rFonts w:cs="Times New Roman"/>
                <w:sz w:val="21"/>
              </w:rPr>
            </w:pPr>
            <w:r>
              <w:rPr>
                <w:rFonts w:cs="Times New Roman"/>
                <w:sz w:val="21"/>
              </w:rPr>
              <w:t>中部</w:t>
            </w:r>
          </w:p>
        </w:tc>
        <w:tc>
          <w:tcPr>
            <w:tcW w:w="279" w:type="pct"/>
            <w:vAlign w:val="center"/>
          </w:tcPr>
          <w:p w14:paraId="72CB78E3">
            <w:pPr>
              <w:spacing w:line="240" w:lineRule="auto"/>
              <w:ind w:firstLine="0" w:firstLineChars="0"/>
              <w:jc w:val="center"/>
              <w:rPr>
                <w:rFonts w:eastAsia="Times New Roman" w:cs="Times New Roman"/>
                <w:sz w:val="21"/>
              </w:rPr>
            </w:pPr>
            <w:r>
              <w:rPr>
                <w:rFonts w:eastAsia="Times New Roman" w:cs="Times New Roman"/>
                <w:sz w:val="21"/>
              </w:rPr>
              <w:t>≤25</w:t>
            </w:r>
          </w:p>
        </w:tc>
        <w:tc>
          <w:tcPr>
            <w:tcW w:w="446" w:type="pct"/>
            <w:vAlign w:val="center"/>
          </w:tcPr>
          <w:p w14:paraId="02E99A6C">
            <w:pPr>
              <w:spacing w:line="240" w:lineRule="auto"/>
              <w:ind w:firstLine="0" w:firstLineChars="0"/>
              <w:jc w:val="center"/>
              <w:rPr>
                <w:rFonts w:eastAsia="Times New Roman" w:cs="Times New Roman"/>
                <w:sz w:val="21"/>
              </w:rPr>
            </w:pPr>
            <w:r>
              <w:rPr>
                <w:rFonts w:eastAsia="Times New Roman" w:cs="Times New Roman"/>
                <w:sz w:val="21"/>
              </w:rPr>
              <w:t>≥25</w:t>
            </w:r>
          </w:p>
        </w:tc>
        <w:tc>
          <w:tcPr>
            <w:tcW w:w="391" w:type="pct"/>
            <w:vAlign w:val="center"/>
          </w:tcPr>
          <w:p w14:paraId="56D5E1BF">
            <w:pPr>
              <w:spacing w:line="240" w:lineRule="auto"/>
              <w:ind w:firstLine="0" w:firstLineChars="0"/>
              <w:jc w:val="center"/>
              <w:rPr>
                <w:rFonts w:eastAsia="Times New Roman" w:cs="Times New Roman"/>
                <w:sz w:val="21"/>
              </w:rPr>
            </w:pPr>
            <w:r>
              <w:rPr>
                <w:rFonts w:eastAsia="Times New Roman" w:cs="Times New Roman"/>
                <w:sz w:val="21"/>
              </w:rPr>
              <w:t>&gt;40</w:t>
            </w:r>
          </w:p>
        </w:tc>
        <w:tc>
          <w:tcPr>
            <w:tcW w:w="782" w:type="pct"/>
            <w:vMerge w:val="continue"/>
            <w:tcBorders>
              <w:top w:val="nil"/>
              <w:bottom w:val="nil"/>
            </w:tcBorders>
            <w:vAlign w:val="center"/>
          </w:tcPr>
          <w:p w14:paraId="66424549">
            <w:pPr>
              <w:spacing w:line="240" w:lineRule="auto"/>
              <w:ind w:firstLine="0" w:firstLineChars="0"/>
              <w:jc w:val="center"/>
              <w:rPr>
                <w:rFonts w:cs="Times New Roman"/>
                <w:sz w:val="21"/>
              </w:rPr>
            </w:pPr>
          </w:p>
        </w:tc>
        <w:tc>
          <w:tcPr>
            <w:tcW w:w="335" w:type="pct"/>
            <w:vAlign w:val="center"/>
          </w:tcPr>
          <w:p w14:paraId="1768FDC1">
            <w:pPr>
              <w:spacing w:line="240" w:lineRule="auto"/>
              <w:ind w:firstLine="0" w:firstLineChars="0"/>
              <w:jc w:val="center"/>
              <w:rPr>
                <w:rFonts w:eastAsia="Times New Roman" w:cs="Times New Roman"/>
                <w:sz w:val="21"/>
              </w:rPr>
            </w:pPr>
            <w:r>
              <w:rPr>
                <w:rFonts w:eastAsia="Times New Roman" w:cs="Times New Roman"/>
                <w:sz w:val="21"/>
              </w:rPr>
              <w:t>&gt;40</w:t>
            </w:r>
          </w:p>
        </w:tc>
        <w:tc>
          <w:tcPr>
            <w:tcW w:w="939" w:type="pct"/>
            <w:vMerge w:val="continue"/>
            <w:tcBorders>
              <w:top w:val="nil"/>
              <w:bottom w:val="nil"/>
            </w:tcBorders>
            <w:vAlign w:val="center"/>
          </w:tcPr>
          <w:p w14:paraId="31DB8EBC">
            <w:pPr>
              <w:spacing w:line="240" w:lineRule="auto"/>
              <w:ind w:firstLine="0" w:firstLineChars="0"/>
              <w:jc w:val="center"/>
              <w:rPr>
                <w:rFonts w:cs="Times New Roman"/>
                <w:sz w:val="21"/>
              </w:rPr>
            </w:pPr>
          </w:p>
        </w:tc>
      </w:tr>
      <w:tr w14:paraId="293BEC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372" w:type="pct"/>
            <w:vMerge w:val="continue"/>
            <w:tcBorders>
              <w:top w:val="nil"/>
            </w:tcBorders>
            <w:vAlign w:val="center"/>
          </w:tcPr>
          <w:p w14:paraId="3D413178">
            <w:pPr>
              <w:spacing w:line="240" w:lineRule="auto"/>
              <w:ind w:firstLine="0" w:firstLineChars="0"/>
              <w:jc w:val="center"/>
              <w:rPr>
                <w:rFonts w:cs="Times New Roman"/>
                <w:sz w:val="21"/>
              </w:rPr>
            </w:pPr>
          </w:p>
        </w:tc>
        <w:tc>
          <w:tcPr>
            <w:tcW w:w="446" w:type="pct"/>
            <w:vAlign w:val="center"/>
          </w:tcPr>
          <w:p w14:paraId="09138F2E">
            <w:pPr>
              <w:spacing w:line="240" w:lineRule="auto"/>
              <w:ind w:firstLine="0" w:firstLineChars="0"/>
              <w:jc w:val="center"/>
              <w:rPr>
                <w:rFonts w:cs="Times New Roman"/>
                <w:sz w:val="21"/>
              </w:rPr>
            </w:pPr>
            <w:r>
              <w:rPr>
                <w:rFonts w:cs="Times New Roman"/>
                <w:sz w:val="21"/>
              </w:rPr>
              <w:t>瘠薄型</w:t>
            </w:r>
          </w:p>
        </w:tc>
        <w:tc>
          <w:tcPr>
            <w:tcW w:w="223" w:type="pct"/>
            <w:vAlign w:val="center"/>
          </w:tcPr>
          <w:p w14:paraId="4E688F3B">
            <w:pPr>
              <w:spacing w:line="240" w:lineRule="auto"/>
              <w:ind w:firstLine="0" w:firstLineChars="0"/>
              <w:jc w:val="center"/>
              <w:rPr>
                <w:rFonts w:eastAsia="Times New Roman" w:cs="Times New Roman"/>
                <w:sz w:val="21"/>
              </w:rPr>
            </w:pPr>
            <w:r>
              <w:rPr>
                <w:rFonts w:eastAsia="Times New Roman" w:cs="Times New Roman"/>
                <w:sz w:val="21"/>
              </w:rPr>
              <w:t>13</w:t>
            </w:r>
          </w:p>
        </w:tc>
        <w:tc>
          <w:tcPr>
            <w:tcW w:w="391" w:type="pct"/>
            <w:vAlign w:val="center"/>
          </w:tcPr>
          <w:p w14:paraId="1C4BBB21">
            <w:pPr>
              <w:spacing w:line="240" w:lineRule="auto"/>
              <w:ind w:firstLine="0" w:firstLineChars="0"/>
              <w:jc w:val="center"/>
              <w:rPr>
                <w:rFonts w:eastAsia="Times New Roman" w:cs="Times New Roman"/>
                <w:sz w:val="21"/>
              </w:rPr>
            </w:pPr>
            <w:r>
              <w:rPr>
                <w:rFonts w:eastAsia="Times New Roman" w:cs="Times New Roman"/>
                <w:sz w:val="21"/>
              </w:rPr>
              <w:t>&gt;1000</w:t>
            </w:r>
          </w:p>
        </w:tc>
        <w:tc>
          <w:tcPr>
            <w:tcW w:w="391" w:type="pct"/>
            <w:vAlign w:val="center"/>
          </w:tcPr>
          <w:p w14:paraId="20569BA9">
            <w:pPr>
              <w:spacing w:line="240" w:lineRule="auto"/>
              <w:ind w:firstLine="0" w:firstLineChars="0"/>
              <w:jc w:val="center"/>
              <w:rPr>
                <w:rFonts w:cs="Times New Roman"/>
                <w:sz w:val="21"/>
              </w:rPr>
            </w:pPr>
            <w:r>
              <w:rPr>
                <w:rFonts w:cs="Times New Roman"/>
                <w:sz w:val="21"/>
              </w:rPr>
              <w:t>上部</w:t>
            </w:r>
          </w:p>
        </w:tc>
        <w:tc>
          <w:tcPr>
            <w:tcW w:w="279" w:type="pct"/>
            <w:vAlign w:val="center"/>
          </w:tcPr>
          <w:p w14:paraId="359E5E7D">
            <w:pPr>
              <w:spacing w:line="240" w:lineRule="auto"/>
              <w:ind w:firstLine="0" w:firstLineChars="0"/>
              <w:jc w:val="center"/>
              <w:rPr>
                <w:rFonts w:eastAsia="Times New Roman" w:cs="Times New Roman"/>
                <w:sz w:val="21"/>
              </w:rPr>
            </w:pPr>
            <w:r>
              <w:rPr>
                <w:rFonts w:eastAsia="Times New Roman" w:cs="Times New Roman"/>
                <w:sz w:val="21"/>
              </w:rPr>
              <w:t>&lt;35</w:t>
            </w:r>
          </w:p>
        </w:tc>
        <w:tc>
          <w:tcPr>
            <w:tcW w:w="446" w:type="pct"/>
            <w:vAlign w:val="center"/>
          </w:tcPr>
          <w:p w14:paraId="179BAED0">
            <w:pPr>
              <w:spacing w:line="240" w:lineRule="auto"/>
              <w:ind w:firstLine="0" w:firstLineChars="0"/>
              <w:jc w:val="center"/>
              <w:rPr>
                <w:rFonts w:eastAsia="Times New Roman" w:cs="Times New Roman"/>
                <w:sz w:val="21"/>
              </w:rPr>
            </w:pPr>
            <w:r>
              <w:rPr>
                <w:rFonts w:eastAsia="Times New Roman" w:cs="Times New Roman"/>
                <w:sz w:val="21"/>
              </w:rPr>
              <w:t>&lt;</w:t>
            </w:r>
            <w:r>
              <w:rPr>
                <w:rFonts w:eastAsia="Times New Roman" w:cs="Times New Roman"/>
                <w:position w:val="1"/>
                <w:sz w:val="21"/>
              </w:rPr>
              <w:t>25</w:t>
            </w:r>
          </w:p>
        </w:tc>
        <w:tc>
          <w:tcPr>
            <w:tcW w:w="391" w:type="pct"/>
            <w:vAlign w:val="center"/>
          </w:tcPr>
          <w:p w14:paraId="4A8E2D64">
            <w:pPr>
              <w:spacing w:line="240" w:lineRule="auto"/>
              <w:ind w:firstLine="0" w:firstLineChars="0"/>
              <w:jc w:val="center"/>
              <w:rPr>
                <w:rFonts w:eastAsia="Times New Roman" w:cs="Times New Roman"/>
                <w:sz w:val="21"/>
              </w:rPr>
            </w:pPr>
            <w:r>
              <w:rPr>
                <w:rFonts w:eastAsia="Times New Roman" w:cs="Times New Roman"/>
                <w:sz w:val="21"/>
              </w:rPr>
              <w:t>&lt;</w:t>
            </w:r>
            <w:r>
              <w:rPr>
                <w:rFonts w:eastAsia="Times New Roman" w:cs="Times New Roman"/>
                <w:position w:val="1"/>
                <w:sz w:val="21"/>
              </w:rPr>
              <w:t>40</w:t>
            </w:r>
          </w:p>
        </w:tc>
        <w:tc>
          <w:tcPr>
            <w:tcW w:w="782" w:type="pct"/>
            <w:vMerge w:val="continue"/>
            <w:tcBorders>
              <w:top w:val="nil"/>
            </w:tcBorders>
            <w:vAlign w:val="center"/>
          </w:tcPr>
          <w:p w14:paraId="4B702846">
            <w:pPr>
              <w:spacing w:line="240" w:lineRule="auto"/>
              <w:ind w:firstLine="0" w:firstLineChars="0"/>
              <w:jc w:val="center"/>
              <w:rPr>
                <w:rFonts w:cs="Times New Roman"/>
                <w:sz w:val="21"/>
              </w:rPr>
            </w:pPr>
          </w:p>
        </w:tc>
        <w:tc>
          <w:tcPr>
            <w:tcW w:w="335" w:type="pct"/>
            <w:vAlign w:val="center"/>
          </w:tcPr>
          <w:p w14:paraId="28C5E231">
            <w:pPr>
              <w:spacing w:line="240" w:lineRule="auto"/>
              <w:ind w:firstLine="0" w:firstLineChars="0"/>
              <w:jc w:val="center"/>
              <w:rPr>
                <w:rFonts w:eastAsia="Times New Roman" w:cs="Times New Roman"/>
                <w:sz w:val="21"/>
              </w:rPr>
            </w:pPr>
            <w:r>
              <w:rPr>
                <w:rFonts w:eastAsia="Times New Roman" w:cs="Times New Roman"/>
                <w:sz w:val="21"/>
              </w:rPr>
              <w:t>&lt;</w:t>
            </w:r>
            <w:r>
              <w:rPr>
                <w:rFonts w:eastAsia="Times New Roman" w:cs="Times New Roman"/>
                <w:position w:val="1"/>
                <w:sz w:val="21"/>
              </w:rPr>
              <w:t>40</w:t>
            </w:r>
          </w:p>
        </w:tc>
        <w:tc>
          <w:tcPr>
            <w:tcW w:w="939" w:type="pct"/>
            <w:vMerge w:val="continue"/>
            <w:tcBorders>
              <w:top w:val="nil"/>
            </w:tcBorders>
            <w:vAlign w:val="center"/>
          </w:tcPr>
          <w:p w14:paraId="4A8346B2">
            <w:pPr>
              <w:spacing w:line="240" w:lineRule="auto"/>
              <w:ind w:firstLine="0" w:firstLineChars="0"/>
              <w:jc w:val="center"/>
              <w:rPr>
                <w:rFonts w:cs="Times New Roman"/>
                <w:sz w:val="21"/>
              </w:rPr>
            </w:pPr>
          </w:p>
        </w:tc>
      </w:tr>
      <w:tr w14:paraId="664D79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372" w:type="pct"/>
            <w:vMerge w:val="restart"/>
            <w:tcBorders>
              <w:bottom w:val="nil"/>
            </w:tcBorders>
            <w:vAlign w:val="center"/>
          </w:tcPr>
          <w:p w14:paraId="7AF7B7DA">
            <w:pPr>
              <w:spacing w:line="240" w:lineRule="auto"/>
              <w:ind w:firstLine="0" w:firstLineChars="0"/>
              <w:jc w:val="center"/>
              <w:rPr>
                <w:rFonts w:cs="Times New Roman"/>
                <w:sz w:val="21"/>
                <w:lang w:eastAsia="zh-CN"/>
              </w:rPr>
            </w:pPr>
            <w:r>
              <w:rPr>
                <w:rFonts w:cs="Times New Roman"/>
                <w:sz w:val="21"/>
              </w:rPr>
              <w:t>砂砾岩类</w:t>
            </w:r>
          </w:p>
        </w:tc>
        <w:tc>
          <w:tcPr>
            <w:tcW w:w="446" w:type="pct"/>
            <w:vAlign w:val="center"/>
          </w:tcPr>
          <w:p w14:paraId="0C55286D">
            <w:pPr>
              <w:spacing w:line="240" w:lineRule="auto"/>
              <w:ind w:firstLine="0" w:firstLineChars="0"/>
              <w:jc w:val="center"/>
              <w:rPr>
                <w:rFonts w:cs="Times New Roman"/>
                <w:sz w:val="21"/>
              </w:rPr>
            </w:pPr>
            <w:r>
              <w:rPr>
                <w:rFonts w:cs="Times New Roman"/>
                <w:sz w:val="21"/>
              </w:rPr>
              <w:t>肥沃型</w:t>
            </w:r>
          </w:p>
        </w:tc>
        <w:tc>
          <w:tcPr>
            <w:tcW w:w="223" w:type="pct"/>
            <w:vAlign w:val="center"/>
          </w:tcPr>
          <w:p w14:paraId="39FC8563">
            <w:pPr>
              <w:spacing w:line="240" w:lineRule="auto"/>
              <w:ind w:firstLine="0" w:firstLineChars="0"/>
              <w:jc w:val="center"/>
              <w:rPr>
                <w:rFonts w:eastAsia="Times New Roman" w:cs="Times New Roman"/>
                <w:sz w:val="21"/>
              </w:rPr>
            </w:pPr>
            <w:r>
              <w:rPr>
                <w:rFonts w:eastAsia="Times New Roman" w:cs="Times New Roman"/>
                <w:sz w:val="21"/>
              </w:rPr>
              <w:t>21</w:t>
            </w:r>
          </w:p>
        </w:tc>
        <w:tc>
          <w:tcPr>
            <w:tcW w:w="391" w:type="pct"/>
            <w:vAlign w:val="center"/>
          </w:tcPr>
          <w:p w14:paraId="2795EBC0">
            <w:pPr>
              <w:spacing w:line="240" w:lineRule="auto"/>
              <w:ind w:firstLine="0" w:firstLineChars="0"/>
              <w:jc w:val="center"/>
              <w:rPr>
                <w:rFonts w:cs="Times New Roman"/>
                <w:sz w:val="21"/>
                <w:lang w:eastAsia="zh-CN"/>
              </w:rPr>
            </w:pPr>
            <w:r>
              <w:rPr>
                <w:rFonts w:eastAsia="Times New Roman" w:cs="Times New Roman"/>
                <w:sz w:val="21"/>
              </w:rPr>
              <w:t>&lt;</w:t>
            </w:r>
            <w:r>
              <w:rPr>
                <w:rFonts w:cs="Times New Roman"/>
                <w:sz w:val="21"/>
                <w:lang w:eastAsia="zh-CN"/>
              </w:rPr>
              <w:t>100</w:t>
            </w:r>
          </w:p>
        </w:tc>
        <w:tc>
          <w:tcPr>
            <w:tcW w:w="391" w:type="pct"/>
            <w:vAlign w:val="center"/>
          </w:tcPr>
          <w:p w14:paraId="3D81F4D9">
            <w:pPr>
              <w:spacing w:line="240" w:lineRule="auto"/>
              <w:ind w:firstLine="0" w:firstLineChars="0"/>
              <w:jc w:val="center"/>
              <w:rPr>
                <w:rFonts w:cs="Times New Roman"/>
                <w:sz w:val="21"/>
              </w:rPr>
            </w:pPr>
            <w:r>
              <w:rPr>
                <w:rFonts w:cs="Times New Roman"/>
                <w:sz w:val="21"/>
              </w:rPr>
              <w:t>山坡下部、谷、沟</w:t>
            </w:r>
          </w:p>
        </w:tc>
        <w:tc>
          <w:tcPr>
            <w:tcW w:w="279" w:type="pct"/>
            <w:vAlign w:val="center"/>
          </w:tcPr>
          <w:p w14:paraId="3D9B0957">
            <w:pPr>
              <w:spacing w:line="240" w:lineRule="auto"/>
              <w:ind w:firstLine="0" w:firstLineChars="0"/>
              <w:jc w:val="center"/>
              <w:rPr>
                <w:rFonts w:eastAsia="Times New Roman" w:cs="Times New Roman"/>
                <w:sz w:val="21"/>
              </w:rPr>
            </w:pPr>
            <w:r>
              <w:rPr>
                <w:rFonts w:eastAsia="Times New Roman" w:cs="Times New Roman"/>
                <w:sz w:val="21"/>
              </w:rPr>
              <w:t>≤25</w:t>
            </w:r>
          </w:p>
        </w:tc>
        <w:tc>
          <w:tcPr>
            <w:tcW w:w="446" w:type="pct"/>
            <w:vAlign w:val="center"/>
          </w:tcPr>
          <w:p w14:paraId="7FC226A5">
            <w:pPr>
              <w:spacing w:line="240" w:lineRule="auto"/>
              <w:ind w:firstLine="0" w:firstLineChars="0"/>
              <w:jc w:val="center"/>
              <w:rPr>
                <w:rFonts w:eastAsia="Times New Roman" w:cs="Times New Roman"/>
                <w:sz w:val="21"/>
              </w:rPr>
            </w:pPr>
            <w:r>
              <w:rPr>
                <w:rFonts w:eastAsia="Times New Roman" w:cs="Times New Roman"/>
                <w:sz w:val="21"/>
              </w:rPr>
              <w:t>≥35</w:t>
            </w:r>
          </w:p>
        </w:tc>
        <w:tc>
          <w:tcPr>
            <w:tcW w:w="391" w:type="pct"/>
            <w:vAlign w:val="center"/>
          </w:tcPr>
          <w:p w14:paraId="56517230">
            <w:pPr>
              <w:spacing w:line="240" w:lineRule="auto"/>
              <w:ind w:firstLine="0" w:firstLineChars="0"/>
              <w:jc w:val="center"/>
              <w:rPr>
                <w:rFonts w:eastAsia="Times New Roman" w:cs="Times New Roman"/>
                <w:sz w:val="21"/>
              </w:rPr>
            </w:pPr>
            <w:r>
              <w:rPr>
                <w:rFonts w:eastAsia="Times New Roman" w:cs="Times New Roman"/>
                <w:sz w:val="21"/>
              </w:rPr>
              <w:t>&gt;80</w:t>
            </w:r>
          </w:p>
        </w:tc>
        <w:tc>
          <w:tcPr>
            <w:tcW w:w="782" w:type="pct"/>
            <w:vMerge w:val="restart"/>
            <w:tcBorders>
              <w:bottom w:val="nil"/>
            </w:tcBorders>
            <w:vAlign w:val="center"/>
          </w:tcPr>
          <w:p w14:paraId="0D968B29">
            <w:pPr>
              <w:spacing w:line="240" w:lineRule="auto"/>
              <w:ind w:firstLine="0" w:firstLineChars="0"/>
              <w:jc w:val="center"/>
              <w:rPr>
                <w:rFonts w:cs="Times New Roman"/>
                <w:sz w:val="21"/>
                <w:lang w:eastAsia="zh-CN"/>
              </w:rPr>
            </w:pPr>
            <w:r>
              <w:rPr>
                <w:rFonts w:cs="Times New Roman"/>
                <w:sz w:val="21"/>
                <w:lang w:eastAsia="zh-CN"/>
              </w:rPr>
              <w:t>杉木、福建柏、马尾松、水青冈、木荷、冬青、楠木、柃木、杜鹃、杜茎山等</w:t>
            </w:r>
          </w:p>
        </w:tc>
        <w:tc>
          <w:tcPr>
            <w:tcW w:w="335" w:type="pct"/>
            <w:vAlign w:val="center"/>
          </w:tcPr>
          <w:p w14:paraId="636550B3">
            <w:pPr>
              <w:spacing w:line="240" w:lineRule="auto"/>
              <w:ind w:firstLine="0" w:firstLineChars="0"/>
              <w:jc w:val="center"/>
              <w:rPr>
                <w:rFonts w:eastAsia="Times New Roman" w:cs="Times New Roman"/>
                <w:sz w:val="21"/>
              </w:rPr>
            </w:pPr>
            <w:r>
              <w:rPr>
                <w:rFonts w:eastAsia="Times New Roman" w:cs="Times New Roman"/>
                <w:sz w:val="21"/>
              </w:rPr>
              <w:t>&gt;60</w:t>
            </w:r>
          </w:p>
        </w:tc>
        <w:tc>
          <w:tcPr>
            <w:tcW w:w="939" w:type="pct"/>
            <w:vMerge w:val="restart"/>
            <w:tcBorders>
              <w:bottom w:val="nil"/>
            </w:tcBorders>
            <w:vAlign w:val="center"/>
          </w:tcPr>
          <w:p w14:paraId="40D5D4B2">
            <w:pPr>
              <w:spacing w:line="240" w:lineRule="auto"/>
              <w:ind w:firstLine="0" w:firstLineChars="0"/>
              <w:jc w:val="center"/>
              <w:rPr>
                <w:rFonts w:cs="Times New Roman"/>
                <w:sz w:val="21"/>
                <w:lang w:eastAsia="zh-CN"/>
              </w:rPr>
            </w:pPr>
            <w:r>
              <w:rPr>
                <w:rFonts w:cs="Times New Roman"/>
                <w:sz w:val="21"/>
                <w:lang w:eastAsia="zh-CN"/>
              </w:rPr>
              <w:t>青冈、木荷、麻栎、水青冈、楠木、杉木、马尾松</w:t>
            </w:r>
          </w:p>
        </w:tc>
      </w:tr>
      <w:tr w14:paraId="00066D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372" w:type="pct"/>
            <w:vMerge w:val="continue"/>
            <w:tcBorders>
              <w:top w:val="nil"/>
              <w:bottom w:val="nil"/>
            </w:tcBorders>
            <w:vAlign w:val="center"/>
          </w:tcPr>
          <w:p w14:paraId="452F4669">
            <w:pPr>
              <w:spacing w:line="240" w:lineRule="auto"/>
              <w:ind w:firstLine="0" w:firstLineChars="0"/>
              <w:jc w:val="center"/>
              <w:rPr>
                <w:rFonts w:cs="Times New Roman"/>
                <w:sz w:val="21"/>
                <w:lang w:eastAsia="zh-CN"/>
              </w:rPr>
            </w:pPr>
          </w:p>
        </w:tc>
        <w:tc>
          <w:tcPr>
            <w:tcW w:w="446" w:type="pct"/>
            <w:vAlign w:val="center"/>
          </w:tcPr>
          <w:p w14:paraId="41ACFC6B">
            <w:pPr>
              <w:spacing w:line="240" w:lineRule="auto"/>
              <w:ind w:firstLine="0" w:firstLineChars="0"/>
              <w:jc w:val="center"/>
              <w:rPr>
                <w:rFonts w:cs="Times New Roman"/>
                <w:sz w:val="21"/>
              </w:rPr>
            </w:pPr>
            <w:r>
              <w:rPr>
                <w:rFonts w:cs="Times New Roman"/>
                <w:sz w:val="21"/>
              </w:rPr>
              <w:t>中等肥沃</w:t>
            </w:r>
          </w:p>
        </w:tc>
        <w:tc>
          <w:tcPr>
            <w:tcW w:w="223" w:type="pct"/>
            <w:vAlign w:val="center"/>
          </w:tcPr>
          <w:p w14:paraId="245C5948">
            <w:pPr>
              <w:spacing w:line="240" w:lineRule="auto"/>
              <w:ind w:firstLine="0" w:firstLineChars="0"/>
              <w:jc w:val="center"/>
              <w:rPr>
                <w:rFonts w:eastAsia="Times New Roman" w:cs="Times New Roman"/>
                <w:sz w:val="21"/>
              </w:rPr>
            </w:pPr>
            <w:r>
              <w:rPr>
                <w:rFonts w:eastAsia="Times New Roman" w:cs="Times New Roman"/>
                <w:sz w:val="21"/>
              </w:rPr>
              <w:t>22</w:t>
            </w:r>
          </w:p>
        </w:tc>
        <w:tc>
          <w:tcPr>
            <w:tcW w:w="391" w:type="pct"/>
            <w:vAlign w:val="center"/>
          </w:tcPr>
          <w:p w14:paraId="05D9F2C8">
            <w:pPr>
              <w:spacing w:line="240" w:lineRule="auto"/>
              <w:ind w:firstLine="0" w:firstLineChars="0"/>
              <w:jc w:val="center"/>
              <w:rPr>
                <w:rFonts w:eastAsia="Times New Roman" w:cs="Times New Roman"/>
                <w:sz w:val="21"/>
              </w:rPr>
            </w:pPr>
            <w:r>
              <w:rPr>
                <w:rFonts w:eastAsia="Times New Roman" w:cs="Times New Roman"/>
                <w:sz w:val="21"/>
              </w:rPr>
              <w:t>&lt;</w:t>
            </w:r>
            <w:r>
              <w:rPr>
                <w:rFonts w:eastAsia="Times New Roman" w:cs="Times New Roman"/>
                <w:position w:val="1"/>
                <w:sz w:val="21"/>
              </w:rPr>
              <w:t>500</w:t>
            </w:r>
          </w:p>
        </w:tc>
        <w:tc>
          <w:tcPr>
            <w:tcW w:w="391" w:type="pct"/>
            <w:vAlign w:val="center"/>
          </w:tcPr>
          <w:p w14:paraId="15438B0C">
            <w:pPr>
              <w:spacing w:line="240" w:lineRule="auto"/>
              <w:ind w:firstLine="0" w:firstLineChars="0"/>
              <w:jc w:val="center"/>
              <w:rPr>
                <w:rFonts w:cs="Times New Roman"/>
                <w:sz w:val="21"/>
              </w:rPr>
            </w:pPr>
            <w:r>
              <w:rPr>
                <w:rFonts w:cs="Times New Roman"/>
                <w:sz w:val="21"/>
              </w:rPr>
              <w:t>中部</w:t>
            </w:r>
          </w:p>
        </w:tc>
        <w:tc>
          <w:tcPr>
            <w:tcW w:w="279" w:type="pct"/>
            <w:vAlign w:val="center"/>
          </w:tcPr>
          <w:p w14:paraId="5B39FB2A">
            <w:pPr>
              <w:spacing w:line="240" w:lineRule="auto"/>
              <w:ind w:firstLine="0" w:firstLineChars="0"/>
              <w:jc w:val="center"/>
              <w:rPr>
                <w:rFonts w:eastAsia="Times New Roman" w:cs="Times New Roman"/>
                <w:sz w:val="21"/>
              </w:rPr>
            </w:pPr>
            <w:r>
              <w:rPr>
                <w:rFonts w:eastAsia="Times New Roman" w:cs="Times New Roman"/>
                <w:sz w:val="21"/>
              </w:rPr>
              <w:t>≤25</w:t>
            </w:r>
          </w:p>
        </w:tc>
        <w:tc>
          <w:tcPr>
            <w:tcW w:w="446" w:type="pct"/>
            <w:vAlign w:val="center"/>
          </w:tcPr>
          <w:p w14:paraId="5A654FC0">
            <w:pPr>
              <w:spacing w:line="240" w:lineRule="auto"/>
              <w:ind w:firstLine="0" w:firstLineChars="0"/>
              <w:jc w:val="center"/>
              <w:rPr>
                <w:rFonts w:eastAsia="Times New Roman" w:cs="Times New Roman"/>
                <w:sz w:val="21"/>
              </w:rPr>
            </w:pPr>
            <w:r>
              <w:rPr>
                <w:rFonts w:eastAsia="Times New Roman" w:cs="Times New Roman"/>
                <w:sz w:val="21"/>
              </w:rPr>
              <w:t>≥25</w:t>
            </w:r>
          </w:p>
        </w:tc>
        <w:tc>
          <w:tcPr>
            <w:tcW w:w="391" w:type="pct"/>
            <w:vAlign w:val="center"/>
          </w:tcPr>
          <w:p w14:paraId="7BB15C40">
            <w:pPr>
              <w:spacing w:line="240" w:lineRule="auto"/>
              <w:ind w:firstLine="0" w:firstLineChars="0"/>
              <w:jc w:val="center"/>
              <w:rPr>
                <w:rFonts w:eastAsia="Times New Roman" w:cs="Times New Roman"/>
                <w:sz w:val="21"/>
              </w:rPr>
            </w:pPr>
            <w:r>
              <w:rPr>
                <w:rFonts w:eastAsia="Times New Roman" w:cs="Times New Roman"/>
                <w:sz w:val="21"/>
              </w:rPr>
              <w:t>&gt;400</w:t>
            </w:r>
          </w:p>
        </w:tc>
        <w:tc>
          <w:tcPr>
            <w:tcW w:w="782" w:type="pct"/>
            <w:vMerge w:val="continue"/>
            <w:tcBorders>
              <w:top w:val="nil"/>
              <w:bottom w:val="nil"/>
            </w:tcBorders>
            <w:vAlign w:val="center"/>
          </w:tcPr>
          <w:p w14:paraId="5E2D0BD8">
            <w:pPr>
              <w:spacing w:line="240" w:lineRule="auto"/>
              <w:ind w:firstLine="0" w:firstLineChars="0"/>
              <w:jc w:val="center"/>
              <w:rPr>
                <w:rFonts w:cs="Times New Roman"/>
                <w:sz w:val="21"/>
              </w:rPr>
            </w:pPr>
          </w:p>
        </w:tc>
        <w:tc>
          <w:tcPr>
            <w:tcW w:w="335" w:type="pct"/>
            <w:vAlign w:val="center"/>
          </w:tcPr>
          <w:p w14:paraId="012C3C68">
            <w:pPr>
              <w:spacing w:line="240" w:lineRule="auto"/>
              <w:ind w:firstLine="0" w:firstLineChars="0"/>
              <w:jc w:val="center"/>
              <w:rPr>
                <w:rFonts w:eastAsia="Times New Roman" w:cs="Times New Roman"/>
                <w:sz w:val="21"/>
              </w:rPr>
            </w:pPr>
            <w:r>
              <w:rPr>
                <w:rFonts w:eastAsia="Times New Roman" w:cs="Times New Roman"/>
                <w:sz w:val="21"/>
              </w:rPr>
              <w:t>&gt;30</w:t>
            </w:r>
          </w:p>
        </w:tc>
        <w:tc>
          <w:tcPr>
            <w:tcW w:w="939" w:type="pct"/>
            <w:vMerge w:val="continue"/>
            <w:tcBorders>
              <w:top w:val="nil"/>
              <w:bottom w:val="nil"/>
            </w:tcBorders>
            <w:vAlign w:val="center"/>
          </w:tcPr>
          <w:p w14:paraId="19161A94">
            <w:pPr>
              <w:spacing w:line="240" w:lineRule="auto"/>
              <w:ind w:firstLine="0" w:firstLineChars="0"/>
              <w:jc w:val="center"/>
              <w:rPr>
                <w:rFonts w:cs="Times New Roman"/>
                <w:sz w:val="21"/>
              </w:rPr>
            </w:pPr>
          </w:p>
        </w:tc>
      </w:tr>
      <w:tr w14:paraId="09B4FE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372" w:type="pct"/>
            <w:vMerge w:val="continue"/>
            <w:tcBorders>
              <w:top w:val="nil"/>
            </w:tcBorders>
            <w:vAlign w:val="center"/>
          </w:tcPr>
          <w:p w14:paraId="11A26170">
            <w:pPr>
              <w:spacing w:line="240" w:lineRule="auto"/>
              <w:ind w:firstLine="0" w:firstLineChars="0"/>
              <w:jc w:val="center"/>
              <w:rPr>
                <w:rFonts w:cs="Times New Roman"/>
                <w:sz w:val="21"/>
              </w:rPr>
            </w:pPr>
          </w:p>
        </w:tc>
        <w:tc>
          <w:tcPr>
            <w:tcW w:w="446" w:type="pct"/>
            <w:vAlign w:val="center"/>
          </w:tcPr>
          <w:p w14:paraId="1D80B070">
            <w:pPr>
              <w:spacing w:line="240" w:lineRule="auto"/>
              <w:ind w:firstLine="0" w:firstLineChars="0"/>
              <w:jc w:val="center"/>
              <w:rPr>
                <w:rFonts w:cs="Times New Roman"/>
                <w:sz w:val="21"/>
              </w:rPr>
            </w:pPr>
            <w:r>
              <w:rPr>
                <w:rFonts w:cs="Times New Roman"/>
                <w:sz w:val="21"/>
              </w:rPr>
              <w:t>瘠薄型</w:t>
            </w:r>
          </w:p>
        </w:tc>
        <w:tc>
          <w:tcPr>
            <w:tcW w:w="223" w:type="pct"/>
            <w:vAlign w:val="center"/>
          </w:tcPr>
          <w:p w14:paraId="6CFD7EA6">
            <w:pPr>
              <w:spacing w:line="240" w:lineRule="auto"/>
              <w:ind w:firstLine="0" w:firstLineChars="0"/>
              <w:jc w:val="center"/>
              <w:rPr>
                <w:rFonts w:eastAsia="Times New Roman" w:cs="Times New Roman"/>
                <w:sz w:val="21"/>
              </w:rPr>
            </w:pPr>
            <w:r>
              <w:rPr>
                <w:rFonts w:eastAsia="Times New Roman" w:cs="Times New Roman"/>
                <w:sz w:val="21"/>
              </w:rPr>
              <w:t>23</w:t>
            </w:r>
          </w:p>
        </w:tc>
        <w:tc>
          <w:tcPr>
            <w:tcW w:w="391" w:type="pct"/>
            <w:vAlign w:val="center"/>
          </w:tcPr>
          <w:p w14:paraId="53F0A109">
            <w:pPr>
              <w:spacing w:line="240" w:lineRule="auto"/>
              <w:ind w:firstLine="0" w:firstLineChars="0"/>
              <w:jc w:val="center"/>
              <w:rPr>
                <w:rFonts w:eastAsia="Times New Roman" w:cs="Times New Roman"/>
                <w:sz w:val="21"/>
              </w:rPr>
            </w:pPr>
            <w:r>
              <w:rPr>
                <w:rFonts w:eastAsia="Times New Roman" w:cs="Times New Roman"/>
                <w:sz w:val="21"/>
              </w:rPr>
              <w:t>&lt;</w:t>
            </w:r>
            <w:r>
              <w:rPr>
                <w:rFonts w:eastAsia="Times New Roman" w:cs="Times New Roman"/>
                <w:position w:val="1"/>
                <w:sz w:val="21"/>
              </w:rPr>
              <w:t>800</w:t>
            </w:r>
          </w:p>
        </w:tc>
        <w:tc>
          <w:tcPr>
            <w:tcW w:w="391" w:type="pct"/>
            <w:vAlign w:val="center"/>
          </w:tcPr>
          <w:p w14:paraId="515EC47D">
            <w:pPr>
              <w:spacing w:line="240" w:lineRule="auto"/>
              <w:ind w:firstLine="0" w:firstLineChars="0"/>
              <w:jc w:val="center"/>
              <w:rPr>
                <w:rFonts w:cs="Times New Roman"/>
                <w:sz w:val="21"/>
              </w:rPr>
            </w:pPr>
            <w:r>
              <w:rPr>
                <w:rFonts w:cs="Times New Roman"/>
                <w:sz w:val="21"/>
              </w:rPr>
              <w:t>上部</w:t>
            </w:r>
          </w:p>
        </w:tc>
        <w:tc>
          <w:tcPr>
            <w:tcW w:w="279" w:type="pct"/>
            <w:vAlign w:val="center"/>
          </w:tcPr>
          <w:p w14:paraId="3BA4D0AB">
            <w:pPr>
              <w:spacing w:line="240" w:lineRule="auto"/>
              <w:ind w:firstLine="0" w:firstLineChars="0"/>
              <w:jc w:val="center"/>
              <w:rPr>
                <w:rFonts w:eastAsia="Times New Roman" w:cs="Times New Roman"/>
                <w:sz w:val="21"/>
              </w:rPr>
            </w:pPr>
            <w:r>
              <w:rPr>
                <w:rFonts w:eastAsia="Times New Roman" w:cs="Times New Roman"/>
                <w:sz w:val="21"/>
              </w:rPr>
              <w:t>&lt;35</w:t>
            </w:r>
          </w:p>
        </w:tc>
        <w:tc>
          <w:tcPr>
            <w:tcW w:w="446" w:type="pct"/>
            <w:vAlign w:val="center"/>
          </w:tcPr>
          <w:p w14:paraId="3CE6011E">
            <w:pPr>
              <w:spacing w:line="240" w:lineRule="auto"/>
              <w:ind w:firstLine="0" w:firstLineChars="0"/>
              <w:jc w:val="center"/>
              <w:rPr>
                <w:rFonts w:eastAsia="Times New Roman" w:cs="Times New Roman"/>
                <w:sz w:val="21"/>
              </w:rPr>
            </w:pPr>
            <w:r>
              <w:rPr>
                <w:rFonts w:eastAsia="Times New Roman" w:cs="Times New Roman"/>
                <w:sz w:val="21"/>
              </w:rPr>
              <w:t>&lt;</w:t>
            </w:r>
            <w:r>
              <w:rPr>
                <w:rFonts w:eastAsia="Times New Roman" w:cs="Times New Roman"/>
                <w:position w:val="1"/>
                <w:sz w:val="21"/>
              </w:rPr>
              <w:t>25</w:t>
            </w:r>
          </w:p>
        </w:tc>
        <w:tc>
          <w:tcPr>
            <w:tcW w:w="391" w:type="pct"/>
            <w:vAlign w:val="center"/>
          </w:tcPr>
          <w:p w14:paraId="5EC5C34C">
            <w:pPr>
              <w:spacing w:line="240" w:lineRule="auto"/>
              <w:ind w:firstLine="0" w:firstLineChars="0"/>
              <w:jc w:val="center"/>
              <w:rPr>
                <w:rFonts w:eastAsia="Times New Roman" w:cs="Times New Roman"/>
                <w:sz w:val="21"/>
              </w:rPr>
            </w:pPr>
            <w:r>
              <w:rPr>
                <w:rFonts w:eastAsia="Times New Roman" w:cs="Times New Roman"/>
                <w:sz w:val="21"/>
              </w:rPr>
              <w:t>&lt;</w:t>
            </w:r>
            <w:r>
              <w:rPr>
                <w:rFonts w:eastAsia="Times New Roman" w:cs="Times New Roman"/>
                <w:position w:val="1"/>
                <w:sz w:val="21"/>
              </w:rPr>
              <w:t>40</w:t>
            </w:r>
          </w:p>
        </w:tc>
        <w:tc>
          <w:tcPr>
            <w:tcW w:w="782" w:type="pct"/>
            <w:vMerge w:val="continue"/>
            <w:tcBorders>
              <w:top w:val="nil"/>
            </w:tcBorders>
            <w:vAlign w:val="center"/>
          </w:tcPr>
          <w:p w14:paraId="63E22DEC">
            <w:pPr>
              <w:spacing w:line="240" w:lineRule="auto"/>
              <w:ind w:firstLine="0" w:firstLineChars="0"/>
              <w:jc w:val="center"/>
              <w:rPr>
                <w:rFonts w:cs="Times New Roman"/>
                <w:sz w:val="21"/>
              </w:rPr>
            </w:pPr>
          </w:p>
        </w:tc>
        <w:tc>
          <w:tcPr>
            <w:tcW w:w="335" w:type="pct"/>
            <w:vAlign w:val="center"/>
          </w:tcPr>
          <w:p w14:paraId="7708A57A">
            <w:pPr>
              <w:spacing w:line="240" w:lineRule="auto"/>
              <w:ind w:firstLine="0" w:firstLineChars="0"/>
              <w:jc w:val="center"/>
              <w:rPr>
                <w:rFonts w:eastAsia="Times New Roman" w:cs="Times New Roman"/>
                <w:sz w:val="21"/>
              </w:rPr>
            </w:pPr>
            <w:r>
              <w:rPr>
                <w:rFonts w:eastAsia="Times New Roman" w:cs="Times New Roman"/>
                <w:sz w:val="21"/>
              </w:rPr>
              <w:t>&lt;</w:t>
            </w:r>
            <w:r>
              <w:rPr>
                <w:rFonts w:eastAsia="Times New Roman" w:cs="Times New Roman"/>
                <w:position w:val="1"/>
                <w:sz w:val="21"/>
              </w:rPr>
              <w:t>30</w:t>
            </w:r>
          </w:p>
        </w:tc>
        <w:tc>
          <w:tcPr>
            <w:tcW w:w="939" w:type="pct"/>
            <w:vMerge w:val="continue"/>
            <w:tcBorders>
              <w:top w:val="nil"/>
            </w:tcBorders>
            <w:vAlign w:val="center"/>
          </w:tcPr>
          <w:p w14:paraId="21C124FF">
            <w:pPr>
              <w:spacing w:line="240" w:lineRule="auto"/>
              <w:ind w:firstLine="0" w:firstLineChars="0"/>
              <w:jc w:val="center"/>
              <w:rPr>
                <w:rFonts w:cs="Times New Roman"/>
                <w:sz w:val="21"/>
              </w:rPr>
            </w:pPr>
          </w:p>
        </w:tc>
      </w:tr>
      <w:tr w14:paraId="4B11BF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372" w:type="pct"/>
            <w:vMerge w:val="restart"/>
            <w:tcBorders>
              <w:bottom w:val="nil"/>
            </w:tcBorders>
            <w:vAlign w:val="center"/>
          </w:tcPr>
          <w:p w14:paraId="7FA22EE9">
            <w:pPr>
              <w:spacing w:line="240" w:lineRule="auto"/>
              <w:ind w:firstLine="0" w:firstLineChars="0"/>
              <w:jc w:val="center"/>
              <w:rPr>
                <w:rFonts w:cs="Times New Roman" w:eastAsiaTheme="minorEastAsia"/>
                <w:sz w:val="21"/>
                <w:lang w:eastAsia="zh-CN"/>
              </w:rPr>
            </w:pPr>
            <w:r>
              <w:rPr>
                <w:rFonts w:cs="Times New Roman"/>
                <w:sz w:val="21"/>
              </w:rPr>
              <w:t>石灰岩类</w:t>
            </w:r>
          </w:p>
        </w:tc>
        <w:tc>
          <w:tcPr>
            <w:tcW w:w="446" w:type="pct"/>
            <w:vAlign w:val="center"/>
          </w:tcPr>
          <w:p w14:paraId="0BEE9D8E">
            <w:pPr>
              <w:spacing w:line="240" w:lineRule="auto"/>
              <w:ind w:firstLine="0" w:firstLineChars="0"/>
              <w:jc w:val="center"/>
              <w:rPr>
                <w:rFonts w:cs="Times New Roman"/>
                <w:sz w:val="21"/>
              </w:rPr>
            </w:pPr>
            <w:r>
              <w:rPr>
                <w:rFonts w:cs="Times New Roman"/>
                <w:sz w:val="21"/>
              </w:rPr>
              <w:t>肥沃型</w:t>
            </w:r>
          </w:p>
        </w:tc>
        <w:tc>
          <w:tcPr>
            <w:tcW w:w="223" w:type="pct"/>
            <w:vAlign w:val="center"/>
          </w:tcPr>
          <w:p w14:paraId="5C1EFC45">
            <w:pPr>
              <w:spacing w:line="240" w:lineRule="auto"/>
              <w:ind w:firstLine="0" w:firstLineChars="0"/>
              <w:jc w:val="center"/>
              <w:rPr>
                <w:rFonts w:eastAsia="Times New Roman" w:cs="Times New Roman"/>
                <w:sz w:val="21"/>
              </w:rPr>
            </w:pPr>
            <w:r>
              <w:rPr>
                <w:rFonts w:eastAsia="Times New Roman" w:cs="Times New Roman"/>
                <w:sz w:val="21"/>
              </w:rPr>
              <w:t>31</w:t>
            </w:r>
          </w:p>
        </w:tc>
        <w:tc>
          <w:tcPr>
            <w:tcW w:w="391" w:type="pct"/>
            <w:vAlign w:val="center"/>
          </w:tcPr>
          <w:p w14:paraId="2BC0B8F0">
            <w:pPr>
              <w:spacing w:line="240" w:lineRule="auto"/>
              <w:ind w:firstLine="0" w:firstLineChars="0"/>
              <w:jc w:val="center"/>
              <w:rPr>
                <w:rFonts w:cs="Times New Roman"/>
                <w:sz w:val="21"/>
                <w:lang w:eastAsia="zh-CN"/>
              </w:rPr>
            </w:pPr>
            <w:r>
              <w:rPr>
                <w:rFonts w:eastAsia="Times New Roman" w:cs="Times New Roman"/>
                <w:sz w:val="21"/>
              </w:rPr>
              <w:t>&lt;</w:t>
            </w:r>
            <w:r>
              <w:rPr>
                <w:rFonts w:cs="Times New Roman"/>
                <w:sz w:val="21"/>
                <w:lang w:eastAsia="zh-CN"/>
              </w:rPr>
              <w:t>100</w:t>
            </w:r>
          </w:p>
        </w:tc>
        <w:tc>
          <w:tcPr>
            <w:tcW w:w="391" w:type="pct"/>
            <w:vAlign w:val="center"/>
          </w:tcPr>
          <w:p w14:paraId="1B8388CF">
            <w:pPr>
              <w:spacing w:line="240" w:lineRule="auto"/>
              <w:ind w:firstLine="0" w:firstLineChars="0"/>
              <w:jc w:val="center"/>
              <w:rPr>
                <w:rFonts w:cs="Times New Roman"/>
                <w:sz w:val="21"/>
              </w:rPr>
            </w:pPr>
            <w:r>
              <w:rPr>
                <w:rFonts w:cs="Times New Roman"/>
                <w:sz w:val="21"/>
              </w:rPr>
              <w:t>山坡下部、谷、沟</w:t>
            </w:r>
          </w:p>
        </w:tc>
        <w:tc>
          <w:tcPr>
            <w:tcW w:w="279" w:type="pct"/>
            <w:vAlign w:val="center"/>
          </w:tcPr>
          <w:p w14:paraId="20243AD4">
            <w:pPr>
              <w:spacing w:line="240" w:lineRule="auto"/>
              <w:ind w:firstLine="0" w:firstLineChars="0"/>
              <w:jc w:val="center"/>
              <w:rPr>
                <w:rFonts w:eastAsia="Times New Roman" w:cs="Times New Roman"/>
                <w:sz w:val="21"/>
              </w:rPr>
            </w:pPr>
            <w:r>
              <w:rPr>
                <w:rFonts w:eastAsia="Times New Roman" w:cs="Times New Roman"/>
                <w:sz w:val="21"/>
              </w:rPr>
              <w:t>≤25</w:t>
            </w:r>
          </w:p>
        </w:tc>
        <w:tc>
          <w:tcPr>
            <w:tcW w:w="446" w:type="pct"/>
            <w:vAlign w:val="center"/>
          </w:tcPr>
          <w:p w14:paraId="28F19163">
            <w:pPr>
              <w:spacing w:line="240" w:lineRule="auto"/>
              <w:ind w:firstLine="0" w:firstLineChars="0"/>
              <w:jc w:val="center"/>
              <w:rPr>
                <w:rFonts w:eastAsia="Times New Roman" w:cs="Times New Roman"/>
                <w:sz w:val="21"/>
              </w:rPr>
            </w:pPr>
            <w:r>
              <w:rPr>
                <w:rFonts w:eastAsia="Times New Roman" w:cs="Times New Roman"/>
                <w:sz w:val="21"/>
              </w:rPr>
              <w:t>≥35</w:t>
            </w:r>
          </w:p>
        </w:tc>
        <w:tc>
          <w:tcPr>
            <w:tcW w:w="391" w:type="pct"/>
            <w:vAlign w:val="center"/>
          </w:tcPr>
          <w:p w14:paraId="5663498C">
            <w:pPr>
              <w:spacing w:line="240" w:lineRule="auto"/>
              <w:ind w:firstLine="0" w:firstLineChars="0"/>
              <w:jc w:val="center"/>
              <w:rPr>
                <w:rFonts w:eastAsia="Times New Roman" w:cs="Times New Roman"/>
                <w:sz w:val="21"/>
              </w:rPr>
            </w:pPr>
            <w:r>
              <w:rPr>
                <w:rFonts w:eastAsia="Times New Roman" w:cs="Times New Roman"/>
                <w:sz w:val="21"/>
              </w:rPr>
              <w:t>&gt;80</w:t>
            </w:r>
          </w:p>
        </w:tc>
        <w:tc>
          <w:tcPr>
            <w:tcW w:w="782" w:type="pct"/>
            <w:vMerge w:val="restart"/>
            <w:tcBorders>
              <w:bottom w:val="nil"/>
            </w:tcBorders>
            <w:vAlign w:val="center"/>
          </w:tcPr>
          <w:p w14:paraId="3A095DBF">
            <w:pPr>
              <w:spacing w:line="240" w:lineRule="auto"/>
              <w:ind w:firstLine="0" w:firstLineChars="0"/>
              <w:jc w:val="center"/>
              <w:rPr>
                <w:rFonts w:cs="Times New Roman"/>
                <w:sz w:val="21"/>
                <w:lang w:eastAsia="zh-CN"/>
              </w:rPr>
            </w:pPr>
            <w:r>
              <w:rPr>
                <w:rFonts w:cs="Times New Roman"/>
                <w:sz w:val="21"/>
                <w:lang w:eastAsia="zh-CN"/>
              </w:rPr>
              <w:t>杉木、福建柏、马尾松、水青冈、木荷、冬青、楠木、柃木、杜鹃、杜茎山等</w:t>
            </w:r>
          </w:p>
        </w:tc>
        <w:tc>
          <w:tcPr>
            <w:tcW w:w="335" w:type="pct"/>
            <w:vAlign w:val="center"/>
          </w:tcPr>
          <w:p w14:paraId="145E32B8">
            <w:pPr>
              <w:spacing w:line="240" w:lineRule="auto"/>
              <w:ind w:firstLine="0" w:firstLineChars="0"/>
              <w:jc w:val="center"/>
              <w:rPr>
                <w:rFonts w:eastAsia="Times New Roman" w:cs="Times New Roman"/>
                <w:sz w:val="21"/>
              </w:rPr>
            </w:pPr>
            <w:r>
              <w:rPr>
                <w:rFonts w:eastAsia="Times New Roman" w:cs="Times New Roman"/>
                <w:sz w:val="21"/>
              </w:rPr>
              <w:t>&gt;60</w:t>
            </w:r>
          </w:p>
        </w:tc>
        <w:tc>
          <w:tcPr>
            <w:tcW w:w="939" w:type="pct"/>
            <w:vMerge w:val="restart"/>
            <w:tcBorders>
              <w:bottom w:val="nil"/>
            </w:tcBorders>
            <w:vAlign w:val="center"/>
          </w:tcPr>
          <w:p w14:paraId="7CCC7782">
            <w:pPr>
              <w:spacing w:line="240" w:lineRule="auto"/>
              <w:ind w:firstLine="0" w:firstLineChars="0"/>
              <w:jc w:val="center"/>
              <w:rPr>
                <w:rFonts w:cs="Times New Roman"/>
                <w:sz w:val="21"/>
                <w:lang w:eastAsia="zh-CN"/>
              </w:rPr>
            </w:pPr>
            <w:r>
              <w:rPr>
                <w:rFonts w:cs="Times New Roman"/>
                <w:sz w:val="21"/>
                <w:lang w:eastAsia="zh-CN"/>
              </w:rPr>
              <w:t>青冈、木荷、麻栎、水青冈、楠木、杉木、马尾松</w:t>
            </w:r>
          </w:p>
        </w:tc>
      </w:tr>
      <w:tr w14:paraId="047F3B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372" w:type="pct"/>
            <w:vMerge w:val="continue"/>
            <w:tcBorders>
              <w:top w:val="nil"/>
              <w:bottom w:val="nil"/>
            </w:tcBorders>
            <w:vAlign w:val="center"/>
          </w:tcPr>
          <w:p w14:paraId="02DAFCEA">
            <w:pPr>
              <w:spacing w:line="240" w:lineRule="auto"/>
              <w:ind w:firstLine="0" w:firstLineChars="0"/>
              <w:jc w:val="center"/>
              <w:rPr>
                <w:rFonts w:cs="Times New Roman"/>
                <w:sz w:val="21"/>
                <w:lang w:eastAsia="zh-CN"/>
              </w:rPr>
            </w:pPr>
          </w:p>
        </w:tc>
        <w:tc>
          <w:tcPr>
            <w:tcW w:w="446" w:type="pct"/>
            <w:vAlign w:val="center"/>
          </w:tcPr>
          <w:p w14:paraId="26255069">
            <w:pPr>
              <w:spacing w:line="240" w:lineRule="auto"/>
              <w:ind w:firstLine="0" w:firstLineChars="0"/>
              <w:jc w:val="center"/>
              <w:rPr>
                <w:rFonts w:cs="Times New Roman"/>
                <w:sz w:val="21"/>
              </w:rPr>
            </w:pPr>
            <w:r>
              <w:rPr>
                <w:rFonts w:cs="Times New Roman"/>
                <w:sz w:val="21"/>
              </w:rPr>
              <w:t>中等肥沃</w:t>
            </w:r>
          </w:p>
        </w:tc>
        <w:tc>
          <w:tcPr>
            <w:tcW w:w="223" w:type="pct"/>
            <w:vAlign w:val="center"/>
          </w:tcPr>
          <w:p w14:paraId="008A96DB">
            <w:pPr>
              <w:spacing w:line="240" w:lineRule="auto"/>
              <w:ind w:firstLine="0" w:firstLineChars="0"/>
              <w:jc w:val="center"/>
              <w:rPr>
                <w:rFonts w:eastAsia="Times New Roman" w:cs="Times New Roman"/>
                <w:sz w:val="21"/>
              </w:rPr>
            </w:pPr>
            <w:r>
              <w:rPr>
                <w:rFonts w:eastAsia="Times New Roman" w:cs="Times New Roman"/>
                <w:sz w:val="21"/>
              </w:rPr>
              <w:t>32</w:t>
            </w:r>
          </w:p>
        </w:tc>
        <w:tc>
          <w:tcPr>
            <w:tcW w:w="391" w:type="pct"/>
            <w:vAlign w:val="center"/>
          </w:tcPr>
          <w:p w14:paraId="5FC9F758">
            <w:pPr>
              <w:spacing w:line="240" w:lineRule="auto"/>
              <w:ind w:firstLine="0" w:firstLineChars="0"/>
              <w:jc w:val="center"/>
              <w:rPr>
                <w:rFonts w:eastAsia="Times New Roman" w:cs="Times New Roman"/>
                <w:sz w:val="21"/>
              </w:rPr>
            </w:pPr>
            <w:r>
              <w:rPr>
                <w:rFonts w:eastAsia="Times New Roman" w:cs="Times New Roman"/>
                <w:sz w:val="21"/>
              </w:rPr>
              <w:t>&lt;</w:t>
            </w:r>
            <w:r>
              <w:rPr>
                <w:rFonts w:eastAsia="Times New Roman" w:cs="Times New Roman"/>
                <w:position w:val="1"/>
                <w:sz w:val="21"/>
              </w:rPr>
              <w:t>500</w:t>
            </w:r>
          </w:p>
        </w:tc>
        <w:tc>
          <w:tcPr>
            <w:tcW w:w="391" w:type="pct"/>
            <w:vAlign w:val="center"/>
          </w:tcPr>
          <w:p w14:paraId="6222D61E">
            <w:pPr>
              <w:spacing w:line="240" w:lineRule="auto"/>
              <w:ind w:firstLine="0" w:firstLineChars="0"/>
              <w:jc w:val="center"/>
              <w:rPr>
                <w:rFonts w:cs="Times New Roman"/>
                <w:sz w:val="21"/>
              </w:rPr>
            </w:pPr>
            <w:r>
              <w:rPr>
                <w:rFonts w:cs="Times New Roman"/>
                <w:sz w:val="21"/>
              </w:rPr>
              <w:t>中部</w:t>
            </w:r>
          </w:p>
        </w:tc>
        <w:tc>
          <w:tcPr>
            <w:tcW w:w="279" w:type="pct"/>
            <w:vAlign w:val="center"/>
          </w:tcPr>
          <w:p w14:paraId="6D7D1875">
            <w:pPr>
              <w:spacing w:line="240" w:lineRule="auto"/>
              <w:ind w:firstLine="0" w:firstLineChars="0"/>
              <w:jc w:val="center"/>
              <w:rPr>
                <w:rFonts w:eastAsia="Times New Roman" w:cs="Times New Roman"/>
                <w:sz w:val="21"/>
              </w:rPr>
            </w:pPr>
            <w:r>
              <w:rPr>
                <w:rFonts w:eastAsia="Times New Roman" w:cs="Times New Roman"/>
                <w:sz w:val="21"/>
              </w:rPr>
              <w:t>≤25</w:t>
            </w:r>
          </w:p>
        </w:tc>
        <w:tc>
          <w:tcPr>
            <w:tcW w:w="446" w:type="pct"/>
            <w:vAlign w:val="center"/>
          </w:tcPr>
          <w:p w14:paraId="73203F5B">
            <w:pPr>
              <w:spacing w:line="240" w:lineRule="auto"/>
              <w:ind w:firstLine="0" w:firstLineChars="0"/>
              <w:jc w:val="center"/>
              <w:rPr>
                <w:rFonts w:eastAsia="Times New Roman" w:cs="Times New Roman"/>
                <w:sz w:val="21"/>
              </w:rPr>
            </w:pPr>
            <w:r>
              <w:rPr>
                <w:rFonts w:eastAsia="Times New Roman" w:cs="Times New Roman"/>
                <w:sz w:val="21"/>
              </w:rPr>
              <w:t>≥25</w:t>
            </w:r>
          </w:p>
        </w:tc>
        <w:tc>
          <w:tcPr>
            <w:tcW w:w="391" w:type="pct"/>
            <w:vAlign w:val="center"/>
          </w:tcPr>
          <w:p w14:paraId="372B73D4">
            <w:pPr>
              <w:spacing w:line="240" w:lineRule="auto"/>
              <w:ind w:firstLine="0" w:firstLineChars="0"/>
              <w:jc w:val="center"/>
              <w:rPr>
                <w:rFonts w:eastAsia="Times New Roman" w:cs="Times New Roman"/>
                <w:sz w:val="21"/>
              </w:rPr>
            </w:pPr>
            <w:r>
              <w:rPr>
                <w:rFonts w:eastAsia="Times New Roman" w:cs="Times New Roman"/>
                <w:sz w:val="21"/>
              </w:rPr>
              <w:t>&gt;40</w:t>
            </w:r>
          </w:p>
        </w:tc>
        <w:tc>
          <w:tcPr>
            <w:tcW w:w="782" w:type="pct"/>
            <w:vMerge w:val="continue"/>
            <w:tcBorders>
              <w:top w:val="nil"/>
              <w:bottom w:val="nil"/>
            </w:tcBorders>
            <w:vAlign w:val="center"/>
          </w:tcPr>
          <w:p w14:paraId="190769E7">
            <w:pPr>
              <w:spacing w:line="240" w:lineRule="auto"/>
              <w:ind w:firstLine="0" w:firstLineChars="0"/>
              <w:jc w:val="center"/>
              <w:rPr>
                <w:rFonts w:cs="Times New Roman"/>
                <w:sz w:val="21"/>
              </w:rPr>
            </w:pPr>
          </w:p>
        </w:tc>
        <w:tc>
          <w:tcPr>
            <w:tcW w:w="335" w:type="pct"/>
            <w:vAlign w:val="center"/>
          </w:tcPr>
          <w:p w14:paraId="4C768D3F">
            <w:pPr>
              <w:spacing w:line="240" w:lineRule="auto"/>
              <w:ind w:firstLine="0" w:firstLineChars="0"/>
              <w:jc w:val="center"/>
              <w:rPr>
                <w:rFonts w:eastAsia="Times New Roman" w:cs="Times New Roman"/>
                <w:sz w:val="21"/>
              </w:rPr>
            </w:pPr>
            <w:r>
              <w:rPr>
                <w:rFonts w:eastAsia="Times New Roman" w:cs="Times New Roman"/>
                <w:sz w:val="21"/>
              </w:rPr>
              <w:t>&gt;30</w:t>
            </w:r>
          </w:p>
        </w:tc>
        <w:tc>
          <w:tcPr>
            <w:tcW w:w="939" w:type="pct"/>
            <w:vMerge w:val="continue"/>
            <w:tcBorders>
              <w:top w:val="nil"/>
              <w:bottom w:val="nil"/>
            </w:tcBorders>
            <w:vAlign w:val="center"/>
          </w:tcPr>
          <w:p w14:paraId="7B158AEA">
            <w:pPr>
              <w:spacing w:line="240" w:lineRule="auto"/>
              <w:ind w:firstLine="0" w:firstLineChars="0"/>
              <w:jc w:val="center"/>
              <w:rPr>
                <w:rFonts w:cs="Times New Roman"/>
                <w:sz w:val="21"/>
              </w:rPr>
            </w:pPr>
          </w:p>
        </w:tc>
      </w:tr>
      <w:tr w14:paraId="073F24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372" w:type="pct"/>
            <w:vMerge w:val="continue"/>
            <w:tcBorders>
              <w:top w:val="nil"/>
            </w:tcBorders>
            <w:vAlign w:val="center"/>
          </w:tcPr>
          <w:p w14:paraId="20270192">
            <w:pPr>
              <w:spacing w:line="240" w:lineRule="auto"/>
              <w:ind w:firstLine="0" w:firstLineChars="0"/>
              <w:jc w:val="center"/>
              <w:rPr>
                <w:rFonts w:cs="Times New Roman"/>
                <w:sz w:val="21"/>
              </w:rPr>
            </w:pPr>
          </w:p>
        </w:tc>
        <w:tc>
          <w:tcPr>
            <w:tcW w:w="446" w:type="pct"/>
            <w:vAlign w:val="center"/>
          </w:tcPr>
          <w:p w14:paraId="1373F171">
            <w:pPr>
              <w:spacing w:line="240" w:lineRule="auto"/>
              <w:ind w:firstLine="0" w:firstLineChars="0"/>
              <w:jc w:val="center"/>
              <w:rPr>
                <w:rFonts w:cs="Times New Roman"/>
                <w:sz w:val="21"/>
              </w:rPr>
            </w:pPr>
            <w:r>
              <w:rPr>
                <w:rFonts w:cs="Times New Roman"/>
                <w:sz w:val="21"/>
              </w:rPr>
              <w:t>瘠薄型</w:t>
            </w:r>
          </w:p>
        </w:tc>
        <w:tc>
          <w:tcPr>
            <w:tcW w:w="223" w:type="pct"/>
            <w:vAlign w:val="center"/>
          </w:tcPr>
          <w:p w14:paraId="620246C1">
            <w:pPr>
              <w:spacing w:line="240" w:lineRule="auto"/>
              <w:ind w:firstLine="0" w:firstLineChars="0"/>
              <w:jc w:val="center"/>
              <w:rPr>
                <w:rFonts w:eastAsia="Times New Roman" w:cs="Times New Roman"/>
                <w:sz w:val="21"/>
              </w:rPr>
            </w:pPr>
            <w:r>
              <w:rPr>
                <w:rFonts w:eastAsia="Times New Roman" w:cs="Times New Roman"/>
                <w:sz w:val="21"/>
              </w:rPr>
              <w:t>33</w:t>
            </w:r>
          </w:p>
        </w:tc>
        <w:tc>
          <w:tcPr>
            <w:tcW w:w="391" w:type="pct"/>
            <w:vAlign w:val="center"/>
          </w:tcPr>
          <w:p w14:paraId="0C6137A1">
            <w:pPr>
              <w:spacing w:line="240" w:lineRule="auto"/>
              <w:ind w:firstLine="0" w:firstLineChars="0"/>
              <w:jc w:val="center"/>
              <w:rPr>
                <w:rFonts w:eastAsia="Times New Roman" w:cs="Times New Roman"/>
                <w:sz w:val="21"/>
              </w:rPr>
            </w:pPr>
            <w:r>
              <w:rPr>
                <w:rFonts w:eastAsia="Times New Roman" w:cs="Times New Roman"/>
                <w:sz w:val="21"/>
              </w:rPr>
              <w:t>&lt;</w:t>
            </w:r>
            <w:r>
              <w:rPr>
                <w:rFonts w:eastAsia="Times New Roman" w:cs="Times New Roman"/>
                <w:position w:val="1"/>
                <w:sz w:val="21"/>
              </w:rPr>
              <w:t>800</w:t>
            </w:r>
          </w:p>
        </w:tc>
        <w:tc>
          <w:tcPr>
            <w:tcW w:w="391" w:type="pct"/>
            <w:vAlign w:val="center"/>
          </w:tcPr>
          <w:p w14:paraId="089FC2FB">
            <w:pPr>
              <w:spacing w:line="240" w:lineRule="auto"/>
              <w:ind w:firstLine="0" w:firstLineChars="0"/>
              <w:jc w:val="center"/>
              <w:rPr>
                <w:rFonts w:cs="Times New Roman"/>
                <w:sz w:val="21"/>
              </w:rPr>
            </w:pPr>
            <w:r>
              <w:rPr>
                <w:rFonts w:cs="Times New Roman"/>
                <w:sz w:val="21"/>
              </w:rPr>
              <w:t>上部</w:t>
            </w:r>
          </w:p>
        </w:tc>
        <w:tc>
          <w:tcPr>
            <w:tcW w:w="279" w:type="pct"/>
            <w:vAlign w:val="center"/>
          </w:tcPr>
          <w:p w14:paraId="7407C017">
            <w:pPr>
              <w:spacing w:line="240" w:lineRule="auto"/>
              <w:ind w:firstLine="0" w:firstLineChars="0"/>
              <w:jc w:val="center"/>
              <w:rPr>
                <w:rFonts w:eastAsia="Times New Roman" w:cs="Times New Roman"/>
                <w:sz w:val="21"/>
              </w:rPr>
            </w:pPr>
            <w:r>
              <w:rPr>
                <w:rFonts w:eastAsia="Times New Roman" w:cs="Times New Roman"/>
                <w:sz w:val="21"/>
              </w:rPr>
              <w:t>&lt;35</w:t>
            </w:r>
          </w:p>
        </w:tc>
        <w:tc>
          <w:tcPr>
            <w:tcW w:w="446" w:type="pct"/>
            <w:vAlign w:val="center"/>
          </w:tcPr>
          <w:p w14:paraId="6861394D">
            <w:pPr>
              <w:spacing w:line="240" w:lineRule="auto"/>
              <w:ind w:firstLine="0" w:firstLineChars="0"/>
              <w:jc w:val="center"/>
              <w:rPr>
                <w:rFonts w:eastAsia="Times New Roman" w:cs="Times New Roman"/>
                <w:sz w:val="21"/>
              </w:rPr>
            </w:pPr>
            <w:r>
              <w:rPr>
                <w:rFonts w:eastAsia="Times New Roman" w:cs="Times New Roman"/>
                <w:sz w:val="21"/>
              </w:rPr>
              <w:t>&lt;</w:t>
            </w:r>
            <w:r>
              <w:rPr>
                <w:rFonts w:eastAsia="Times New Roman" w:cs="Times New Roman"/>
                <w:position w:val="1"/>
                <w:sz w:val="21"/>
              </w:rPr>
              <w:t>25</w:t>
            </w:r>
          </w:p>
        </w:tc>
        <w:tc>
          <w:tcPr>
            <w:tcW w:w="391" w:type="pct"/>
            <w:vAlign w:val="center"/>
          </w:tcPr>
          <w:p w14:paraId="74E01E0E">
            <w:pPr>
              <w:spacing w:line="240" w:lineRule="auto"/>
              <w:ind w:firstLine="0" w:firstLineChars="0"/>
              <w:jc w:val="center"/>
              <w:rPr>
                <w:rFonts w:eastAsia="Times New Roman" w:cs="Times New Roman"/>
                <w:sz w:val="21"/>
              </w:rPr>
            </w:pPr>
            <w:r>
              <w:rPr>
                <w:rFonts w:eastAsia="Times New Roman" w:cs="Times New Roman"/>
                <w:sz w:val="21"/>
              </w:rPr>
              <w:t>&lt;</w:t>
            </w:r>
            <w:r>
              <w:rPr>
                <w:rFonts w:eastAsia="Times New Roman" w:cs="Times New Roman"/>
                <w:position w:val="1"/>
                <w:sz w:val="21"/>
              </w:rPr>
              <w:t>50</w:t>
            </w:r>
          </w:p>
        </w:tc>
        <w:tc>
          <w:tcPr>
            <w:tcW w:w="782" w:type="pct"/>
            <w:vMerge w:val="continue"/>
            <w:tcBorders>
              <w:top w:val="nil"/>
            </w:tcBorders>
            <w:vAlign w:val="center"/>
          </w:tcPr>
          <w:p w14:paraId="54EDEC2E">
            <w:pPr>
              <w:spacing w:line="240" w:lineRule="auto"/>
              <w:ind w:firstLine="0" w:firstLineChars="0"/>
              <w:jc w:val="center"/>
              <w:rPr>
                <w:rFonts w:cs="Times New Roman"/>
                <w:sz w:val="21"/>
              </w:rPr>
            </w:pPr>
          </w:p>
        </w:tc>
        <w:tc>
          <w:tcPr>
            <w:tcW w:w="335" w:type="pct"/>
            <w:vAlign w:val="center"/>
          </w:tcPr>
          <w:p w14:paraId="468A8C88">
            <w:pPr>
              <w:spacing w:line="240" w:lineRule="auto"/>
              <w:ind w:firstLine="0" w:firstLineChars="0"/>
              <w:jc w:val="center"/>
              <w:rPr>
                <w:rFonts w:eastAsia="Times New Roman" w:cs="Times New Roman"/>
                <w:sz w:val="21"/>
              </w:rPr>
            </w:pPr>
            <w:r>
              <w:rPr>
                <w:rFonts w:eastAsia="Times New Roman" w:cs="Times New Roman"/>
                <w:sz w:val="21"/>
              </w:rPr>
              <w:t>&lt;</w:t>
            </w:r>
            <w:r>
              <w:rPr>
                <w:rFonts w:eastAsia="Times New Roman" w:cs="Times New Roman"/>
                <w:position w:val="1"/>
                <w:sz w:val="21"/>
              </w:rPr>
              <w:t>30</w:t>
            </w:r>
          </w:p>
        </w:tc>
        <w:tc>
          <w:tcPr>
            <w:tcW w:w="939" w:type="pct"/>
            <w:vMerge w:val="continue"/>
            <w:tcBorders>
              <w:top w:val="nil"/>
            </w:tcBorders>
            <w:vAlign w:val="center"/>
          </w:tcPr>
          <w:p w14:paraId="4C3E25DB">
            <w:pPr>
              <w:spacing w:line="240" w:lineRule="auto"/>
              <w:ind w:firstLine="0" w:firstLineChars="0"/>
              <w:jc w:val="center"/>
              <w:rPr>
                <w:rFonts w:cs="Times New Roman"/>
                <w:sz w:val="21"/>
              </w:rPr>
            </w:pPr>
          </w:p>
        </w:tc>
      </w:tr>
      <w:tr w14:paraId="7DDE24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372" w:type="pct"/>
            <w:vMerge w:val="restart"/>
            <w:tcBorders>
              <w:bottom w:val="nil"/>
            </w:tcBorders>
            <w:vAlign w:val="center"/>
          </w:tcPr>
          <w:p w14:paraId="1C61F905">
            <w:pPr>
              <w:spacing w:line="240" w:lineRule="auto"/>
              <w:ind w:firstLine="0" w:firstLineChars="0"/>
              <w:jc w:val="center"/>
              <w:rPr>
                <w:rFonts w:cs="Times New Roman" w:eastAsiaTheme="minorEastAsia"/>
                <w:sz w:val="21"/>
                <w:lang w:eastAsia="zh-CN"/>
              </w:rPr>
            </w:pPr>
            <w:r>
              <w:rPr>
                <w:rFonts w:cs="Times New Roman"/>
                <w:sz w:val="21"/>
              </w:rPr>
              <w:t>花岗岩类</w:t>
            </w:r>
          </w:p>
        </w:tc>
        <w:tc>
          <w:tcPr>
            <w:tcW w:w="446" w:type="pct"/>
            <w:vAlign w:val="center"/>
          </w:tcPr>
          <w:p w14:paraId="759AFF5E">
            <w:pPr>
              <w:spacing w:line="240" w:lineRule="auto"/>
              <w:ind w:firstLine="0" w:firstLineChars="0"/>
              <w:jc w:val="center"/>
              <w:rPr>
                <w:rFonts w:cs="Times New Roman"/>
                <w:sz w:val="21"/>
              </w:rPr>
            </w:pPr>
            <w:r>
              <w:rPr>
                <w:rFonts w:cs="Times New Roman"/>
                <w:sz w:val="21"/>
              </w:rPr>
              <w:t>肥沃型</w:t>
            </w:r>
          </w:p>
        </w:tc>
        <w:tc>
          <w:tcPr>
            <w:tcW w:w="223" w:type="pct"/>
            <w:vAlign w:val="center"/>
          </w:tcPr>
          <w:p w14:paraId="5643AF16">
            <w:pPr>
              <w:spacing w:line="240" w:lineRule="auto"/>
              <w:ind w:firstLine="0" w:firstLineChars="0"/>
              <w:jc w:val="center"/>
              <w:rPr>
                <w:rFonts w:eastAsia="Times New Roman" w:cs="Times New Roman"/>
                <w:sz w:val="21"/>
              </w:rPr>
            </w:pPr>
            <w:r>
              <w:rPr>
                <w:rFonts w:eastAsia="Times New Roman" w:cs="Times New Roman"/>
                <w:sz w:val="21"/>
              </w:rPr>
              <w:t>41</w:t>
            </w:r>
          </w:p>
        </w:tc>
        <w:tc>
          <w:tcPr>
            <w:tcW w:w="391" w:type="pct"/>
            <w:vAlign w:val="center"/>
          </w:tcPr>
          <w:p w14:paraId="7DA0B53B">
            <w:pPr>
              <w:spacing w:line="240" w:lineRule="auto"/>
              <w:ind w:firstLine="0" w:firstLineChars="0"/>
              <w:jc w:val="center"/>
              <w:rPr>
                <w:rFonts w:eastAsia="Times New Roman" w:cs="Times New Roman"/>
                <w:sz w:val="21"/>
              </w:rPr>
            </w:pPr>
            <w:r>
              <w:rPr>
                <w:rFonts w:eastAsia="Times New Roman" w:cs="Times New Roman"/>
                <w:sz w:val="21"/>
              </w:rPr>
              <w:t>&lt;800</w:t>
            </w:r>
          </w:p>
        </w:tc>
        <w:tc>
          <w:tcPr>
            <w:tcW w:w="391" w:type="pct"/>
            <w:vAlign w:val="center"/>
          </w:tcPr>
          <w:p w14:paraId="19559B43">
            <w:pPr>
              <w:spacing w:line="240" w:lineRule="auto"/>
              <w:ind w:firstLine="0" w:firstLineChars="0"/>
              <w:jc w:val="center"/>
              <w:rPr>
                <w:rFonts w:cs="Times New Roman"/>
                <w:sz w:val="21"/>
              </w:rPr>
            </w:pPr>
            <w:r>
              <w:rPr>
                <w:rFonts w:cs="Times New Roman"/>
                <w:sz w:val="21"/>
              </w:rPr>
              <w:t>山坡下部、谷、沟</w:t>
            </w:r>
          </w:p>
        </w:tc>
        <w:tc>
          <w:tcPr>
            <w:tcW w:w="279" w:type="pct"/>
            <w:vAlign w:val="center"/>
          </w:tcPr>
          <w:p w14:paraId="04321284">
            <w:pPr>
              <w:spacing w:line="240" w:lineRule="auto"/>
              <w:ind w:firstLine="0" w:firstLineChars="0"/>
              <w:jc w:val="center"/>
              <w:rPr>
                <w:rFonts w:eastAsia="Times New Roman" w:cs="Times New Roman"/>
                <w:sz w:val="21"/>
              </w:rPr>
            </w:pPr>
            <w:r>
              <w:rPr>
                <w:rFonts w:eastAsia="Times New Roman" w:cs="Times New Roman"/>
                <w:sz w:val="21"/>
              </w:rPr>
              <w:t>≤25</w:t>
            </w:r>
          </w:p>
        </w:tc>
        <w:tc>
          <w:tcPr>
            <w:tcW w:w="446" w:type="pct"/>
            <w:vAlign w:val="center"/>
          </w:tcPr>
          <w:p w14:paraId="0FFCF5C6">
            <w:pPr>
              <w:spacing w:line="240" w:lineRule="auto"/>
              <w:ind w:firstLine="0" w:firstLineChars="0"/>
              <w:jc w:val="center"/>
              <w:rPr>
                <w:rFonts w:eastAsia="Times New Roman" w:cs="Times New Roman"/>
                <w:sz w:val="21"/>
              </w:rPr>
            </w:pPr>
            <w:r>
              <w:rPr>
                <w:rFonts w:eastAsia="Times New Roman" w:cs="Times New Roman"/>
                <w:sz w:val="21"/>
              </w:rPr>
              <w:t>≥35</w:t>
            </w:r>
          </w:p>
        </w:tc>
        <w:tc>
          <w:tcPr>
            <w:tcW w:w="391" w:type="pct"/>
            <w:vAlign w:val="center"/>
          </w:tcPr>
          <w:p w14:paraId="766D59A9">
            <w:pPr>
              <w:spacing w:line="240" w:lineRule="auto"/>
              <w:ind w:firstLine="0" w:firstLineChars="0"/>
              <w:jc w:val="center"/>
              <w:rPr>
                <w:rFonts w:eastAsia="Times New Roman" w:cs="Times New Roman"/>
                <w:sz w:val="21"/>
              </w:rPr>
            </w:pPr>
            <w:r>
              <w:rPr>
                <w:rFonts w:eastAsia="Times New Roman" w:cs="Times New Roman"/>
                <w:sz w:val="21"/>
              </w:rPr>
              <w:t>&gt;80</w:t>
            </w:r>
          </w:p>
        </w:tc>
        <w:tc>
          <w:tcPr>
            <w:tcW w:w="782" w:type="pct"/>
            <w:vMerge w:val="restart"/>
            <w:tcBorders>
              <w:bottom w:val="nil"/>
            </w:tcBorders>
            <w:vAlign w:val="center"/>
          </w:tcPr>
          <w:p w14:paraId="5C159317">
            <w:pPr>
              <w:spacing w:line="240" w:lineRule="auto"/>
              <w:ind w:firstLine="0" w:firstLineChars="0"/>
              <w:jc w:val="center"/>
              <w:rPr>
                <w:rFonts w:cs="Times New Roman"/>
                <w:sz w:val="21"/>
                <w:lang w:eastAsia="zh-CN"/>
              </w:rPr>
            </w:pPr>
            <w:r>
              <w:rPr>
                <w:rFonts w:cs="Times New Roman"/>
                <w:sz w:val="21"/>
                <w:lang w:eastAsia="zh-CN"/>
              </w:rPr>
              <w:t>杉木、福建柏、马尾松、水青冈、木荷、冬青、楠木、柃木、杜鹃、杜茎山等</w:t>
            </w:r>
          </w:p>
        </w:tc>
        <w:tc>
          <w:tcPr>
            <w:tcW w:w="335" w:type="pct"/>
            <w:vAlign w:val="center"/>
          </w:tcPr>
          <w:p w14:paraId="42B8CC5F">
            <w:pPr>
              <w:spacing w:line="240" w:lineRule="auto"/>
              <w:ind w:firstLine="0" w:firstLineChars="0"/>
              <w:jc w:val="center"/>
              <w:rPr>
                <w:rFonts w:eastAsia="Times New Roman" w:cs="Times New Roman"/>
                <w:sz w:val="21"/>
              </w:rPr>
            </w:pPr>
            <w:r>
              <w:rPr>
                <w:rFonts w:eastAsia="Times New Roman" w:cs="Times New Roman"/>
                <w:sz w:val="21"/>
              </w:rPr>
              <w:t>&gt;70</w:t>
            </w:r>
          </w:p>
        </w:tc>
        <w:tc>
          <w:tcPr>
            <w:tcW w:w="939" w:type="pct"/>
            <w:vMerge w:val="restart"/>
            <w:tcBorders>
              <w:bottom w:val="nil"/>
            </w:tcBorders>
            <w:vAlign w:val="center"/>
          </w:tcPr>
          <w:p w14:paraId="46852B62">
            <w:pPr>
              <w:spacing w:line="240" w:lineRule="auto"/>
              <w:ind w:firstLine="0" w:firstLineChars="0"/>
              <w:jc w:val="center"/>
              <w:rPr>
                <w:rFonts w:cs="Times New Roman"/>
                <w:sz w:val="21"/>
                <w:lang w:eastAsia="zh-CN"/>
              </w:rPr>
            </w:pPr>
            <w:r>
              <w:rPr>
                <w:rFonts w:cs="Times New Roman"/>
                <w:sz w:val="21"/>
                <w:lang w:eastAsia="zh-CN"/>
              </w:rPr>
              <w:t>青冈、木荷、麻栎、水青冈、楠木、杉木、马尾松</w:t>
            </w:r>
          </w:p>
        </w:tc>
      </w:tr>
      <w:tr w14:paraId="39C2D3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jc w:val="center"/>
        </w:trPr>
        <w:tc>
          <w:tcPr>
            <w:tcW w:w="372" w:type="pct"/>
            <w:vMerge w:val="continue"/>
            <w:tcBorders>
              <w:top w:val="nil"/>
              <w:bottom w:val="nil"/>
            </w:tcBorders>
            <w:vAlign w:val="center"/>
          </w:tcPr>
          <w:p w14:paraId="4E270FB5">
            <w:pPr>
              <w:spacing w:line="240" w:lineRule="auto"/>
              <w:ind w:firstLine="0" w:firstLineChars="0"/>
              <w:jc w:val="center"/>
              <w:rPr>
                <w:rFonts w:cs="Times New Roman"/>
                <w:sz w:val="21"/>
                <w:lang w:eastAsia="zh-CN"/>
              </w:rPr>
            </w:pPr>
          </w:p>
        </w:tc>
        <w:tc>
          <w:tcPr>
            <w:tcW w:w="446" w:type="pct"/>
            <w:vAlign w:val="center"/>
          </w:tcPr>
          <w:p w14:paraId="4B926480">
            <w:pPr>
              <w:spacing w:line="240" w:lineRule="auto"/>
              <w:ind w:firstLine="0" w:firstLineChars="0"/>
              <w:jc w:val="center"/>
              <w:rPr>
                <w:rFonts w:cs="Times New Roman"/>
                <w:sz w:val="21"/>
              </w:rPr>
            </w:pPr>
            <w:r>
              <w:rPr>
                <w:rFonts w:cs="Times New Roman"/>
                <w:sz w:val="21"/>
              </w:rPr>
              <w:t>中等肥沃</w:t>
            </w:r>
          </w:p>
        </w:tc>
        <w:tc>
          <w:tcPr>
            <w:tcW w:w="223" w:type="pct"/>
            <w:vAlign w:val="center"/>
          </w:tcPr>
          <w:p w14:paraId="4A2662DC">
            <w:pPr>
              <w:spacing w:line="240" w:lineRule="auto"/>
              <w:ind w:firstLine="0" w:firstLineChars="0"/>
              <w:jc w:val="center"/>
              <w:rPr>
                <w:rFonts w:eastAsia="Times New Roman" w:cs="Times New Roman"/>
                <w:sz w:val="21"/>
              </w:rPr>
            </w:pPr>
            <w:r>
              <w:rPr>
                <w:rFonts w:eastAsia="Times New Roman" w:cs="Times New Roman"/>
                <w:sz w:val="21"/>
              </w:rPr>
              <w:t>42</w:t>
            </w:r>
          </w:p>
        </w:tc>
        <w:tc>
          <w:tcPr>
            <w:tcW w:w="391" w:type="pct"/>
            <w:vAlign w:val="center"/>
          </w:tcPr>
          <w:p w14:paraId="3DAB5C07">
            <w:pPr>
              <w:spacing w:line="240" w:lineRule="auto"/>
              <w:ind w:firstLine="0" w:firstLineChars="0"/>
              <w:jc w:val="center"/>
              <w:rPr>
                <w:rFonts w:eastAsia="Times New Roman" w:cs="Times New Roman"/>
                <w:sz w:val="21"/>
              </w:rPr>
            </w:pPr>
            <w:r>
              <w:rPr>
                <w:rFonts w:eastAsia="Times New Roman" w:cs="Times New Roman"/>
                <w:sz w:val="21"/>
              </w:rPr>
              <w:t>&lt;</w:t>
            </w:r>
            <w:r>
              <w:rPr>
                <w:rFonts w:eastAsia="Times New Roman" w:cs="Times New Roman"/>
                <w:position w:val="1"/>
                <w:sz w:val="21"/>
              </w:rPr>
              <w:t>1000</w:t>
            </w:r>
          </w:p>
        </w:tc>
        <w:tc>
          <w:tcPr>
            <w:tcW w:w="391" w:type="pct"/>
            <w:vAlign w:val="center"/>
          </w:tcPr>
          <w:p w14:paraId="71F644AB">
            <w:pPr>
              <w:spacing w:line="240" w:lineRule="auto"/>
              <w:ind w:firstLine="0" w:firstLineChars="0"/>
              <w:jc w:val="center"/>
              <w:rPr>
                <w:rFonts w:cs="Times New Roman"/>
                <w:sz w:val="21"/>
              </w:rPr>
            </w:pPr>
            <w:r>
              <w:rPr>
                <w:rFonts w:cs="Times New Roman"/>
                <w:sz w:val="21"/>
              </w:rPr>
              <w:t>中部</w:t>
            </w:r>
          </w:p>
        </w:tc>
        <w:tc>
          <w:tcPr>
            <w:tcW w:w="279" w:type="pct"/>
            <w:vAlign w:val="center"/>
          </w:tcPr>
          <w:p w14:paraId="0FB542F1">
            <w:pPr>
              <w:spacing w:line="240" w:lineRule="auto"/>
              <w:ind w:firstLine="0" w:firstLineChars="0"/>
              <w:jc w:val="center"/>
              <w:rPr>
                <w:rFonts w:eastAsia="Times New Roman" w:cs="Times New Roman"/>
                <w:sz w:val="21"/>
              </w:rPr>
            </w:pPr>
            <w:r>
              <w:rPr>
                <w:rFonts w:eastAsia="Times New Roman" w:cs="Times New Roman"/>
                <w:sz w:val="21"/>
              </w:rPr>
              <w:t>≤25</w:t>
            </w:r>
          </w:p>
        </w:tc>
        <w:tc>
          <w:tcPr>
            <w:tcW w:w="446" w:type="pct"/>
            <w:vAlign w:val="center"/>
          </w:tcPr>
          <w:p w14:paraId="37D5E3E7">
            <w:pPr>
              <w:spacing w:line="240" w:lineRule="auto"/>
              <w:ind w:firstLine="0" w:firstLineChars="0"/>
              <w:jc w:val="center"/>
              <w:rPr>
                <w:rFonts w:eastAsia="Times New Roman" w:cs="Times New Roman"/>
                <w:sz w:val="21"/>
              </w:rPr>
            </w:pPr>
            <w:r>
              <w:rPr>
                <w:rFonts w:eastAsia="Times New Roman" w:cs="Times New Roman"/>
                <w:sz w:val="21"/>
              </w:rPr>
              <w:t>≥25</w:t>
            </w:r>
          </w:p>
        </w:tc>
        <w:tc>
          <w:tcPr>
            <w:tcW w:w="391" w:type="pct"/>
            <w:vAlign w:val="center"/>
          </w:tcPr>
          <w:p w14:paraId="2394F248">
            <w:pPr>
              <w:spacing w:line="240" w:lineRule="auto"/>
              <w:ind w:firstLine="0" w:firstLineChars="0"/>
              <w:jc w:val="center"/>
              <w:rPr>
                <w:rFonts w:eastAsia="Times New Roman" w:cs="Times New Roman"/>
                <w:sz w:val="21"/>
              </w:rPr>
            </w:pPr>
            <w:r>
              <w:rPr>
                <w:rFonts w:eastAsia="Times New Roman" w:cs="Times New Roman"/>
                <w:sz w:val="21"/>
              </w:rPr>
              <w:t>&gt;40</w:t>
            </w:r>
          </w:p>
        </w:tc>
        <w:tc>
          <w:tcPr>
            <w:tcW w:w="782" w:type="pct"/>
            <w:vMerge w:val="continue"/>
            <w:tcBorders>
              <w:top w:val="nil"/>
              <w:bottom w:val="nil"/>
            </w:tcBorders>
            <w:vAlign w:val="center"/>
          </w:tcPr>
          <w:p w14:paraId="241F7412">
            <w:pPr>
              <w:spacing w:line="240" w:lineRule="auto"/>
              <w:ind w:firstLine="0" w:firstLineChars="0"/>
              <w:jc w:val="center"/>
              <w:rPr>
                <w:rFonts w:cs="Times New Roman"/>
                <w:sz w:val="21"/>
              </w:rPr>
            </w:pPr>
          </w:p>
        </w:tc>
        <w:tc>
          <w:tcPr>
            <w:tcW w:w="335" w:type="pct"/>
            <w:vAlign w:val="center"/>
          </w:tcPr>
          <w:p w14:paraId="65B4AE0E">
            <w:pPr>
              <w:spacing w:line="240" w:lineRule="auto"/>
              <w:ind w:firstLine="0" w:firstLineChars="0"/>
              <w:jc w:val="center"/>
              <w:rPr>
                <w:rFonts w:eastAsia="Times New Roman" w:cs="Times New Roman"/>
                <w:sz w:val="21"/>
              </w:rPr>
            </w:pPr>
            <w:r>
              <w:rPr>
                <w:rFonts w:eastAsia="Times New Roman" w:cs="Times New Roman"/>
                <w:sz w:val="21"/>
              </w:rPr>
              <w:t>&gt;40</w:t>
            </w:r>
          </w:p>
        </w:tc>
        <w:tc>
          <w:tcPr>
            <w:tcW w:w="939" w:type="pct"/>
            <w:vMerge w:val="continue"/>
            <w:tcBorders>
              <w:top w:val="nil"/>
              <w:bottom w:val="nil"/>
            </w:tcBorders>
            <w:vAlign w:val="center"/>
          </w:tcPr>
          <w:p w14:paraId="5F862EEB">
            <w:pPr>
              <w:spacing w:line="240" w:lineRule="auto"/>
              <w:ind w:firstLine="0" w:firstLineChars="0"/>
              <w:jc w:val="center"/>
              <w:rPr>
                <w:rFonts w:cs="Times New Roman"/>
                <w:sz w:val="21"/>
              </w:rPr>
            </w:pPr>
          </w:p>
        </w:tc>
      </w:tr>
      <w:tr w14:paraId="35E42A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jc w:val="center"/>
        </w:trPr>
        <w:tc>
          <w:tcPr>
            <w:tcW w:w="372" w:type="pct"/>
            <w:vMerge w:val="continue"/>
            <w:tcBorders>
              <w:top w:val="nil"/>
            </w:tcBorders>
            <w:vAlign w:val="center"/>
          </w:tcPr>
          <w:p w14:paraId="0235BF37">
            <w:pPr>
              <w:spacing w:line="240" w:lineRule="auto"/>
              <w:ind w:firstLine="0" w:firstLineChars="0"/>
              <w:jc w:val="center"/>
              <w:rPr>
                <w:rFonts w:cs="Times New Roman"/>
                <w:sz w:val="21"/>
              </w:rPr>
            </w:pPr>
          </w:p>
        </w:tc>
        <w:tc>
          <w:tcPr>
            <w:tcW w:w="446" w:type="pct"/>
            <w:vAlign w:val="center"/>
          </w:tcPr>
          <w:p w14:paraId="62F54073">
            <w:pPr>
              <w:spacing w:line="240" w:lineRule="auto"/>
              <w:ind w:firstLine="0" w:firstLineChars="0"/>
              <w:jc w:val="center"/>
              <w:rPr>
                <w:rFonts w:cs="Times New Roman"/>
                <w:sz w:val="21"/>
              </w:rPr>
            </w:pPr>
            <w:r>
              <w:rPr>
                <w:rFonts w:cs="Times New Roman"/>
                <w:sz w:val="21"/>
              </w:rPr>
              <w:t>瘠薄型</w:t>
            </w:r>
          </w:p>
        </w:tc>
        <w:tc>
          <w:tcPr>
            <w:tcW w:w="223" w:type="pct"/>
            <w:vAlign w:val="center"/>
          </w:tcPr>
          <w:p w14:paraId="75B660B5">
            <w:pPr>
              <w:spacing w:line="240" w:lineRule="auto"/>
              <w:ind w:firstLine="0" w:firstLineChars="0"/>
              <w:jc w:val="center"/>
              <w:rPr>
                <w:rFonts w:eastAsia="Times New Roman" w:cs="Times New Roman"/>
                <w:sz w:val="21"/>
              </w:rPr>
            </w:pPr>
            <w:r>
              <w:rPr>
                <w:rFonts w:eastAsia="Times New Roman" w:cs="Times New Roman"/>
                <w:sz w:val="21"/>
              </w:rPr>
              <w:t>43</w:t>
            </w:r>
          </w:p>
        </w:tc>
        <w:tc>
          <w:tcPr>
            <w:tcW w:w="391" w:type="pct"/>
            <w:vAlign w:val="center"/>
          </w:tcPr>
          <w:p w14:paraId="70A8E3EE">
            <w:pPr>
              <w:spacing w:line="240" w:lineRule="auto"/>
              <w:ind w:firstLine="0" w:firstLineChars="0"/>
              <w:jc w:val="center"/>
              <w:rPr>
                <w:rFonts w:eastAsia="Times New Roman" w:cs="Times New Roman"/>
                <w:sz w:val="21"/>
              </w:rPr>
            </w:pPr>
            <w:r>
              <w:rPr>
                <w:rFonts w:eastAsia="Times New Roman" w:cs="Times New Roman"/>
                <w:sz w:val="21"/>
              </w:rPr>
              <w:t>&gt;1000</w:t>
            </w:r>
          </w:p>
        </w:tc>
        <w:tc>
          <w:tcPr>
            <w:tcW w:w="391" w:type="pct"/>
            <w:vAlign w:val="center"/>
          </w:tcPr>
          <w:p w14:paraId="1A3D1C1F">
            <w:pPr>
              <w:spacing w:line="240" w:lineRule="auto"/>
              <w:ind w:firstLine="0" w:firstLineChars="0"/>
              <w:jc w:val="center"/>
              <w:rPr>
                <w:rFonts w:cs="Times New Roman"/>
                <w:sz w:val="21"/>
              </w:rPr>
            </w:pPr>
            <w:r>
              <w:rPr>
                <w:rFonts w:cs="Times New Roman"/>
                <w:sz w:val="21"/>
              </w:rPr>
              <w:t>上部</w:t>
            </w:r>
          </w:p>
        </w:tc>
        <w:tc>
          <w:tcPr>
            <w:tcW w:w="279" w:type="pct"/>
            <w:vAlign w:val="center"/>
          </w:tcPr>
          <w:p w14:paraId="356C9213">
            <w:pPr>
              <w:spacing w:line="240" w:lineRule="auto"/>
              <w:ind w:firstLine="0" w:firstLineChars="0"/>
              <w:jc w:val="center"/>
              <w:rPr>
                <w:rFonts w:eastAsia="Times New Roman" w:cs="Times New Roman"/>
                <w:sz w:val="21"/>
              </w:rPr>
            </w:pPr>
            <w:r>
              <w:rPr>
                <w:rFonts w:eastAsia="Times New Roman" w:cs="Times New Roman"/>
                <w:sz w:val="21"/>
              </w:rPr>
              <w:t>&lt;35</w:t>
            </w:r>
          </w:p>
        </w:tc>
        <w:tc>
          <w:tcPr>
            <w:tcW w:w="446" w:type="pct"/>
            <w:vAlign w:val="center"/>
          </w:tcPr>
          <w:p w14:paraId="212CC150">
            <w:pPr>
              <w:spacing w:line="240" w:lineRule="auto"/>
              <w:ind w:firstLine="0" w:firstLineChars="0"/>
              <w:jc w:val="center"/>
              <w:rPr>
                <w:rFonts w:eastAsia="Times New Roman" w:cs="Times New Roman"/>
                <w:sz w:val="21"/>
              </w:rPr>
            </w:pPr>
            <w:r>
              <w:rPr>
                <w:rFonts w:eastAsia="Times New Roman" w:cs="Times New Roman"/>
                <w:sz w:val="21"/>
              </w:rPr>
              <w:t>&lt;</w:t>
            </w:r>
            <w:r>
              <w:rPr>
                <w:rFonts w:eastAsia="Times New Roman" w:cs="Times New Roman"/>
                <w:position w:val="1"/>
                <w:sz w:val="21"/>
              </w:rPr>
              <w:t>25</w:t>
            </w:r>
          </w:p>
        </w:tc>
        <w:tc>
          <w:tcPr>
            <w:tcW w:w="391" w:type="pct"/>
            <w:vAlign w:val="center"/>
          </w:tcPr>
          <w:p w14:paraId="4D00EECE">
            <w:pPr>
              <w:spacing w:line="240" w:lineRule="auto"/>
              <w:ind w:firstLine="0" w:firstLineChars="0"/>
              <w:jc w:val="center"/>
              <w:rPr>
                <w:rFonts w:eastAsia="Times New Roman" w:cs="Times New Roman"/>
                <w:sz w:val="21"/>
              </w:rPr>
            </w:pPr>
            <w:r>
              <w:rPr>
                <w:rFonts w:eastAsia="Times New Roman" w:cs="Times New Roman"/>
                <w:sz w:val="21"/>
              </w:rPr>
              <w:t>&lt;</w:t>
            </w:r>
            <w:r>
              <w:rPr>
                <w:rFonts w:eastAsia="Times New Roman" w:cs="Times New Roman"/>
                <w:position w:val="1"/>
                <w:sz w:val="21"/>
              </w:rPr>
              <w:t>40</w:t>
            </w:r>
          </w:p>
        </w:tc>
        <w:tc>
          <w:tcPr>
            <w:tcW w:w="782" w:type="pct"/>
            <w:vMerge w:val="continue"/>
            <w:tcBorders>
              <w:top w:val="nil"/>
            </w:tcBorders>
            <w:vAlign w:val="center"/>
          </w:tcPr>
          <w:p w14:paraId="37D63F63">
            <w:pPr>
              <w:spacing w:line="240" w:lineRule="auto"/>
              <w:ind w:firstLine="0" w:firstLineChars="0"/>
              <w:jc w:val="center"/>
              <w:rPr>
                <w:rFonts w:cs="Times New Roman"/>
                <w:sz w:val="21"/>
              </w:rPr>
            </w:pPr>
          </w:p>
        </w:tc>
        <w:tc>
          <w:tcPr>
            <w:tcW w:w="335" w:type="pct"/>
            <w:vAlign w:val="center"/>
          </w:tcPr>
          <w:p w14:paraId="314A77AE">
            <w:pPr>
              <w:spacing w:line="240" w:lineRule="auto"/>
              <w:ind w:firstLine="0" w:firstLineChars="0"/>
              <w:jc w:val="center"/>
              <w:rPr>
                <w:rFonts w:eastAsia="Times New Roman" w:cs="Times New Roman"/>
                <w:sz w:val="21"/>
              </w:rPr>
            </w:pPr>
            <w:r>
              <w:rPr>
                <w:rFonts w:eastAsia="Times New Roman" w:cs="Times New Roman"/>
                <w:sz w:val="21"/>
              </w:rPr>
              <w:t>&lt;</w:t>
            </w:r>
            <w:r>
              <w:rPr>
                <w:rFonts w:eastAsia="Times New Roman" w:cs="Times New Roman"/>
                <w:position w:val="1"/>
                <w:sz w:val="21"/>
              </w:rPr>
              <w:t>40</w:t>
            </w:r>
          </w:p>
        </w:tc>
        <w:tc>
          <w:tcPr>
            <w:tcW w:w="939" w:type="pct"/>
            <w:vMerge w:val="continue"/>
            <w:tcBorders>
              <w:top w:val="nil"/>
            </w:tcBorders>
            <w:vAlign w:val="center"/>
          </w:tcPr>
          <w:p w14:paraId="10DE2954">
            <w:pPr>
              <w:spacing w:line="240" w:lineRule="auto"/>
              <w:ind w:firstLine="0" w:firstLineChars="0"/>
              <w:jc w:val="center"/>
              <w:rPr>
                <w:rFonts w:cs="Times New Roman"/>
                <w:sz w:val="21"/>
              </w:rPr>
            </w:pPr>
          </w:p>
        </w:tc>
      </w:tr>
    </w:tbl>
    <w:p w14:paraId="0D33A03A">
      <w:pPr>
        <w:pStyle w:val="7"/>
        <w:ind w:firstLine="480"/>
        <w:rPr>
          <w:rFonts w:cs="Times New Roman"/>
        </w:rPr>
      </w:pPr>
    </w:p>
    <w:p w14:paraId="54B64DB6">
      <w:pPr>
        <w:ind w:firstLine="480"/>
        <w:rPr>
          <w:rFonts w:cs="Times New Roman"/>
        </w:rPr>
        <w:sectPr>
          <w:footerReference r:id="rId28" w:type="default"/>
          <w:pgSz w:w="16843" w:h="11905" w:orient="landscape"/>
          <w:pgMar w:top="1803" w:right="1440" w:bottom="1406" w:left="1440" w:header="873" w:footer="1276" w:gutter="0"/>
          <w:cols w:space="0" w:num="1"/>
          <w:rtlGutter w:val="0"/>
          <w:docGrid w:linePitch="326" w:charSpace="0"/>
        </w:sectPr>
      </w:pPr>
    </w:p>
    <w:p w14:paraId="789E8995">
      <w:pPr>
        <w:spacing w:line="240" w:lineRule="auto"/>
        <w:ind w:firstLine="0" w:firstLineChars="0"/>
        <w:jc w:val="center"/>
        <w:rPr>
          <w:rFonts w:eastAsia="黑体" w:cs="Times New Roman"/>
          <w:b/>
          <w:bCs/>
          <w:szCs w:val="24"/>
          <w:lang w:eastAsia="zh-CN"/>
        </w:rPr>
      </w:pPr>
      <w:r>
        <w:rPr>
          <w:rFonts w:eastAsia="黑体" w:cs="Times New Roman"/>
          <w:b/>
          <w:bCs/>
          <w:szCs w:val="24"/>
          <w:lang w:eastAsia="zh-CN"/>
        </w:rPr>
        <w:t>表4-5林场立地质量等级划分表</w:t>
      </w:r>
    </w:p>
    <w:p w14:paraId="75110672">
      <w:pPr>
        <w:spacing w:line="114" w:lineRule="exact"/>
        <w:ind w:firstLine="480"/>
        <w:rPr>
          <w:rFonts w:cs="Times New Roman"/>
          <w:lang w:eastAsia="zh-CN"/>
        </w:rPr>
      </w:pPr>
    </w:p>
    <w:tbl>
      <w:tblPr>
        <w:tblStyle w:val="21"/>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344"/>
        <w:gridCol w:w="1555"/>
        <w:gridCol w:w="1293"/>
        <w:gridCol w:w="714"/>
        <w:gridCol w:w="715"/>
        <w:gridCol w:w="1424"/>
        <w:gridCol w:w="1657"/>
      </w:tblGrid>
      <w:tr w14:paraId="62B546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772" w:type="pct"/>
            <w:vMerge w:val="restart"/>
            <w:tcBorders>
              <w:bottom w:val="nil"/>
            </w:tcBorders>
            <w:vAlign w:val="center"/>
          </w:tcPr>
          <w:p w14:paraId="29314438">
            <w:pPr>
              <w:spacing w:before="193" w:line="240" w:lineRule="auto"/>
              <w:ind w:firstLine="0" w:firstLineChars="0"/>
              <w:jc w:val="center"/>
              <w:rPr>
                <w:rFonts w:cs="Times New Roman"/>
                <w:sz w:val="21"/>
              </w:rPr>
            </w:pPr>
            <w:r>
              <w:rPr>
                <w:rFonts w:cs="Times New Roman"/>
                <w:bCs/>
                <w:sz w:val="21"/>
              </w:rPr>
              <w:t>立地质量等级</w:t>
            </w:r>
          </w:p>
        </w:tc>
        <w:tc>
          <w:tcPr>
            <w:tcW w:w="893" w:type="pct"/>
            <w:vMerge w:val="restart"/>
            <w:tcBorders>
              <w:bottom w:val="nil"/>
            </w:tcBorders>
            <w:vAlign w:val="center"/>
          </w:tcPr>
          <w:p w14:paraId="6212D51C">
            <w:pPr>
              <w:spacing w:before="193" w:line="240" w:lineRule="auto"/>
              <w:ind w:firstLine="0" w:firstLineChars="0"/>
              <w:jc w:val="center"/>
              <w:rPr>
                <w:rFonts w:cs="Times New Roman"/>
                <w:sz w:val="21"/>
              </w:rPr>
            </w:pPr>
            <w:r>
              <w:rPr>
                <w:rFonts w:cs="Times New Roman"/>
                <w:bCs/>
                <w:sz w:val="21"/>
              </w:rPr>
              <w:t>所含立地类型</w:t>
            </w:r>
          </w:p>
        </w:tc>
        <w:tc>
          <w:tcPr>
            <w:tcW w:w="743" w:type="pct"/>
            <w:vMerge w:val="restart"/>
            <w:tcBorders>
              <w:bottom w:val="nil"/>
            </w:tcBorders>
            <w:vAlign w:val="center"/>
          </w:tcPr>
          <w:p w14:paraId="078678EE">
            <w:pPr>
              <w:spacing w:before="193" w:line="240" w:lineRule="auto"/>
              <w:ind w:firstLine="0" w:firstLineChars="0"/>
              <w:jc w:val="center"/>
              <w:rPr>
                <w:rFonts w:cs="Times New Roman"/>
                <w:sz w:val="21"/>
                <w:lang w:eastAsia="zh-CN"/>
              </w:rPr>
            </w:pPr>
            <w:r>
              <w:rPr>
                <w:rFonts w:cs="Times New Roman"/>
                <w:bCs/>
                <w:sz w:val="21"/>
              </w:rPr>
              <w:t>面积</w:t>
            </w:r>
            <w:r>
              <w:rPr>
                <w:rFonts w:hint="eastAsia" w:cs="Times New Roman"/>
                <w:bCs/>
                <w:sz w:val="21"/>
                <w:lang w:eastAsia="zh-CN"/>
              </w:rPr>
              <w:t>(</w:t>
            </w:r>
            <w:r>
              <w:rPr>
                <w:rFonts w:cs="Times New Roman"/>
                <w:bCs/>
                <w:sz w:val="21"/>
                <w:lang w:eastAsia="zh-CN"/>
              </w:rPr>
              <w:t>hm</w:t>
            </w:r>
            <w:r>
              <w:rPr>
                <w:rFonts w:cs="Times New Roman"/>
                <w:bCs/>
                <w:sz w:val="21"/>
                <w:vertAlign w:val="superscript"/>
                <w:lang w:eastAsia="zh-CN"/>
              </w:rPr>
              <w:t>2</w:t>
            </w:r>
            <w:r>
              <w:rPr>
                <w:rFonts w:hint="eastAsia" w:cs="Times New Roman"/>
                <w:bCs/>
                <w:sz w:val="21"/>
                <w:lang w:eastAsia="zh-CN"/>
              </w:rPr>
              <w:t>)</w:t>
            </w:r>
          </w:p>
        </w:tc>
        <w:tc>
          <w:tcPr>
            <w:tcW w:w="821" w:type="pct"/>
            <w:gridSpan w:val="2"/>
            <w:vAlign w:val="center"/>
          </w:tcPr>
          <w:p w14:paraId="4CD9E933">
            <w:pPr>
              <w:spacing w:line="240" w:lineRule="auto"/>
              <w:ind w:firstLine="0" w:firstLineChars="0"/>
              <w:jc w:val="center"/>
              <w:rPr>
                <w:rFonts w:eastAsia="Times New Roman" w:cs="Times New Roman"/>
                <w:sz w:val="21"/>
              </w:rPr>
            </w:pPr>
            <w:r>
              <w:rPr>
                <w:rFonts w:hint="eastAsia" w:cs="宋体"/>
                <w:sz w:val="21"/>
              </w:rPr>
              <w:t>植被</w:t>
            </w:r>
          </w:p>
        </w:tc>
        <w:tc>
          <w:tcPr>
            <w:tcW w:w="818" w:type="pct"/>
            <w:vMerge w:val="restart"/>
            <w:tcBorders>
              <w:bottom w:val="nil"/>
            </w:tcBorders>
            <w:vAlign w:val="center"/>
          </w:tcPr>
          <w:p w14:paraId="5ED41FD8">
            <w:pPr>
              <w:spacing w:before="193" w:line="240" w:lineRule="auto"/>
              <w:ind w:firstLine="0" w:firstLineChars="0"/>
              <w:jc w:val="center"/>
              <w:rPr>
                <w:rFonts w:cs="Times New Roman"/>
                <w:sz w:val="21"/>
              </w:rPr>
            </w:pPr>
            <w:r>
              <w:rPr>
                <w:rFonts w:cs="Times New Roman"/>
                <w:bCs/>
                <w:sz w:val="21"/>
              </w:rPr>
              <w:t>现实林分生长状况</w:t>
            </w:r>
          </w:p>
        </w:tc>
        <w:tc>
          <w:tcPr>
            <w:tcW w:w="952" w:type="pct"/>
            <w:vMerge w:val="restart"/>
            <w:tcBorders>
              <w:bottom w:val="nil"/>
            </w:tcBorders>
            <w:vAlign w:val="center"/>
          </w:tcPr>
          <w:p w14:paraId="0AD684E7">
            <w:pPr>
              <w:spacing w:before="193" w:line="240" w:lineRule="auto"/>
              <w:ind w:firstLine="0" w:firstLineChars="0"/>
              <w:jc w:val="center"/>
              <w:rPr>
                <w:rFonts w:cs="Times New Roman"/>
                <w:sz w:val="21"/>
              </w:rPr>
            </w:pPr>
            <w:r>
              <w:rPr>
                <w:rFonts w:cs="Times New Roman"/>
                <w:bCs/>
                <w:sz w:val="21"/>
              </w:rPr>
              <w:t>经营方向</w:t>
            </w:r>
          </w:p>
        </w:tc>
      </w:tr>
      <w:tr w14:paraId="0CE118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772" w:type="pct"/>
            <w:vMerge w:val="continue"/>
            <w:tcBorders>
              <w:top w:val="nil"/>
            </w:tcBorders>
            <w:vAlign w:val="center"/>
          </w:tcPr>
          <w:p w14:paraId="5F6AA2E8">
            <w:pPr>
              <w:spacing w:line="240" w:lineRule="auto"/>
              <w:ind w:firstLine="0" w:firstLineChars="0"/>
              <w:jc w:val="center"/>
              <w:rPr>
                <w:rFonts w:cs="Times New Roman"/>
                <w:sz w:val="21"/>
              </w:rPr>
            </w:pPr>
          </w:p>
        </w:tc>
        <w:tc>
          <w:tcPr>
            <w:tcW w:w="893" w:type="pct"/>
            <w:vMerge w:val="continue"/>
            <w:tcBorders>
              <w:top w:val="nil"/>
            </w:tcBorders>
            <w:vAlign w:val="center"/>
          </w:tcPr>
          <w:p w14:paraId="18F8761A">
            <w:pPr>
              <w:spacing w:line="240" w:lineRule="auto"/>
              <w:ind w:firstLine="0" w:firstLineChars="0"/>
              <w:jc w:val="center"/>
              <w:rPr>
                <w:rFonts w:cs="Times New Roman"/>
                <w:sz w:val="21"/>
              </w:rPr>
            </w:pPr>
          </w:p>
        </w:tc>
        <w:tc>
          <w:tcPr>
            <w:tcW w:w="743" w:type="pct"/>
            <w:vMerge w:val="continue"/>
            <w:tcBorders>
              <w:top w:val="nil"/>
            </w:tcBorders>
            <w:vAlign w:val="center"/>
          </w:tcPr>
          <w:p w14:paraId="0ED7726E">
            <w:pPr>
              <w:spacing w:line="240" w:lineRule="auto"/>
              <w:ind w:firstLine="0" w:firstLineChars="0"/>
              <w:jc w:val="center"/>
              <w:rPr>
                <w:rFonts w:cs="Times New Roman"/>
                <w:sz w:val="21"/>
              </w:rPr>
            </w:pPr>
          </w:p>
        </w:tc>
        <w:tc>
          <w:tcPr>
            <w:tcW w:w="410" w:type="pct"/>
            <w:vAlign w:val="center"/>
          </w:tcPr>
          <w:p w14:paraId="7A4D952A">
            <w:pPr>
              <w:spacing w:line="240" w:lineRule="auto"/>
              <w:ind w:firstLine="0" w:firstLineChars="0"/>
              <w:jc w:val="center"/>
              <w:rPr>
                <w:rFonts w:hint="eastAsia" w:cs="宋体"/>
                <w:sz w:val="21"/>
              </w:rPr>
            </w:pPr>
            <w:r>
              <w:rPr>
                <w:rFonts w:cs="宋体"/>
                <w:sz w:val="21"/>
              </w:rPr>
              <w:t>优势种</w:t>
            </w:r>
          </w:p>
        </w:tc>
        <w:tc>
          <w:tcPr>
            <w:tcW w:w="411" w:type="pct"/>
            <w:vAlign w:val="center"/>
          </w:tcPr>
          <w:p w14:paraId="0D6056BC">
            <w:pPr>
              <w:spacing w:line="240" w:lineRule="auto"/>
              <w:ind w:firstLine="0" w:firstLineChars="0"/>
              <w:jc w:val="center"/>
              <w:rPr>
                <w:rFonts w:hint="eastAsia" w:cs="宋体"/>
                <w:sz w:val="21"/>
              </w:rPr>
            </w:pPr>
            <w:r>
              <w:rPr>
                <w:rFonts w:cs="宋体"/>
                <w:sz w:val="21"/>
              </w:rPr>
              <w:t>盖度</w:t>
            </w:r>
          </w:p>
        </w:tc>
        <w:tc>
          <w:tcPr>
            <w:tcW w:w="818" w:type="pct"/>
            <w:vMerge w:val="continue"/>
            <w:tcBorders>
              <w:top w:val="nil"/>
            </w:tcBorders>
            <w:vAlign w:val="center"/>
          </w:tcPr>
          <w:p w14:paraId="43EC221E">
            <w:pPr>
              <w:spacing w:line="240" w:lineRule="auto"/>
              <w:ind w:firstLine="0" w:firstLineChars="0"/>
              <w:jc w:val="center"/>
              <w:rPr>
                <w:rFonts w:cs="Times New Roman"/>
                <w:sz w:val="21"/>
              </w:rPr>
            </w:pPr>
          </w:p>
        </w:tc>
        <w:tc>
          <w:tcPr>
            <w:tcW w:w="952" w:type="pct"/>
            <w:vMerge w:val="continue"/>
            <w:tcBorders>
              <w:top w:val="nil"/>
            </w:tcBorders>
            <w:vAlign w:val="center"/>
          </w:tcPr>
          <w:p w14:paraId="54E5BF1A">
            <w:pPr>
              <w:spacing w:line="240" w:lineRule="auto"/>
              <w:ind w:firstLine="0" w:firstLineChars="0"/>
              <w:jc w:val="center"/>
              <w:rPr>
                <w:rFonts w:cs="Times New Roman"/>
                <w:sz w:val="21"/>
              </w:rPr>
            </w:pPr>
          </w:p>
        </w:tc>
      </w:tr>
      <w:tr w14:paraId="71F09D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772" w:type="pct"/>
            <w:vAlign w:val="center"/>
          </w:tcPr>
          <w:p w14:paraId="3288AC3B">
            <w:pPr>
              <w:spacing w:line="240" w:lineRule="auto"/>
              <w:ind w:firstLine="0" w:firstLineChars="0"/>
              <w:jc w:val="center"/>
              <w:rPr>
                <w:rFonts w:eastAsia="Times New Roman" w:cs="Times New Roman"/>
                <w:sz w:val="21"/>
              </w:rPr>
            </w:pPr>
            <w:r>
              <w:rPr>
                <w:rFonts w:eastAsia="Times New Roman" w:cs="Times New Roman"/>
                <w:sz w:val="21"/>
              </w:rPr>
              <w:t>Ⅱ</w:t>
            </w:r>
          </w:p>
        </w:tc>
        <w:tc>
          <w:tcPr>
            <w:tcW w:w="893" w:type="pct"/>
            <w:vAlign w:val="center"/>
          </w:tcPr>
          <w:p w14:paraId="404412C0">
            <w:pPr>
              <w:spacing w:line="240" w:lineRule="auto"/>
              <w:ind w:firstLine="0" w:firstLineChars="0"/>
              <w:jc w:val="center"/>
              <w:rPr>
                <w:rFonts w:eastAsia="Times New Roman" w:cs="Times New Roman"/>
                <w:sz w:val="21"/>
              </w:rPr>
            </w:pPr>
            <w:r>
              <w:rPr>
                <w:rFonts w:eastAsia="Times New Roman" w:cs="Times New Roman"/>
                <w:sz w:val="21"/>
              </w:rPr>
              <w:t>11</w:t>
            </w:r>
            <w:r>
              <w:rPr>
                <w:rFonts w:hint="eastAsia" w:cs="宋体"/>
                <w:sz w:val="21"/>
              </w:rPr>
              <w:t>、</w:t>
            </w:r>
            <w:r>
              <w:rPr>
                <w:rFonts w:eastAsia="Times New Roman" w:cs="Times New Roman"/>
                <w:sz w:val="21"/>
              </w:rPr>
              <w:t>42</w:t>
            </w:r>
          </w:p>
        </w:tc>
        <w:tc>
          <w:tcPr>
            <w:tcW w:w="743" w:type="pct"/>
            <w:vAlign w:val="center"/>
          </w:tcPr>
          <w:p w14:paraId="0E9015E3">
            <w:pPr>
              <w:spacing w:line="240" w:lineRule="auto"/>
              <w:ind w:firstLine="0" w:firstLineChars="0"/>
              <w:jc w:val="center"/>
              <w:rPr>
                <w:rFonts w:eastAsia="Times New Roman" w:cs="Times New Roman"/>
                <w:sz w:val="21"/>
              </w:rPr>
            </w:pPr>
            <w:r>
              <w:rPr>
                <w:rFonts w:eastAsia="Times New Roman" w:cs="Times New Roman"/>
                <w:sz w:val="21"/>
              </w:rPr>
              <w:t>3235.8</w:t>
            </w:r>
            <w:r>
              <w:rPr>
                <w:rFonts w:hint="eastAsia" w:eastAsia="Times New Roman" w:cs="Times New Roman"/>
                <w:sz w:val="21"/>
              </w:rPr>
              <w:t>8</w:t>
            </w:r>
          </w:p>
        </w:tc>
        <w:tc>
          <w:tcPr>
            <w:tcW w:w="410" w:type="pct"/>
            <w:vAlign w:val="center"/>
          </w:tcPr>
          <w:p w14:paraId="48A4598A">
            <w:pPr>
              <w:spacing w:line="240" w:lineRule="auto"/>
              <w:ind w:firstLine="0" w:firstLineChars="0"/>
              <w:jc w:val="center"/>
              <w:rPr>
                <w:rFonts w:eastAsia="Times New Roman" w:cs="Times New Roman"/>
                <w:sz w:val="21"/>
              </w:rPr>
            </w:pPr>
            <w:r>
              <w:rPr>
                <w:rFonts w:hint="eastAsia" w:cs="宋体"/>
                <w:sz w:val="21"/>
              </w:rPr>
              <w:t>杉木</w:t>
            </w:r>
          </w:p>
        </w:tc>
        <w:tc>
          <w:tcPr>
            <w:tcW w:w="411" w:type="pct"/>
            <w:vAlign w:val="center"/>
          </w:tcPr>
          <w:p w14:paraId="640BE630">
            <w:pPr>
              <w:spacing w:line="240" w:lineRule="auto"/>
              <w:ind w:firstLine="0" w:firstLineChars="0"/>
              <w:jc w:val="center"/>
              <w:rPr>
                <w:rFonts w:eastAsia="Times New Roman" w:cs="Times New Roman"/>
                <w:sz w:val="21"/>
              </w:rPr>
            </w:pPr>
            <w:r>
              <w:rPr>
                <w:rFonts w:eastAsia="Times New Roman" w:cs="Times New Roman"/>
                <w:sz w:val="21"/>
              </w:rPr>
              <w:t>80</w:t>
            </w:r>
          </w:p>
        </w:tc>
        <w:tc>
          <w:tcPr>
            <w:tcW w:w="818" w:type="pct"/>
            <w:vAlign w:val="center"/>
          </w:tcPr>
          <w:p w14:paraId="378A9E39">
            <w:pPr>
              <w:spacing w:line="240" w:lineRule="auto"/>
              <w:ind w:firstLine="0" w:firstLineChars="0"/>
              <w:jc w:val="center"/>
              <w:rPr>
                <w:rFonts w:eastAsia="Times New Roman" w:cs="Times New Roman"/>
                <w:sz w:val="21"/>
              </w:rPr>
            </w:pPr>
            <w:r>
              <w:rPr>
                <w:rFonts w:hint="eastAsia" w:cs="宋体"/>
                <w:sz w:val="21"/>
              </w:rPr>
              <w:t>良好</w:t>
            </w:r>
          </w:p>
        </w:tc>
        <w:tc>
          <w:tcPr>
            <w:tcW w:w="952" w:type="pct"/>
            <w:vAlign w:val="center"/>
          </w:tcPr>
          <w:p w14:paraId="5BE4C1EE">
            <w:pPr>
              <w:spacing w:line="240" w:lineRule="auto"/>
              <w:ind w:firstLine="0" w:firstLineChars="0"/>
              <w:jc w:val="center"/>
              <w:rPr>
                <w:rFonts w:eastAsia="Times New Roman" w:cs="Times New Roman"/>
                <w:sz w:val="21"/>
              </w:rPr>
            </w:pPr>
            <w:r>
              <w:rPr>
                <w:rFonts w:hint="eastAsia" w:cs="宋体"/>
                <w:sz w:val="21"/>
              </w:rPr>
              <w:t>公益林</w:t>
            </w:r>
          </w:p>
        </w:tc>
      </w:tr>
      <w:tr w14:paraId="0F47C9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772" w:type="pct"/>
            <w:vAlign w:val="center"/>
          </w:tcPr>
          <w:p w14:paraId="36D35F5F">
            <w:pPr>
              <w:spacing w:line="240" w:lineRule="auto"/>
              <w:ind w:firstLine="0" w:firstLineChars="0"/>
              <w:jc w:val="center"/>
              <w:rPr>
                <w:rFonts w:eastAsia="Times New Roman" w:cs="Times New Roman"/>
                <w:sz w:val="21"/>
              </w:rPr>
            </w:pPr>
            <w:r>
              <w:rPr>
                <w:rFonts w:eastAsia="Times New Roman" w:cs="Times New Roman"/>
                <w:sz w:val="21"/>
              </w:rPr>
              <w:t>Ⅲ</w:t>
            </w:r>
          </w:p>
        </w:tc>
        <w:tc>
          <w:tcPr>
            <w:tcW w:w="893" w:type="pct"/>
            <w:vAlign w:val="center"/>
          </w:tcPr>
          <w:p w14:paraId="65FE892A">
            <w:pPr>
              <w:spacing w:line="240" w:lineRule="auto"/>
              <w:ind w:right="162" w:firstLine="0" w:firstLineChars="0"/>
              <w:jc w:val="center"/>
              <w:rPr>
                <w:rFonts w:eastAsia="Times New Roman" w:cs="Times New Roman"/>
                <w:sz w:val="21"/>
              </w:rPr>
            </w:pPr>
            <w:r>
              <w:rPr>
                <w:rFonts w:eastAsia="Times New Roman" w:cs="Times New Roman"/>
                <w:sz w:val="21"/>
              </w:rPr>
              <w:t>11</w:t>
            </w:r>
            <w:r>
              <w:rPr>
                <w:rFonts w:hint="eastAsia" w:cs="宋体"/>
                <w:sz w:val="21"/>
              </w:rPr>
              <w:t>、</w:t>
            </w:r>
            <w:r>
              <w:rPr>
                <w:rFonts w:eastAsia="Times New Roman" w:cs="Times New Roman"/>
                <w:sz w:val="21"/>
              </w:rPr>
              <w:t>12</w:t>
            </w:r>
            <w:r>
              <w:rPr>
                <w:rFonts w:hint="eastAsia" w:cs="宋体"/>
                <w:sz w:val="21"/>
              </w:rPr>
              <w:t>、</w:t>
            </w:r>
            <w:r>
              <w:rPr>
                <w:rFonts w:eastAsia="Times New Roman" w:cs="Times New Roman"/>
                <w:sz w:val="21"/>
              </w:rPr>
              <w:t>13</w:t>
            </w:r>
            <w:r>
              <w:rPr>
                <w:rFonts w:hint="eastAsia" w:cs="宋体"/>
                <w:sz w:val="21"/>
              </w:rPr>
              <w:t>、</w:t>
            </w:r>
            <w:r>
              <w:rPr>
                <w:rFonts w:eastAsia="Times New Roman" w:cs="Times New Roman"/>
                <w:sz w:val="21"/>
              </w:rPr>
              <w:t>21</w:t>
            </w:r>
            <w:r>
              <w:rPr>
                <w:rFonts w:hint="eastAsia" w:cs="宋体"/>
                <w:sz w:val="21"/>
              </w:rPr>
              <w:t>、</w:t>
            </w:r>
            <w:r>
              <w:rPr>
                <w:rFonts w:eastAsia="Times New Roman" w:cs="Times New Roman"/>
                <w:sz w:val="21"/>
              </w:rPr>
              <w:t>22</w:t>
            </w:r>
            <w:r>
              <w:rPr>
                <w:rFonts w:hint="eastAsia" w:cs="宋体"/>
                <w:sz w:val="21"/>
              </w:rPr>
              <w:t>、</w:t>
            </w:r>
            <w:r>
              <w:rPr>
                <w:rFonts w:eastAsia="Times New Roman" w:cs="Times New Roman"/>
                <w:sz w:val="21"/>
              </w:rPr>
              <w:t>42</w:t>
            </w:r>
          </w:p>
        </w:tc>
        <w:tc>
          <w:tcPr>
            <w:tcW w:w="743" w:type="pct"/>
            <w:vAlign w:val="center"/>
          </w:tcPr>
          <w:p w14:paraId="70E0FF4D">
            <w:pPr>
              <w:spacing w:line="240" w:lineRule="auto"/>
              <w:ind w:firstLine="0" w:firstLineChars="0"/>
              <w:jc w:val="center"/>
              <w:rPr>
                <w:rFonts w:eastAsia="Times New Roman" w:cs="Times New Roman"/>
                <w:sz w:val="21"/>
              </w:rPr>
            </w:pPr>
            <w:r>
              <w:rPr>
                <w:rFonts w:eastAsia="Times New Roman" w:cs="Times New Roman"/>
                <w:sz w:val="21"/>
              </w:rPr>
              <w:t>7089.</w:t>
            </w:r>
            <w:r>
              <w:rPr>
                <w:rFonts w:hint="eastAsia" w:eastAsia="Times New Roman" w:cs="Times New Roman"/>
                <w:sz w:val="21"/>
              </w:rPr>
              <w:t>00</w:t>
            </w:r>
          </w:p>
        </w:tc>
        <w:tc>
          <w:tcPr>
            <w:tcW w:w="410" w:type="pct"/>
            <w:vAlign w:val="center"/>
          </w:tcPr>
          <w:p w14:paraId="02AF0E29">
            <w:pPr>
              <w:spacing w:line="240" w:lineRule="auto"/>
              <w:ind w:firstLine="0" w:firstLineChars="0"/>
              <w:jc w:val="center"/>
              <w:rPr>
                <w:rFonts w:eastAsia="Times New Roman" w:cs="Times New Roman"/>
                <w:sz w:val="21"/>
              </w:rPr>
            </w:pPr>
            <w:r>
              <w:rPr>
                <w:rFonts w:hint="eastAsia" w:cs="宋体"/>
                <w:sz w:val="21"/>
              </w:rPr>
              <w:t>杉木</w:t>
            </w:r>
          </w:p>
        </w:tc>
        <w:tc>
          <w:tcPr>
            <w:tcW w:w="411" w:type="pct"/>
            <w:vAlign w:val="center"/>
          </w:tcPr>
          <w:p w14:paraId="10BEDEA3">
            <w:pPr>
              <w:spacing w:line="240" w:lineRule="auto"/>
              <w:ind w:firstLine="0" w:firstLineChars="0"/>
              <w:jc w:val="center"/>
              <w:rPr>
                <w:rFonts w:eastAsia="Times New Roman" w:cs="Times New Roman"/>
                <w:sz w:val="21"/>
              </w:rPr>
            </w:pPr>
            <w:r>
              <w:rPr>
                <w:rFonts w:eastAsia="Times New Roman" w:cs="Times New Roman"/>
                <w:sz w:val="21"/>
              </w:rPr>
              <w:t>80</w:t>
            </w:r>
          </w:p>
        </w:tc>
        <w:tc>
          <w:tcPr>
            <w:tcW w:w="818" w:type="pct"/>
            <w:vAlign w:val="center"/>
          </w:tcPr>
          <w:p w14:paraId="056FDF59">
            <w:pPr>
              <w:spacing w:line="240" w:lineRule="auto"/>
              <w:ind w:firstLine="0" w:firstLineChars="0"/>
              <w:jc w:val="center"/>
              <w:rPr>
                <w:rFonts w:eastAsia="Times New Roman" w:cs="Times New Roman"/>
                <w:sz w:val="21"/>
              </w:rPr>
            </w:pPr>
            <w:r>
              <w:rPr>
                <w:rFonts w:hint="eastAsia" w:cs="宋体"/>
                <w:sz w:val="21"/>
              </w:rPr>
              <w:t>良好</w:t>
            </w:r>
          </w:p>
        </w:tc>
        <w:tc>
          <w:tcPr>
            <w:tcW w:w="952" w:type="pct"/>
            <w:vAlign w:val="center"/>
          </w:tcPr>
          <w:p w14:paraId="2FD8126E">
            <w:pPr>
              <w:spacing w:line="240" w:lineRule="auto"/>
              <w:ind w:firstLine="0" w:firstLineChars="0"/>
              <w:jc w:val="center"/>
              <w:rPr>
                <w:rFonts w:eastAsia="Times New Roman" w:cs="Times New Roman"/>
                <w:sz w:val="21"/>
              </w:rPr>
            </w:pPr>
            <w:r>
              <w:rPr>
                <w:rFonts w:hint="eastAsia" w:cs="宋体"/>
                <w:sz w:val="21"/>
              </w:rPr>
              <w:t>公益林</w:t>
            </w:r>
          </w:p>
        </w:tc>
      </w:tr>
      <w:tr w14:paraId="160DB5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772" w:type="pct"/>
            <w:vAlign w:val="center"/>
          </w:tcPr>
          <w:p w14:paraId="4FFD7433">
            <w:pPr>
              <w:spacing w:line="240" w:lineRule="auto"/>
              <w:ind w:firstLine="0" w:firstLineChars="0"/>
              <w:jc w:val="center"/>
              <w:rPr>
                <w:rFonts w:eastAsia="Times New Roman" w:cs="Times New Roman"/>
                <w:sz w:val="21"/>
              </w:rPr>
            </w:pPr>
            <w:r>
              <w:rPr>
                <w:rFonts w:eastAsia="Times New Roman" w:cs="Times New Roman"/>
                <w:sz w:val="21"/>
              </w:rPr>
              <w:t>Ⅳ</w:t>
            </w:r>
          </w:p>
        </w:tc>
        <w:tc>
          <w:tcPr>
            <w:tcW w:w="893" w:type="pct"/>
            <w:vAlign w:val="center"/>
          </w:tcPr>
          <w:p w14:paraId="495FB2DA">
            <w:pPr>
              <w:spacing w:line="240" w:lineRule="auto"/>
              <w:ind w:firstLine="0" w:firstLineChars="0"/>
              <w:jc w:val="center"/>
              <w:rPr>
                <w:rFonts w:eastAsia="Times New Roman" w:cs="Times New Roman"/>
                <w:sz w:val="21"/>
              </w:rPr>
            </w:pPr>
            <w:r>
              <w:rPr>
                <w:rFonts w:eastAsia="Times New Roman" w:cs="Times New Roman"/>
                <w:sz w:val="21"/>
              </w:rPr>
              <w:t>11</w:t>
            </w:r>
            <w:r>
              <w:rPr>
                <w:rFonts w:hint="eastAsia" w:cs="宋体"/>
                <w:sz w:val="21"/>
              </w:rPr>
              <w:t>、</w:t>
            </w:r>
            <w:r>
              <w:rPr>
                <w:rFonts w:eastAsia="Times New Roman" w:cs="Times New Roman"/>
                <w:sz w:val="21"/>
              </w:rPr>
              <w:t>42</w:t>
            </w:r>
          </w:p>
        </w:tc>
        <w:tc>
          <w:tcPr>
            <w:tcW w:w="743" w:type="pct"/>
            <w:vAlign w:val="center"/>
          </w:tcPr>
          <w:p w14:paraId="775D255E">
            <w:pPr>
              <w:spacing w:line="240" w:lineRule="auto"/>
              <w:ind w:firstLine="0" w:firstLineChars="0"/>
              <w:jc w:val="center"/>
              <w:rPr>
                <w:rFonts w:eastAsia="Times New Roman" w:cs="Times New Roman"/>
                <w:sz w:val="21"/>
              </w:rPr>
            </w:pPr>
            <w:r>
              <w:rPr>
                <w:rFonts w:eastAsia="Times New Roman" w:cs="Times New Roman"/>
                <w:sz w:val="21"/>
              </w:rPr>
              <w:t>718.5</w:t>
            </w:r>
            <w:r>
              <w:rPr>
                <w:rFonts w:hint="eastAsia" w:eastAsia="Times New Roman" w:cs="Times New Roman"/>
                <w:sz w:val="21"/>
              </w:rPr>
              <w:t>2</w:t>
            </w:r>
          </w:p>
        </w:tc>
        <w:tc>
          <w:tcPr>
            <w:tcW w:w="410" w:type="pct"/>
            <w:vAlign w:val="center"/>
          </w:tcPr>
          <w:p w14:paraId="4B6F6EA0">
            <w:pPr>
              <w:spacing w:line="240" w:lineRule="auto"/>
              <w:ind w:firstLine="0" w:firstLineChars="0"/>
              <w:jc w:val="center"/>
              <w:rPr>
                <w:rFonts w:eastAsia="Times New Roman" w:cs="Times New Roman"/>
                <w:sz w:val="21"/>
              </w:rPr>
            </w:pPr>
            <w:r>
              <w:rPr>
                <w:rFonts w:hint="eastAsia" w:cs="宋体"/>
                <w:sz w:val="21"/>
              </w:rPr>
              <w:t>阔叶林</w:t>
            </w:r>
          </w:p>
        </w:tc>
        <w:tc>
          <w:tcPr>
            <w:tcW w:w="411" w:type="pct"/>
            <w:vAlign w:val="center"/>
          </w:tcPr>
          <w:p w14:paraId="0CF3C420">
            <w:pPr>
              <w:spacing w:line="240" w:lineRule="auto"/>
              <w:ind w:firstLine="0" w:firstLineChars="0"/>
              <w:jc w:val="center"/>
              <w:rPr>
                <w:rFonts w:eastAsia="Times New Roman" w:cs="Times New Roman"/>
                <w:sz w:val="21"/>
              </w:rPr>
            </w:pPr>
            <w:r>
              <w:rPr>
                <w:rFonts w:eastAsia="Times New Roman" w:cs="Times New Roman"/>
                <w:sz w:val="21"/>
              </w:rPr>
              <w:t>60</w:t>
            </w:r>
          </w:p>
        </w:tc>
        <w:tc>
          <w:tcPr>
            <w:tcW w:w="818" w:type="pct"/>
            <w:vAlign w:val="center"/>
          </w:tcPr>
          <w:p w14:paraId="7EB7A47C">
            <w:pPr>
              <w:spacing w:line="240" w:lineRule="auto"/>
              <w:ind w:firstLine="0" w:firstLineChars="0"/>
              <w:jc w:val="center"/>
              <w:rPr>
                <w:rFonts w:eastAsia="Times New Roman" w:cs="Times New Roman"/>
                <w:sz w:val="21"/>
              </w:rPr>
            </w:pPr>
            <w:r>
              <w:rPr>
                <w:rFonts w:hint="eastAsia" w:cs="宋体"/>
                <w:sz w:val="21"/>
              </w:rPr>
              <w:t>良好</w:t>
            </w:r>
          </w:p>
        </w:tc>
        <w:tc>
          <w:tcPr>
            <w:tcW w:w="952" w:type="pct"/>
            <w:vAlign w:val="center"/>
          </w:tcPr>
          <w:p w14:paraId="662E3755">
            <w:pPr>
              <w:spacing w:line="240" w:lineRule="auto"/>
              <w:ind w:firstLine="0" w:firstLineChars="0"/>
              <w:jc w:val="center"/>
              <w:rPr>
                <w:rFonts w:eastAsia="Times New Roman" w:cs="Times New Roman"/>
                <w:sz w:val="21"/>
              </w:rPr>
            </w:pPr>
            <w:r>
              <w:rPr>
                <w:rFonts w:hint="eastAsia" w:cs="宋体"/>
                <w:sz w:val="21"/>
              </w:rPr>
              <w:t>公益林</w:t>
            </w:r>
          </w:p>
        </w:tc>
      </w:tr>
      <w:tr w14:paraId="5EAD88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772" w:type="pct"/>
            <w:vAlign w:val="center"/>
          </w:tcPr>
          <w:p w14:paraId="26FFD371">
            <w:pPr>
              <w:spacing w:line="240" w:lineRule="auto"/>
              <w:ind w:firstLine="0" w:firstLineChars="0"/>
              <w:jc w:val="center"/>
              <w:rPr>
                <w:rFonts w:eastAsia="Times New Roman" w:cs="Times New Roman"/>
                <w:sz w:val="21"/>
              </w:rPr>
            </w:pPr>
            <w:r>
              <w:rPr>
                <w:rFonts w:hint="eastAsia" w:cs="宋体"/>
                <w:sz w:val="21"/>
              </w:rPr>
              <w:t>合计</w:t>
            </w:r>
          </w:p>
        </w:tc>
        <w:tc>
          <w:tcPr>
            <w:tcW w:w="893" w:type="pct"/>
            <w:vAlign w:val="center"/>
          </w:tcPr>
          <w:p w14:paraId="3F5F59DC">
            <w:pPr>
              <w:spacing w:line="240" w:lineRule="auto"/>
              <w:ind w:firstLine="0" w:firstLineChars="0"/>
              <w:jc w:val="center"/>
              <w:rPr>
                <w:rFonts w:eastAsia="Times New Roman" w:cs="Times New Roman"/>
                <w:sz w:val="21"/>
              </w:rPr>
            </w:pPr>
          </w:p>
        </w:tc>
        <w:tc>
          <w:tcPr>
            <w:tcW w:w="743" w:type="pct"/>
            <w:vAlign w:val="center"/>
          </w:tcPr>
          <w:p w14:paraId="48073586">
            <w:pPr>
              <w:spacing w:line="240" w:lineRule="auto"/>
              <w:ind w:firstLine="0" w:firstLineChars="0"/>
              <w:jc w:val="center"/>
              <w:rPr>
                <w:rFonts w:eastAsia="Times New Roman" w:cs="Times New Roman"/>
                <w:sz w:val="21"/>
              </w:rPr>
            </w:pPr>
            <w:r>
              <w:rPr>
                <w:rFonts w:eastAsia="Times New Roman" w:cs="Times New Roman"/>
                <w:sz w:val="21"/>
              </w:rPr>
              <w:t>11043.4</w:t>
            </w:r>
            <w:r>
              <w:rPr>
                <w:rFonts w:hint="eastAsia" w:eastAsia="Times New Roman" w:cs="Times New Roman"/>
                <w:sz w:val="21"/>
              </w:rPr>
              <w:t>0</w:t>
            </w:r>
          </w:p>
        </w:tc>
        <w:tc>
          <w:tcPr>
            <w:tcW w:w="410" w:type="pct"/>
            <w:vAlign w:val="center"/>
          </w:tcPr>
          <w:p w14:paraId="579D1F09">
            <w:pPr>
              <w:spacing w:line="240" w:lineRule="auto"/>
              <w:ind w:firstLine="0" w:firstLineChars="0"/>
              <w:jc w:val="center"/>
              <w:rPr>
                <w:rFonts w:eastAsia="Times New Roman" w:cs="Times New Roman"/>
                <w:sz w:val="21"/>
              </w:rPr>
            </w:pPr>
          </w:p>
        </w:tc>
        <w:tc>
          <w:tcPr>
            <w:tcW w:w="411" w:type="pct"/>
            <w:vAlign w:val="center"/>
          </w:tcPr>
          <w:p w14:paraId="41BC6F71">
            <w:pPr>
              <w:spacing w:line="240" w:lineRule="auto"/>
              <w:ind w:firstLine="0" w:firstLineChars="0"/>
              <w:jc w:val="center"/>
              <w:rPr>
                <w:rFonts w:eastAsia="Times New Roman" w:cs="Times New Roman"/>
                <w:sz w:val="21"/>
              </w:rPr>
            </w:pPr>
          </w:p>
        </w:tc>
        <w:tc>
          <w:tcPr>
            <w:tcW w:w="818" w:type="pct"/>
            <w:vAlign w:val="center"/>
          </w:tcPr>
          <w:p w14:paraId="750C0D5A">
            <w:pPr>
              <w:spacing w:line="240" w:lineRule="auto"/>
              <w:ind w:firstLine="0" w:firstLineChars="0"/>
              <w:jc w:val="center"/>
              <w:rPr>
                <w:rFonts w:eastAsia="Times New Roman" w:cs="Times New Roman"/>
                <w:sz w:val="21"/>
              </w:rPr>
            </w:pPr>
          </w:p>
        </w:tc>
        <w:tc>
          <w:tcPr>
            <w:tcW w:w="952" w:type="pct"/>
            <w:vAlign w:val="center"/>
          </w:tcPr>
          <w:p w14:paraId="6A692496">
            <w:pPr>
              <w:spacing w:line="240" w:lineRule="auto"/>
              <w:ind w:firstLine="0" w:firstLineChars="0"/>
              <w:jc w:val="center"/>
              <w:rPr>
                <w:rFonts w:eastAsia="Times New Roman" w:cs="Times New Roman"/>
                <w:sz w:val="21"/>
              </w:rPr>
            </w:pPr>
          </w:p>
        </w:tc>
      </w:tr>
    </w:tbl>
    <w:p w14:paraId="424B1FB7">
      <w:pPr>
        <w:pStyle w:val="7"/>
        <w:ind w:firstLine="480"/>
        <w:rPr>
          <w:rFonts w:cs="Times New Roman"/>
        </w:rPr>
      </w:pPr>
    </w:p>
    <w:p w14:paraId="3A948E86">
      <w:pPr>
        <w:ind w:firstLine="480"/>
        <w:rPr>
          <w:rFonts w:cs="Times New Roman"/>
        </w:rPr>
        <w:sectPr>
          <w:footerReference r:id="rId29" w:type="default"/>
          <w:pgSz w:w="11905" w:h="16843"/>
          <w:pgMar w:top="1440" w:right="1406" w:bottom="1440" w:left="1803" w:header="873" w:footer="1276" w:gutter="0"/>
          <w:cols w:space="0" w:num="1"/>
          <w:rtlGutter w:val="0"/>
          <w:docGrid w:linePitch="326" w:charSpace="0"/>
        </w:sectPr>
      </w:pPr>
    </w:p>
    <w:p w14:paraId="1986833C">
      <w:pPr>
        <w:pStyle w:val="4"/>
      </w:pPr>
      <w:r>
        <w:t>4.2.2全周期森林经营模型设计</w:t>
      </w:r>
    </w:p>
    <w:p w14:paraId="5865638C">
      <w:pPr>
        <w:ind w:firstLine="480"/>
        <w:rPr>
          <w:lang w:eastAsia="zh-CN"/>
        </w:rPr>
      </w:pPr>
      <w:r>
        <w:rPr>
          <w:lang w:eastAsia="zh-CN"/>
        </w:rPr>
        <w:t>以森林经营类型为单位，设计全周期森林经营模型，它是各森林发展阶段</w:t>
      </w:r>
      <w:r>
        <w:rPr>
          <w:rFonts w:hint="eastAsia"/>
          <w:lang w:eastAsia="zh-CN"/>
        </w:rPr>
        <w:t>(</w:t>
      </w:r>
      <w:r>
        <w:rPr>
          <w:lang w:eastAsia="zh-CN"/>
        </w:rPr>
        <w:t>从森林建群阶段至林分收获阶段</w:t>
      </w:r>
      <w:r>
        <w:rPr>
          <w:rFonts w:hint="eastAsia"/>
          <w:lang w:eastAsia="zh-CN"/>
        </w:rPr>
        <w:t>)</w:t>
      </w:r>
      <w:r>
        <w:rPr>
          <w:lang w:eastAsia="zh-CN"/>
        </w:rPr>
        <w:t>森林经营措施的集合。可参考《湖南省森林经营规划》中对应森林作业法的全周期森林经营模型，根据森林经营类型的立地质量、经营目标、各森林发展阶段的林分特征及经营密度等，设计各森林发展阶段的主要经营措施。</w:t>
      </w:r>
    </w:p>
    <w:p w14:paraId="44A8C807">
      <w:pPr>
        <w:spacing w:line="240" w:lineRule="auto"/>
        <w:ind w:firstLine="0" w:firstLineChars="0"/>
        <w:jc w:val="center"/>
        <w:rPr>
          <w:rFonts w:eastAsia="黑体" w:cs="Times New Roman"/>
          <w:b/>
          <w:bCs/>
          <w:szCs w:val="24"/>
          <w:lang w:eastAsia="zh-CN"/>
        </w:rPr>
      </w:pPr>
      <w:r>
        <w:rPr>
          <w:rFonts w:eastAsia="黑体" w:cs="Times New Roman"/>
          <w:b/>
          <w:bCs/>
          <w:szCs w:val="24"/>
          <w:lang w:eastAsia="zh-CN"/>
        </w:rPr>
        <w:t>表4-6林场全周期森林经营措施模型</w:t>
      </w:r>
    </w:p>
    <w:tbl>
      <w:tblPr>
        <w:tblStyle w:val="21"/>
        <w:tblW w:w="499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406"/>
        <w:gridCol w:w="2078"/>
        <w:gridCol w:w="1516"/>
        <w:gridCol w:w="1086"/>
        <w:gridCol w:w="1302"/>
        <w:gridCol w:w="1309"/>
      </w:tblGrid>
      <w:tr w14:paraId="3927E6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jc w:val="center"/>
        </w:trPr>
        <w:tc>
          <w:tcPr>
            <w:tcW w:w="808" w:type="pct"/>
            <w:vAlign w:val="center"/>
          </w:tcPr>
          <w:p w14:paraId="1A0E8A0A">
            <w:pPr>
              <w:spacing w:line="240" w:lineRule="auto"/>
              <w:ind w:firstLine="0" w:firstLineChars="0"/>
              <w:jc w:val="center"/>
              <w:rPr>
                <w:sz w:val="21"/>
              </w:rPr>
            </w:pPr>
            <w:r>
              <w:rPr>
                <w:sz w:val="21"/>
              </w:rPr>
              <w:t>森林经营类型代号</w:t>
            </w:r>
          </w:p>
        </w:tc>
        <w:tc>
          <w:tcPr>
            <w:tcW w:w="1194" w:type="pct"/>
            <w:vAlign w:val="center"/>
          </w:tcPr>
          <w:p w14:paraId="3AD25EC6">
            <w:pPr>
              <w:spacing w:line="240" w:lineRule="auto"/>
              <w:ind w:firstLine="0" w:firstLineChars="0"/>
              <w:jc w:val="center"/>
              <w:rPr>
                <w:sz w:val="21"/>
              </w:rPr>
            </w:pPr>
            <w:r>
              <w:rPr>
                <w:sz w:val="21"/>
              </w:rPr>
              <w:t>立地质量与林分特征</w:t>
            </w:r>
          </w:p>
        </w:tc>
        <w:tc>
          <w:tcPr>
            <w:tcW w:w="871" w:type="pct"/>
            <w:vAlign w:val="center"/>
          </w:tcPr>
          <w:p w14:paraId="338AB429">
            <w:pPr>
              <w:spacing w:line="240" w:lineRule="auto"/>
              <w:ind w:firstLine="0" w:firstLineChars="0"/>
              <w:jc w:val="center"/>
              <w:rPr>
                <w:sz w:val="21"/>
              </w:rPr>
            </w:pPr>
            <w:bookmarkStart w:id="64" w:name="bookmark39"/>
            <w:bookmarkEnd w:id="64"/>
            <w:bookmarkStart w:id="65" w:name="_Toc28520"/>
            <w:bookmarkStart w:id="66" w:name="_Toc9188"/>
            <w:bookmarkStart w:id="67" w:name="_Toc367"/>
            <w:r>
              <w:rPr>
                <w:sz w:val="21"/>
              </w:rPr>
              <w:t>森林</w:t>
            </w:r>
            <w:bookmarkEnd w:id="65"/>
            <w:r>
              <w:rPr>
                <w:sz w:val="21"/>
              </w:rPr>
              <w:t>发展阶段</w:t>
            </w:r>
            <w:bookmarkEnd w:id="66"/>
            <w:bookmarkEnd w:id="67"/>
          </w:p>
        </w:tc>
        <w:tc>
          <w:tcPr>
            <w:tcW w:w="624" w:type="pct"/>
            <w:vAlign w:val="center"/>
          </w:tcPr>
          <w:p w14:paraId="6B2E67C0">
            <w:pPr>
              <w:spacing w:line="240" w:lineRule="auto"/>
              <w:ind w:firstLine="0" w:firstLineChars="0"/>
              <w:jc w:val="center"/>
              <w:rPr>
                <w:sz w:val="21"/>
              </w:rPr>
            </w:pPr>
            <w:r>
              <w:rPr>
                <w:sz w:val="21"/>
              </w:rPr>
              <w:t>林龄范围</w:t>
            </w:r>
          </w:p>
        </w:tc>
        <w:tc>
          <w:tcPr>
            <w:tcW w:w="748" w:type="pct"/>
            <w:vAlign w:val="center"/>
          </w:tcPr>
          <w:p w14:paraId="6E4F2F4D">
            <w:pPr>
              <w:spacing w:line="240" w:lineRule="auto"/>
              <w:ind w:firstLine="0" w:firstLineChars="0"/>
              <w:jc w:val="center"/>
              <w:rPr>
                <w:sz w:val="21"/>
                <w:lang w:eastAsia="zh-CN"/>
              </w:rPr>
            </w:pPr>
            <w:r>
              <w:rPr>
                <w:sz w:val="21"/>
              </w:rPr>
              <w:t>经营密度</w:t>
            </w:r>
            <w:r>
              <w:rPr>
                <w:rFonts w:hint="eastAsia"/>
                <w:sz w:val="21"/>
                <w:lang w:eastAsia="zh-CN"/>
              </w:rPr>
              <w:t>(</w:t>
            </w:r>
            <w:r>
              <w:rPr>
                <w:sz w:val="21"/>
              </w:rPr>
              <w:t>株</w:t>
            </w:r>
            <w:r>
              <w:rPr>
                <w:sz w:val="21"/>
                <w:lang w:eastAsia="zh-CN"/>
              </w:rPr>
              <w:t>/hm</w:t>
            </w:r>
            <w:r>
              <w:rPr>
                <w:sz w:val="21"/>
                <w:vertAlign w:val="superscript"/>
                <w:lang w:eastAsia="zh-CN"/>
              </w:rPr>
              <w:t>2</w:t>
            </w:r>
            <w:r>
              <w:rPr>
                <w:rFonts w:hint="eastAsia"/>
                <w:sz w:val="21"/>
                <w:lang w:eastAsia="zh-CN"/>
              </w:rPr>
              <w:t>)</w:t>
            </w:r>
          </w:p>
        </w:tc>
        <w:tc>
          <w:tcPr>
            <w:tcW w:w="752" w:type="pct"/>
            <w:vAlign w:val="center"/>
          </w:tcPr>
          <w:p w14:paraId="6ED6953B">
            <w:pPr>
              <w:spacing w:line="240" w:lineRule="auto"/>
              <w:ind w:firstLine="0" w:firstLineChars="0"/>
              <w:jc w:val="center"/>
              <w:rPr>
                <w:sz w:val="21"/>
              </w:rPr>
            </w:pPr>
            <w:r>
              <w:rPr>
                <w:sz w:val="21"/>
              </w:rPr>
              <w:t>主要经营措施</w:t>
            </w:r>
          </w:p>
        </w:tc>
      </w:tr>
      <w:tr w14:paraId="7EF3DC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jc w:val="center"/>
        </w:trPr>
        <w:tc>
          <w:tcPr>
            <w:tcW w:w="808" w:type="pct"/>
            <w:vAlign w:val="center"/>
          </w:tcPr>
          <w:p w14:paraId="4ACE35BE">
            <w:pPr>
              <w:spacing w:line="240" w:lineRule="auto"/>
              <w:ind w:firstLine="0" w:firstLineChars="0"/>
              <w:jc w:val="center"/>
              <w:rPr>
                <w:sz w:val="21"/>
              </w:rPr>
            </w:pPr>
            <w:bookmarkStart w:id="68" w:name="bookmark41"/>
            <w:bookmarkEnd w:id="68"/>
            <w:bookmarkStart w:id="69" w:name="_Toc25169"/>
            <w:bookmarkStart w:id="70" w:name="_Toc10320"/>
            <w:bookmarkStart w:id="71" w:name="_Toc2995"/>
            <w:r>
              <w:rPr>
                <w:sz w:val="21"/>
              </w:rPr>
              <w:t>1</w:t>
            </w:r>
            <w:bookmarkEnd w:id="69"/>
            <w:bookmarkEnd w:id="70"/>
            <w:bookmarkEnd w:id="71"/>
          </w:p>
        </w:tc>
        <w:tc>
          <w:tcPr>
            <w:tcW w:w="1194" w:type="pct"/>
            <w:vAlign w:val="center"/>
          </w:tcPr>
          <w:p w14:paraId="63F089BF">
            <w:pPr>
              <w:spacing w:line="240" w:lineRule="auto"/>
              <w:ind w:firstLine="0" w:firstLineChars="0"/>
              <w:jc w:val="center"/>
              <w:rPr>
                <w:sz w:val="21"/>
              </w:rPr>
            </w:pPr>
            <w:r>
              <w:rPr>
                <w:sz w:val="21"/>
              </w:rPr>
              <w:t>Ⅱ、Ⅲ、Ⅳ</w:t>
            </w:r>
          </w:p>
        </w:tc>
        <w:tc>
          <w:tcPr>
            <w:tcW w:w="871" w:type="pct"/>
            <w:vAlign w:val="center"/>
          </w:tcPr>
          <w:p w14:paraId="1DE1486B">
            <w:pPr>
              <w:spacing w:line="240" w:lineRule="auto"/>
              <w:ind w:firstLine="0" w:firstLineChars="0"/>
              <w:jc w:val="center"/>
              <w:rPr>
                <w:sz w:val="21"/>
              </w:rPr>
            </w:pPr>
            <w:r>
              <w:rPr>
                <w:sz w:val="21"/>
              </w:rPr>
              <w:t>建群、培育阶段</w:t>
            </w:r>
          </w:p>
        </w:tc>
        <w:tc>
          <w:tcPr>
            <w:tcW w:w="624" w:type="pct"/>
            <w:vAlign w:val="center"/>
          </w:tcPr>
          <w:p w14:paraId="66A3F727">
            <w:pPr>
              <w:spacing w:line="240" w:lineRule="auto"/>
              <w:ind w:firstLine="0" w:firstLineChars="0"/>
              <w:jc w:val="center"/>
              <w:rPr>
                <w:sz w:val="21"/>
              </w:rPr>
            </w:pPr>
            <w:r>
              <w:rPr>
                <w:sz w:val="21"/>
              </w:rPr>
              <w:t>全周期</w:t>
            </w:r>
          </w:p>
        </w:tc>
        <w:tc>
          <w:tcPr>
            <w:tcW w:w="748" w:type="pct"/>
            <w:vAlign w:val="center"/>
          </w:tcPr>
          <w:p w14:paraId="3B4D7B8B">
            <w:pPr>
              <w:spacing w:line="240" w:lineRule="auto"/>
              <w:ind w:firstLine="0" w:firstLineChars="0"/>
              <w:jc w:val="center"/>
              <w:rPr>
                <w:sz w:val="21"/>
              </w:rPr>
            </w:pPr>
            <w:r>
              <w:rPr>
                <w:sz w:val="21"/>
              </w:rPr>
              <w:t>1650</w:t>
            </w:r>
          </w:p>
        </w:tc>
        <w:tc>
          <w:tcPr>
            <w:tcW w:w="752" w:type="pct"/>
            <w:vAlign w:val="center"/>
          </w:tcPr>
          <w:p w14:paraId="26895E50">
            <w:pPr>
              <w:spacing w:line="240" w:lineRule="auto"/>
              <w:ind w:firstLine="0" w:firstLineChars="0"/>
              <w:jc w:val="center"/>
              <w:rPr>
                <w:sz w:val="21"/>
              </w:rPr>
            </w:pPr>
            <w:r>
              <w:rPr>
                <w:sz w:val="21"/>
              </w:rPr>
              <w:t>全封</w:t>
            </w:r>
          </w:p>
        </w:tc>
      </w:tr>
      <w:tr w14:paraId="423A10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jc w:val="center"/>
        </w:trPr>
        <w:tc>
          <w:tcPr>
            <w:tcW w:w="808" w:type="pct"/>
            <w:vMerge w:val="restart"/>
            <w:tcBorders>
              <w:bottom w:val="nil"/>
            </w:tcBorders>
            <w:vAlign w:val="center"/>
          </w:tcPr>
          <w:p w14:paraId="6C54B3F9">
            <w:pPr>
              <w:spacing w:line="240" w:lineRule="auto"/>
              <w:ind w:firstLine="0" w:firstLineChars="0"/>
              <w:jc w:val="center"/>
              <w:rPr>
                <w:sz w:val="21"/>
              </w:rPr>
            </w:pPr>
            <w:r>
              <w:rPr>
                <w:sz w:val="21"/>
              </w:rPr>
              <w:t>2</w:t>
            </w:r>
          </w:p>
        </w:tc>
        <w:tc>
          <w:tcPr>
            <w:tcW w:w="1194" w:type="pct"/>
            <w:vMerge w:val="restart"/>
            <w:tcBorders>
              <w:bottom w:val="nil"/>
            </w:tcBorders>
            <w:vAlign w:val="center"/>
          </w:tcPr>
          <w:p w14:paraId="08895112">
            <w:pPr>
              <w:spacing w:line="240" w:lineRule="auto"/>
              <w:ind w:firstLine="0" w:firstLineChars="0"/>
              <w:jc w:val="center"/>
              <w:rPr>
                <w:sz w:val="21"/>
              </w:rPr>
            </w:pPr>
            <w:r>
              <w:rPr>
                <w:sz w:val="21"/>
              </w:rPr>
              <w:t>Ⅱ、Ⅲ、Ⅳ</w:t>
            </w:r>
          </w:p>
        </w:tc>
        <w:tc>
          <w:tcPr>
            <w:tcW w:w="871" w:type="pct"/>
            <w:vAlign w:val="center"/>
          </w:tcPr>
          <w:p w14:paraId="16F7CB86">
            <w:pPr>
              <w:spacing w:line="240" w:lineRule="auto"/>
              <w:ind w:firstLine="0" w:firstLineChars="0"/>
              <w:jc w:val="center"/>
              <w:rPr>
                <w:sz w:val="21"/>
              </w:rPr>
            </w:pPr>
            <w:r>
              <w:rPr>
                <w:sz w:val="21"/>
              </w:rPr>
              <w:t>建群、培育阶段</w:t>
            </w:r>
          </w:p>
        </w:tc>
        <w:tc>
          <w:tcPr>
            <w:tcW w:w="624" w:type="pct"/>
            <w:vAlign w:val="center"/>
          </w:tcPr>
          <w:p w14:paraId="3B479F0F">
            <w:pPr>
              <w:spacing w:line="240" w:lineRule="auto"/>
              <w:ind w:firstLine="0" w:firstLineChars="0"/>
              <w:jc w:val="center"/>
              <w:rPr>
                <w:sz w:val="21"/>
              </w:rPr>
            </w:pPr>
            <w:r>
              <w:rPr>
                <w:sz w:val="21"/>
              </w:rPr>
              <w:t>1-31</w:t>
            </w:r>
          </w:p>
        </w:tc>
        <w:tc>
          <w:tcPr>
            <w:tcW w:w="748" w:type="pct"/>
            <w:vAlign w:val="center"/>
          </w:tcPr>
          <w:p w14:paraId="45ADD1F3">
            <w:pPr>
              <w:spacing w:line="240" w:lineRule="auto"/>
              <w:ind w:firstLine="0" w:firstLineChars="0"/>
              <w:jc w:val="center"/>
              <w:rPr>
                <w:sz w:val="21"/>
              </w:rPr>
            </w:pPr>
            <w:r>
              <w:rPr>
                <w:sz w:val="21"/>
              </w:rPr>
              <w:t>1650</w:t>
            </w:r>
          </w:p>
        </w:tc>
        <w:tc>
          <w:tcPr>
            <w:tcW w:w="752" w:type="pct"/>
            <w:vAlign w:val="center"/>
          </w:tcPr>
          <w:p w14:paraId="385C2667">
            <w:pPr>
              <w:spacing w:line="240" w:lineRule="auto"/>
              <w:ind w:firstLine="0" w:firstLineChars="0"/>
              <w:jc w:val="center"/>
              <w:rPr>
                <w:sz w:val="21"/>
              </w:rPr>
            </w:pPr>
            <w:r>
              <w:rPr>
                <w:sz w:val="21"/>
              </w:rPr>
              <w:t>全封</w:t>
            </w:r>
          </w:p>
        </w:tc>
      </w:tr>
      <w:tr w14:paraId="73A7B6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jc w:val="center"/>
        </w:trPr>
        <w:tc>
          <w:tcPr>
            <w:tcW w:w="808" w:type="pct"/>
            <w:vMerge w:val="continue"/>
            <w:tcBorders>
              <w:top w:val="nil"/>
            </w:tcBorders>
            <w:vAlign w:val="center"/>
          </w:tcPr>
          <w:p w14:paraId="48871D10">
            <w:pPr>
              <w:spacing w:line="240" w:lineRule="auto"/>
              <w:ind w:firstLine="0" w:firstLineChars="0"/>
              <w:jc w:val="center"/>
              <w:rPr>
                <w:sz w:val="21"/>
              </w:rPr>
            </w:pPr>
          </w:p>
        </w:tc>
        <w:tc>
          <w:tcPr>
            <w:tcW w:w="1194" w:type="pct"/>
            <w:vMerge w:val="continue"/>
            <w:tcBorders>
              <w:top w:val="nil"/>
            </w:tcBorders>
            <w:vAlign w:val="center"/>
          </w:tcPr>
          <w:p w14:paraId="0272D432">
            <w:pPr>
              <w:spacing w:line="240" w:lineRule="auto"/>
              <w:ind w:firstLine="0" w:firstLineChars="0"/>
              <w:jc w:val="center"/>
              <w:rPr>
                <w:sz w:val="21"/>
              </w:rPr>
            </w:pPr>
          </w:p>
        </w:tc>
        <w:tc>
          <w:tcPr>
            <w:tcW w:w="871" w:type="pct"/>
            <w:vAlign w:val="center"/>
          </w:tcPr>
          <w:p w14:paraId="0A432C6D">
            <w:pPr>
              <w:spacing w:line="240" w:lineRule="auto"/>
              <w:ind w:firstLine="0" w:firstLineChars="0"/>
              <w:jc w:val="center"/>
              <w:rPr>
                <w:sz w:val="21"/>
              </w:rPr>
            </w:pPr>
            <w:r>
              <w:rPr>
                <w:sz w:val="21"/>
              </w:rPr>
              <w:t>收获阶段</w:t>
            </w:r>
          </w:p>
        </w:tc>
        <w:tc>
          <w:tcPr>
            <w:tcW w:w="624" w:type="pct"/>
            <w:vAlign w:val="center"/>
          </w:tcPr>
          <w:p w14:paraId="4E0C1629">
            <w:pPr>
              <w:spacing w:line="240" w:lineRule="auto"/>
              <w:ind w:firstLine="0" w:firstLineChars="0"/>
              <w:jc w:val="center"/>
              <w:rPr>
                <w:sz w:val="21"/>
              </w:rPr>
            </w:pPr>
            <w:r>
              <w:rPr>
                <w:sz w:val="21"/>
              </w:rPr>
              <w:t>&gt;31</w:t>
            </w:r>
          </w:p>
        </w:tc>
        <w:tc>
          <w:tcPr>
            <w:tcW w:w="748" w:type="pct"/>
            <w:vAlign w:val="center"/>
          </w:tcPr>
          <w:p w14:paraId="40BAF515">
            <w:pPr>
              <w:spacing w:line="240" w:lineRule="auto"/>
              <w:ind w:firstLine="0" w:firstLineChars="0"/>
              <w:jc w:val="center"/>
              <w:rPr>
                <w:sz w:val="21"/>
              </w:rPr>
            </w:pPr>
            <w:r>
              <w:rPr>
                <w:sz w:val="21"/>
              </w:rPr>
              <w:t>1650</w:t>
            </w:r>
          </w:p>
        </w:tc>
        <w:tc>
          <w:tcPr>
            <w:tcW w:w="752" w:type="pct"/>
            <w:vAlign w:val="center"/>
          </w:tcPr>
          <w:p w14:paraId="5F58FB25">
            <w:pPr>
              <w:spacing w:line="240" w:lineRule="auto"/>
              <w:ind w:firstLine="0" w:firstLineChars="0"/>
              <w:jc w:val="center"/>
              <w:rPr>
                <w:sz w:val="21"/>
              </w:rPr>
            </w:pPr>
            <w:r>
              <w:rPr>
                <w:sz w:val="21"/>
              </w:rPr>
              <w:t>更新采伐</w:t>
            </w:r>
          </w:p>
        </w:tc>
      </w:tr>
      <w:tr w14:paraId="6C7083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jc w:val="center"/>
        </w:trPr>
        <w:tc>
          <w:tcPr>
            <w:tcW w:w="808" w:type="pct"/>
            <w:vMerge w:val="restart"/>
            <w:tcBorders>
              <w:bottom w:val="nil"/>
            </w:tcBorders>
            <w:vAlign w:val="center"/>
          </w:tcPr>
          <w:p w14:paraId="040F24DC">
            <w:pPr>
              <w:spacing w:line="240" w:lineRule="auto"/>
              <w:ind w:firstLine="0" w:firstLineChars="0"/>
              <w:jc w:val="center"/>
              <w:rPr>
                <w:sz w:val="21"/>
              </w:rPr>
            </w:pPr>
            <w:r>
              <w:rPr>
                <w:sz w:val="21"/>
              </w:rPr>
              <w:t>3</w:t>
            </w:r>
          </w:p>
        </w:tc>
        <w:tc>
          <w:tcPr>
            <w:tcW w:w="1194" w:type="pct"/>
            <w:vMerge w:val="restart"/>
            <w:tcBorders>
              <w:bottom w:val="nil"/>
            </w:tcBorders>
            <w:vAlign w:val="center"/>
          </w:tcPr>
          <w:p w14:paraId="5405BFB2">
            <w:pPr>
              <w:spacing w:line="240" w:lineRule="auto"/>
              <w:ind w:firstLine="0" w:firstLineChars="0"/>
              <w:jc w:val="center"/>
              <w:rPr>
                <w:sz w:val="21"/>
              </w:rPr>
            </w:pPr>
            <w:r>
              <w:rPr>
                <w:sz w:val="21"/>
              </w:rPr>
              <w:t>Ⅱ、Ⅲ、Ⅳ</w:t>
            </w:r>
          </w:p>
        </w:tc>
        <w:tc>
          <w:tcPr>
            <w:tcW w:w="871" w:type="pct"/>
            <w:vAlign w:val="center"/>
          </w:tcPr>
          <w:p w14:paraId="7B97FD35">
            <w:pPr>
              <w:spacing w:line="240" w:lineRule="auto"/>
              <w:ind w:firstLine="0" w:firstLineChars="0"/>
              <w:jc w:val="center"/>
              <w:rPr>
                <w:sz w:val="21"/>
              </w:rPr>
            </w:pPr>
            <w:r>
              <w:rPr>
                <w:sz w:val="21"/>
              </w:rPr>
              <w:t>建群、培育阶段</w:t>
            </w:r>
          </w:p>
        </w:tc>
        <w:tc>
          <w:tcPr>
            <w:tcW w:w="624" w:type="pct"/>
            <w:vAlign w:val="center"/>
          </w:tcPr>
          <w:p w14:paraId="10D9C987">
            <w:pPr>
              <w:spacing w:line="240" w:lineRule="auto"/>
              <w:ind w:firstLine="0" w:firstLineChars="0"/>
              <w:jc w:val="center"/>
              <w:rPr>
                <w:sz w:val="21"/>
              </w:rPr>
            </w:pPr>
            <w:r>
              <w:rPr>
                <w:sz w:val="21"/>
              </w:rPr>
              <w:t>1-41</w:t>
            </w:r>
          </w:p>
        </w:tc>
        <w:tc>
          <w:tcPr>
            <w:tcW w:w="748" w:type="pct"/>
            <w:vAlign w:val="center"/>
          </w:tcPr>
          <w:p w14:paraId="0E14E97B">
            <w:pPr>
              <w:spacing w:line="240" w:lineRule="auto"/>
              <w:ind w:firstLine="0" w:firstLineChars="0"/>
              <w:jc w:val="center"/>
              <w:rPr>
                <w:sz w:val="21"/>
              </w:rPr>
            </w:pPr>
            <w:r>
              <w:rPr>
                <w:sz w:val="21"/>
              </w:rPr>
              <w:t>1650</w:t>
            </w:r>
          </w:p>
        </w:tc>
        <w:tc>
          <w:tcPr>
            <w:tcW w:w="752" w:type="pct"/>
            <w:vAlign w:val="center"/>
          </w:tcPr>
          <w:p w14:paraId="534DD851">
            <w:pPr>
              <w:spacing w:line="240" w:lineRule="auto"/>
              <w:ind w:firstLine="0" w:firstLineChars="0"/>
              <w:jc w:val="center"/>
              <w:rPr>
                <w:sz w:val="21"/>
              </w:rPr>
            </w:pPr>
            <w:r>
              <w:rPr>
                <w:sz w:val="21"/>
              </w:rPr>
              <w:t>全封</w:t>
            </w:r>
          </w:p>
        </w:tc>
      </w:tr>
      <w:tr w14:paraId="0226BE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jc w:val="center"/>
        </w:trPr>
        <w:tc>
          <w:tcPr>
            <w:tcW w:w="808" w:type="pct"/>
            <w:vMerge w:val="continue"/>
            <w:tcBorders>
              <w:top w:val="nil"/>
            </w:tcBorders>
            <w:vAlign w:val="center"/>
          </w:tcPr>
          <w:p w14:paraId="3382EA07">
            <w:pPr>
              <w:spacing w:line="240" w:lineRule="auto"/>
              <w:ind w:firstLine="0" w:firstLineChars="0"/>
              <w:jc w:val="center"/>
              <w:rPr>
                <w:sz w:val="21"/>
              </w:rPr>
            </w:pPr>
          </w:p>
        </w:tc>
        <w:tc>
          <w:tcPr>
            <w:tcW w:w="1194" w:type="pct"/>
            <w:vMerge w:val="continue"/>
            <w:tcBorders>
              <w:top w:val="nil"/>
            </w:tcBorders>
            <w:vAlign w:val="center"/>
          </w:tcPr>
          <w:p w14:paraId="4058E5FC">
            <w:pPr>
              <w:spacing w:line="240" w:lineRule="auto"/>
              <w:ind w:firstLine="0" w:firstLineChars="0"/>
              <w:jc w:val="center"/>
              <w:rPr>
                <w:sz w:val="21"/>
              </w:rPr>
            </w:pPr>
          </w:p>
        </w:tc>
        <w:tc>
          <w:tcPr>
            <w:tcW w:w="871" w:type="pct"/>
            <w:vAlign w:val="center"/>
          </w:tcPr>
          <w:p w14:paraId="2D7BCD6A">
            <w:pPr>
              <w:spacing w:line="240" w:lineRule="auto"/>
              <w:ind w:firstLine="0" w:firstLineChars="0"/>
              <w:jc w:val="center"/>
              <w:rPr>
                <w:sz w:val="21"/>
              </w:rPr>
            </w:pPr>
            <w:r>
              <w:rPr>
                <w:sz w:val="21"/>
              </w:rPr>
              <w:t>收获阶段</w:t>
            </w:r>
          </w:p>
        </w:tc>
        <w:tc>
          <w:tcPr>
            <w:tcW w:w="624" w:type="pct"/>
            <w:vAlign w:val="center"/>
          </w:tcPr>
          <w:p w14:paraId="01841F52">
            <w:pPr>
              <w:spacing w:line="240" w:lineRule="auto"/>
              <w:ind w:firstLine="0" w:firstLineChars="0"/>
              <w:jc w:val="center"/>
              <w:rPr>
                <w:sz w:val="21"/>
              </w:rPr>
            </w:pPr>
            <w:r>
              <w:rPr>
                <w:sz w:val="21"/>
              </w:rPr>
              <w:t>&gt;41</w:t>
            </w:r>
          </w:p>
        </w:tc>
        <w:tc>
          <w:tcPr>
            <w:tcW w:w="748" w:type="pct"/>
            <w:vAlign w:val="center"/>
          </w:tcPr>
          <w:p w14:paraId="44B24F07">
            <w:pPr>
              <w:spacing w:line="240" w:lineRule="auto"/>
              <w:ind w:firstLine="0" w:firstLineChars="0"/>
              <w:jc w:val="center"/>
              <w:rPr>
                <w:sz w:val="21"/>
              </w:rPr>
            </w:pPr>
            <w:r>
              <w:rPr>
                <w:sz w:val="21"/>
              </w:rPr>
              <w:t>1650</w:t>
            </w:r>
          </w:p>
        </w:tc>
        <w:tc>
          <w:tcPr>
            <w:tcW w:w="752" w:type="pct"/>
            <w:vAlign w:val="center"/>
          </w:tcPr>
          <w:p w14:paraId="078E88E7">
            <w:pPr>
              <w:spacing w:line="240" w:lineRule="auto"/>
              <w:ind w:firstLine="0" w:firstLineChars="0"/>
              <w:jc w:val="center"/>
              <w:rPr>
                <w:sz w:val="21"/>
              </w:rPr>
            </w:pPr>
            <w:r>
              <w:rPr>
                <w:sz w:val="21"/>
              </w:rPr>
              <w:t>更新采伐</w:t>
            </w:r>
          </w:p>
        </w:tc>
      </w:tr>
      <w:tr w14:paraId="0236A9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jc w:val="center"/>
        </w:trPr>
        <w:tc>
          <w:tcPr>
            <w:tcW w:w="808" w:type="pct"/>
            <w:vMerge w:val="restart"/>
            <w:tcBorders>
              <w:bottom w:val="nil"/>
            </w:tcBorders>
            <w:vAlign w:val="center"/>
          </w:tcPr>
          <w:p w14:paraId="235B2117">
            <w:pPr>
              <w:spacing w:line="240" w:lineRule="auto"/>
              <w:ind w:firstLine="0" w:firstLineChars="0"/>
              <w:jc w:val="center"/>
              <w:rPr>
                <w:sz w:val="21"/>
              </w:rPr>
            </w:pPr>
            <w:r>
              <w:rPr>
                <w:sz w:val="21"/>
              </w:rPr>
              <w:t>4</w:t>
            </w:r>
          </w:p>
        </w:tc>
        <w:tc>
          <w:tcPr>
            <w:tcW w:w="1194" w:type="pct"/>
            <w:vMerge w:val="restart"/>
            <w:tcBorders>
              <w:bottom w:val="nil"/>
            </w:tcBorders>
            <w:vAlign w:val="center"/>
          </w:tcPr>
          <w:p w14:paraId="7A11272D">
            <w:pPr>
              <w:spacing w:line="240" w:lineRule="auto"/>
              <w:ind w:firstLine="0" w:firstLineChars="0"/>
              <w:jc w:val="center"/>
              <w:rPr>
                <w:sz w:val="21"/>
              </w:rPr>
            </w:pPr>
            <w:r>
              <w:rPr>
                <w:sz w:val="21"/>
              </w:rPr>
              <w:t>Ⅱ、Ⅲ、Ⅳ</w:t>
            </w:r>
          </w:p>
        </w:tc>
        <w:tc>
          <w:tcPr>
            <w:tcW w:w="871" w:type="pct"/>
            <w:vAlign w:val="center"/>
          </w:tcPr>
          <w:p w14:paraId="7F18E68D">
            <w:pPr>
              <w:spacing w:line="240" w:lineRule="auto"/>
              <w:ind w:firstLine="0" w:firstLineChars="0"/>
              <w:jc w:val="center"/>
              <w:rPr>
                <w:sz w:val="21"/>
              </w:rPr>
            </w:pPr>
            <w:r>
              <w:rPr>
                <w:sz w:val="21"/>
              </w:rPr>
              <w:t>建群、培育阶段</w:t>
            </w:r>
          </w:p>
        </w:tc>
        <w:tc>
          <w:tcPr>
            <w:tcW w:w="624" w:type="pct"/>
            <w:vAlign w:val="center"/>
          </w:tcPr>
          <w:p w14:paraId="79519D24">
            <w:pPr>
              <w:spacing w:line="240" w:lineRule="auto"/>
              <w:ind w:firstLine="0" w:firstLineChars="0"/>
              <w:jc w:val="center"/>
              <w:rPr>
                <w:sz w:val="21"/>
              </w:rPr>
            </w:pPr>
            <w:r>
              <w:rPr>
                <w:sz w:val="21"/>
              </w:rPr>
              <w:t>1-51</w:t>
            </w:r>
          </w:p>
        </w:tc>
        <w:tc>
          <w:tcPr>
            <w:tcW w:w="748" w:type="pct"/>
            <w:vAlign w:val="center"/>
          </w:tcPr>
          <w:p w14:paraId="4B0659E6">
            <w:pPr>
              <w:spacing w:line="240" w:lineRule="auto"/>
              <w:ind w:firstLine="0" w:firstLineChars="0"/>
              <w:jc w:val="center"/>
              <w:rPr>
                <w:sz w:val="21"/>
              </w:rPr>
            </w:pPr>
            <w:r>
              <w:rPr>
                <w:sz w:val="21"/>
              </w:rPr>
              <w:t>1650</w:t>
            </w:r>
          </w:p>
        </w:tc>
        <w:tc>
          <w:tcPr>
            <w:tcW w:w="752" w:type="pct"/>
            <w:vAlign w:val="center"/>
          </w:tcPr>
          <w:p w14:paraId="4DB3B514">
            <w:pPr>
              <w:spacing w:line="240" w:lineRule="auto"/>
              <w:ind w:firstLine="0" w:firstLineChars="0"/>
              <w:jc w:val="center"/>
              <w:rPr>
                <w:sz w:val="21"/>
              </w:rPr>
            </w:pPr>
            <w:r>
              <w:rPr>
                <w:sz w:val="21"/>
              </w:rPr>
              <w:t>全封</w:t>
            </w:r>
          </w:p>
        </w:tc>
      </w:tr>
      <w:tr w14:paraId="46FD12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jc w:val="center"/>
        </w:trPr>
        <w:tc>
          <w:tcPr>
            <w:tcW w:w="808" w:type="pct"/>
            <w:vMerge w:val="continue"/>
            <w:tcBorders>
              <w:top w:val="nil"/>
            </w:tcBorders>
            <w:vAlign w:val="center"/>
          </w:tcPr>
          <w:p w14:paraId="05FED5C0">
            <w:pPr>
              <w:spacing w:line="240" w:lineRule="auto"/>
              <w:ind w:firstLine="0" w:firstLineChars="0"/>
              <w:jc w:val="center"/>
              <w:rPr>
                <w:sz w:val="21"/>
              </w:rPr>
            </w:pPr>
          </w:p>
        </w:tc>
        <w:tc>
          <w:tcPr>
            <w:tcW w:w="1194" w:type="pct"/>
            <w:vMerge w:val="continue"/>
            <w:tcBorders>
              <w:top w:val="nil"/>
            </w:tcBorders>
            <w:vAlign w:val="center"/>
          </w:tcPr>
          <w:p w14:paraId="1C5ACB52">
            <w:pPr>
              <w:spacing w:line="240" w:lineRule="auto"/>
              <w:ind w:firstLine="0" w:firstLineChars="0"/>
              <w:jc w:val="center"/>
              <w:rPr>
                <w:sz w:val="21"/>
              </w:rPr>
            </w:pPr>
          </w:p>
        </w:tc>
        <w:tc>
          <w:tcPr>
            <w:tcW w:w="871" w:type="pct"/>
            <w:vAlign w:val="center"/>
          </w:tcPr>
          <w:p w14:paraId="6236C578">
            <w:pPr>
              <w:spacing w:line="240" w:lineRule="auto"/>
              <w:ind w:firstLine="0" w:firstLineChars="0"/>
              <w:jc w:val="center"/>
              <w:rPr>
                <w:sz w:val="21"/>
              </w:rPr>
            </w:pPr>
            <w:r>
              <w:rPr>
                <w:sz w:val="21"/>
              </w:rPr>
              <w:t>收获阶段</w:t>
            </w:r>
          </w:p>
        </w:tc>
        <w:tc>
          <w:tcPr>
            <w:tcW w:w="624" w:type="pct"/>
            <w:vAlign w:val="center"/>
          </w:tcPr>
          <w:p w14:paraId="6A42827E">
            <w:pPr>
              <w:spacing w:line="240" w:lineRule="auto"/>
              <w:ind w:firstLine="0" w:firstLineChars="0"/>
              <w:jc w:val="center"/>
              <w:rPr>
                <w:sz w:val="21"/>
              </w:rPr>
            </w:pPr>
            <w:r>
              <w:rPr>
                <w:sz w:val="21"/>
              </w:rPr>
              <w:t>&gt;51</w:t>
            </w:r>
          </w:p>
        </w:tc>
        <w:tc>
          <w:tcPr>
            <w:tcW w:w="748" w:type="pct"/>
            <w:vAlign w:val="center"/>
          </w:tcPr>
          <w:p w14:paraId="14950187">
            <w:pPr>
              <w:spacing w:line="240" w:lineRule="auto"/>
              <w:ind w:firstLine="0" w:firstLineChars="0"/>
              <w:jc w:val="center"/>
              <w:rPr>
                <w:sz w:val="21"/>
              </w:rPr>
            </w:pPr>
            <w:r>
              <w:rPr>
                <w:sz w:val="21"/>
              </w:rPr>
              <w:t>1650</w:t>
            </w:r>
          </w:p>
        </w:tc>
        <w:tc>
          <w:tcPr>
            <w:tcW w:w="752" w:type="pct"/>
            <w:vAlign w:val="center"/>
          </w:tcPr>
          <w:p w14:paraId="33686525">
            <w:pPr>
              <w:spacing w:line="240" w:lineRule="auto"/>
              <w:ind w:firstLine="0" w:firstLineChars="0"/>
              <w:jc w:val="center"/>
              <w:rPr>
                <w:sz w:val="21"/>
              </w:rPr>
            </w:pPr>
            <w:r>
              <w:rPr>
                <w:sz w:val="21"/>
              </w:rPr>
              <w:t>全封</w:t>
            </w:r>
          </w:p>
        </w:tc>
      </w:tr>
      <w:tr w14:paraId="37F428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jc w:val="center"/>
        </w:trPr>
        <w:tc>
          <w:tcPr>
            <w:tcW w:w="808" w:type="pct"/>
            <w:vMerge w:val="restart"/>
            <w:tcBorders>
              <w:bottom w:val="nil"/>
            </w:tcBorders>
            <w:vAlign w:val="center"/>
          </w:tcPr>
          <w:p w14:paraId="75C57FE7">
            <w:pPr>
              <w:spacing w:line="240" w:lineRule="auto"/>
              <w:ind w:firstLine="0" w:firstLineChars="0"/>
              <w:jc w:val="center"/>
              <w:rPr>
                <w:sz w:val="21"/>
              </w:rPr>
            </w:pPr>
            <w:r>
              <w:rPr>
                <w:sz w:val="21"/>
              </w:rPr>
              <w:t>5</w:t>
            </w:r>
          </w:p>
        </w:tc>
        <w:tc>
          <w:tcPr>
            <w:tcW w:w="1194" w:type="pct"/>
            <w:vMerge w:val="restart"/>
            <w:tcBorders>
              <w:bottom w:val="nil"/>
            </w:tcBorders>
            <w:vAlign w:val="center"/>
          </w:tcPr>
          <w:p w14:paraId="34C8C28C">
            <w:pPr>
              <w:spacing w:line="240" w:lineRule="auto"/>
              <w:ind w:firstLine="0" w:firstLineChars="0"/>
              <w:jc w:val="center"/>
              <w:rPr>
                <w:sz w:val="21"/>
              </w:rPr>
            </w:pPr>
            <w:r>
              <w:rPr>
                <w:sz w:val="21"/>
              </w:rPr>
              <w:t>Ⅱ、Ⅲ、Ⅳ</w:t>
            </w:r>
          </w:p>
        </w:tc>
        <w:tc>
          <w:tcPr>
            <w:tcW w:w="871" w:type="pct"/>
            <w:vAlign w:val="center"/>
          </w:tcPr>
          <w:p w14:paraId="14DC31A1">
            <w:pPr>
              <w:spacing w:line="240" w:lineRule="auto"/>
              <w:ind w:firstLine="0" w:firstLineChars="0"/>
              <w:jc w:val="center"/>
              <w:rPr>
                <w:sz w:val="21"/>
              </w:rPr>
            </w:pPr>
            <w:r>
              <w:rPr>
                <w:sz w:val="21"/>
              </w:rPr>
              <w:t>建群、培育阶段</w:t>
            </w:r>
          </w:p>
        </w:tc>
        <w:tc>
          <w:tcPr>
            <w:tcW w:w="624" w:type="pct"/>
            <w:vAlign w:val="center"/>
          </w:tcPr>
          <w:p w14:paraId="5E68ACE0">
            <w:pPr>
              <w:spacing w:line="240" w:lineRule="auto"/>
              <w:ind w:firstLine="0" w:firstLineChars="0"/>
              <w:jc w:val="center"/>
              <w:rPr>
                <w:sz w:val="21"/>
              </w:rPr>
            </w:pPr>
            <w:r>
              <w:rPr>
                <w:sz w:val="21"/>
              </w:rPr>
              <w:t>1-31</w:t>
            </w:r>
          </w:p>
        </w:tc>
        <w:tc>
          <w:tcPr>
            <w:tcW w:w="748" w:type="pct"/>
            <w:vAlign w:val="center"/>
          </w:tcPr>
          <w:p w14:paraId="70BD00D6">
            <w:pPr>
              <w:spacing w:line="240" w:lineRule="auto"/>
              <w:ind w:firstLine="0" w:firstLineChars="0"/>
              <w:jc w:val="center"/>
              <w:rPr>
                <w:sz w:val="21"/>
              </w:rPr>
            </w:pPr>
            <w:r>
              <w:rPr>
                <w:sz w:val="21"/>
              </w:rPr>
              <w:t>1650</w:t>
            </w:r>
          </w:p>
        </w:tc>
        <w:tc>
          <w:tcPr>
            <w:tcW w:w="752" w:type="pct"/>
            <w:vAlign w:val="center"/>
          </w:tcPr>
          <w:p w14:paraId="1DD60E6D">
            <w:pPr>
              <w:spacing w:line="240" w:lineRule="auto"/>
              <w:ind w:firstLine="0" w:firstLineChars="0"/>
              <w:jc w:val="center"/>
              <w:rPr>
                <w:sz w:val="21"/>
              </w:rPr>
            </w:pPr>
            <w:r>
              <w:rPr>
                <w:sz w:val="21"/>
              </w:rPr>
              <w:t>全封</w:t>
            </w:r>
          </w:p>
        </w:tc>
      </w:tr>
      <w:tr w14:paraId="62E40D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jc w:val="center"/>
        </w:trPr>
        <w:tc>
          <w:tcPr>
            <w:tcW w:w="808" w:type="pct"/>
            <w:vMerge w:val="continue"/>
            <w:tcBorders>
              <w:top w:val="nil"/>
            </w:tcBorders>
            <w:vAlign w:val="center"/>
          </w:tcPr>
          <w:p w14:paraId="2CC8DD06">
            <w:pPr>
              <w:spacing w:line="240" w:lineRule="auto"/>
              <w:ind w:firstLine="0" w:firstLineChars="0"/>
              <w:jc w:val="center"/>
              <w:rPr>
                <w:sz w:val="21"/>
              </w:rPr>
            </w:pPr>
          </w:p>
        </w:tc>
        <w:tc>
          <w:tcPr>
            <w:tcW w:w="1194" w:type="pct"/>
            <w:vMerge w:val="continue"/>
            <w:tcBorders>
              <w:top w:val="nil"/>
            </w:tcBorders>
            <w:vAlign w:val="center"/>
          </w:tcPr>
          <w:p w14:paraId="30D3EBCC">
            <w:pPr>
              <w:spacing w:line="240" w:lineRule="auto"/>
              <w:ind w:firstLine="0" w:firstLineChars="0"/>
              <w:jc w:val="center"/>
              <w:rPr>
                <w:sz w:val="21"/>
              </w:rPr>
            </w:pPr>
          </w:p>
        </w:tc>
        <w:tc>
          <w:tcPr>
            <w:tcW w:w="871" w:type="pct"/>
            <w:vAlign w:val="center"/>
          </w:tcPr>
          <w:p w14:paraId="4D09C8ED">
            <w:pPr>
              <w:spacing w:line="240" w:lineRule="auto"/>
              <w:ind w:firstLine="0" w:firstLineChars="0"/>
              <w:jc w:val="center"/>
              <w:rPr>
                <w:sz w:val="21"/>
              </w:rPr>
            </w:pPr>
            <w:r>
              <w:rPr>
                <w:sz w:val="21"/>
              </w:rPr>
              <w:t>收获阶段</w:t>
            </w:r>
          </w:p>
        </w:tc>
        <w:tc>
          <w:tcPr>
            <w:tcW w:w="624" w:type="pct"/>
            <w:vAlign w:val="center"/>
          </w:tcPr>
          <w:p w14:paraId="0B6E0172">
            <w:pPr>
              <w:spacing w:line="240" w:lineRule="auto"/>
              <w:ind w:firstLine="0" w:firstLineChars="0"/>
              <w:jc w:val="center"/>
              <w:rPr>
                <w:sz w:val="21"/>
              </w:rPr>
            </w:pPr>
            <w:r>
              <w:rPr>
                <w:sz w:val="21"/>
              </w:rPr>
              <w:t>&gt;31</w:t>
            </w:r>
          </w:p>
        </w:tc>
        <w:tc>
          <w:tcPr>
            <w:tcW w:w="748" w:type="pct"/>
            <w:vAlign w:val="center"/>
          </w:tcPr>
          <w:p w14:paraId="163A219F">
            <w:pPr>
              <w:spacing w:line="240" w:lineRule="auto"/>
              <w:ind w:firstLine="0" w:firstLineChars="0"/>
              <w:jc w:val="center"/>
              <w:rPr>
                <w:sz w:val="21"/>
              </w:rPr>
            </w:pPr>
            <w:r>
              <w:rPr>
                <w:sz w:val="21"/>
              </w:rPr>
              <w:t>1650</w:t>
            </w:r>
          </w:p>
        </w:tc>
        <w:tc>
          <w:tcPr>
            <w:tcW w:w="752" w:type="pct"/>
            <w:vAlign w:val="center"/>
          </w:tcPr>
          <w:p w14:paraId="4F2894DF">
            <w:pPr>
              <w:spacing w:line="240" w:lineRule="auto"/>
              <w:ind w:firstLine="0" w:firstLineChars="0"/>
              <w:jc w:val="center"/>
              <w:rPr>
                <w:sz w:val="21"/>
              </w:rPr>
            </w:pPr>
            <w:r>
              <w:rPr>
                <w:sz w:val="21"/>
              </w:rPr>
              <w:t>更新采伐</w:t>
            </w:r>
          </w:p>
        </w:tc>
      </w:tr>
      <w:tr w14:paraId="62DDAD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jc w:val="center"/>
        </w:trPr>
        <w:tc>
          <w:tcPr>
            <w:tcW w:w="808" w:type="pct"/>
            <w:vMerge w:val="restart"/>
            <w:tcBorders>
              <w:bottom w:val="nil"/>
            </w:tcBorders>
            <w:vAlign w:val="center"/>
          </w:tcPr>
          <w:p w14:paraId="61D83D7E">
            <w:pPr>
              <w:spacing w:line="240" w:lineRule="auto"/>
              <w:ind w:firstLine="0" w:firstLineChars="0"/>
              <w:jc w:val="center"/>
              <w:rPr>
                <w:sz w:val="21"/>
              </w:rPr>
            </w:pPr>
            <w:r>
              <w:rPr>
                <w:sz w:val="21"/>
              </w:rPr>
              <w:t>6</w:t>
            </w:r>
          </w:p>
        </w:tc>
        <w:tc>
          <w:tcPr>
            <w:tcW w:w="1194" w:type="pct"/>
            <w:vMerge w:val="restart"/>
            <w:tcBorders>
              <w:bottom w:val="nil"/>
            </w:tcBorders>
            <w:vAlign w:val="center"/>
          </w:tcPr>
          <w:p w14:paraId="3FBC05CE">
            <w:pPr>
              <w:spacing w:line="240" w:lineRule="auto"/>
              <w:ind w:firstLine="0" w:firstLineChars="0"/>
              <w:jc w:val="center"/>
              <w:rPr>
                <w:sz w:val="21"/>
              </w:rPr>
            </w:pPr>
            <w:r>
              <w:rPr>
                <w:sz w:val="21"/>
              </w:rPr>
              <w:t>Ⅱ、Ⅲ</w:t>
            </w:r>
          </w:p>
        </w:tc>
        <w:tc>
          <w:tcPr>
            <w:tcW w:w="871" w:type="pct"/>
            <w:vAlign w:val="center"/>
          </w:tcPr>
          <w:p w14:paraId="2B37936B">
            <w:pPr>
              <w:spacing w:line="240" w:lineRule="auto"/>
              <w:ind w:firstLine="0" w:firstLineChars="0"/>
              <w:jc w:val="center"/>
              <w:rPr>
                <w:sz w:val="21"/>
              </w:rPr>
            </w:pPr>
            <w:r>
              <w:rPr>
                <w:sz w:val="21"/>
              </w:rPr>
              <w:t>建群、培育阶段</w:t>
            </w:r>
          </w:p>
        </w:tc>
        <w:tc>
          <w:tcPr>
            <w:tcW w:w="624" w:type="pct"/>
            <w:vAlign w:val="center"/>
          </w:tcPr>
          <w:p w14:paraId="0E1F32B6">
            <w:pPr>
              <w:spacing w:line="240" w:lineRule="auto"/>
              <w:ind w:firstLine="0" w:firstLineChars="0"/>
              <w:jc w:val="center"/>
              <w:rPr>
                <w:sz w:val="21"/>
              </w:rPr>
            </w:pPr>
            <w:r>
              <w:rPr>
                <w:sz w:val="21"/>
              </w:rPr>
              <w:t>1-36</w:t>
            </w:r>
          </w:p>
        </w:tc>
        <w:tc>
          <w:tcPr>
            <w:tcW w:w="748" w:type="pct"/>
            <w:vAlign w:val="center"/>
          </w:tcPr>
          <w:p w14:paraId="5DE9247E">
            <w:pPr>
              <w:spacing w:line="240" w:lineRule="auto"/>
              <w:ind w:firstLine="0" w:firstLineChars="0"/>
              <w:jc w:val="center"/>
              <w:rPr>
                <w:sz w:val="21"/>
              </w:rPr>
            </w:pPr>
            <w:r>
              <w:rPr>
                <w:sz w:val="21"/>
              </w:rPr>
              <w:t>1110</w:t>
            </w:r>
          </w:p>
        </w:tc>
        <w:tc>
          <w:tcPr>
            <w:tcW w:w="752" w:type="pct"/>
            <w:vAlign w:val="center"/>
          </w:tcPr>
          <w:p w14:paraId="5429CE56">
            <w:pPr>
              <w:spacing w:line="240" w:lineRule="auto"/>
              <w:ind w:firstLine="0" w:firstLineChars="0"/>
              <w:jc w:val="center"/>
              <w:rPr>
                <w:sz w:val="21"/>
              </w:rPr>
            </w:pPr>
            <w:r>
              <w:rPr>
                <w:sz w:val="21"/>
              </w:rPr>
              <w:t>全封</w:t>
            </w:r>
          </w:p>
        </w:tc>
      </w:tr>
      <w:tr w14:paraId="3C8D62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jc w:val="center"/>
        </w:trPr>
        <w:tc>
          <w:tcPr>
            <w:tcW w:w="808" w:type="pct"/>
            <w:vMerge w:val="continue"/>
            <w:tcBorders>
              <w:top w:val="nil"/>
            </w:tcBorders>
            <w:vAlign w:val="center"/>
          </w:tcPr>
          <w:p w14:paraId="6D657000">
            <w:pPr>
              <w:spacing w:line="240" w:lineRule="auto"/>
              <w:ind w:firstLine="0" w:firstLineChars="0"/>
              <w:jc w:val="center"/>
              <w:rPr>
                <w:sz w:val="21"/>
              </w:rPr>
            </w:pPr>
          </w:p>
        </w:tc>
        <w:tc>
          <w:tcPr>
            <w:tcW w:w="1194" w:type="pct"/>
            <w:vMerge w:val="continue"/>
            <w:tcBorders>
              <w:top w:val="nil"/>
            </w:tcBorders>
            <w:vAlign w:val="center"/>
          </w:tcPr>
          <w:p w14:paraId="67869E38">
            <w:pPr>
              <w:spacing w:line="240" w:lineRule="auto"/>
              <w:ind w:firstLine="0" w:firstLineChars="0"/>
              <w:jc w:val="center"/>
              <w:rPr>
                <w:sz w:val="21"/>
              </w:rPr>
            </w:pPr>
          </w:p>
        </w:tc>
        <w:tc>
          <w:tcPr>
            <w:tcW w:w="871" w:type="pct"/>
            <w:vAlign w:val="center"/>
          </w:tcPr>
          <w:p w14:paraId="3270ABAD">
            <w:pPr>
              <w:spacing w:line="240" w:lineRule="auto"/>
              <w:ind w:firstLine="0" w:firstLineChars="0"/>
              <w:jc w:val="center"/>
              <w:rPr>
                <w:sz w:val="21"/>
              </w:rPr>
            </w:pPr>
            <w:r>
              <w:rPr>
                <w:sz w:val="21"/>
              </w:rPr>
              <w:t>收获阶段</w:t>
            </w:r>
          </w:p>
        </w:tc>
        <w:tc>
          <w:tcPr>
            <w:tcW w:w="624" w:type="pct"/>
            <w:vAlign w:val="center"/>
          </w:tcPr>
          <w:p w14:paraId="2776E3D1">
            <w:pPr>
              <w:spacing w:line="240" w:lineRule="auto"/>
              <w:ind w:firstLine="0" w:firstLineChars="0"/>
              <w:jc w:val="center"/>
              <w:rPr>
                <w:sz w:val="21"/>
              </w:rPr>
            </w:pPr>
            <w:r>
              <w:rPr>
                <w:sz w:val="21"/>
              </w:rPr>
              <w:t>&gt;36</w:t>
            </w:r>
          </w:p>
        </w:tc>
        <w:tc>
          <w:tcPr>
            <w:tcW w:w="748" w:type="pct"/>
            <w:vAlign w:val="center"/>
          </w:tcPr>
          <w:p w14:paraId="170E85D8">
            <w:pPr>
              <w:spacing w:line="240" w:lineRule="auto"/>
              <w:ind w:firstLine="0" w:firstLineChars="0"/>
              <w:jc w:val="center"/>
              <w:rPr>
                <w:sz w:val="21"/>
              </w:rPr>
            </w:pPr>
            <w:r>
              <w:rPr>
                <w:sz w:val="21"/>
              </w:rPr>
              <w:t>1110</w:t>
            </w:r>
          </w:p>
        </w:tc>
        <w:tc>
          <w:tcPr>
            <w:tcW w:w="752" w:type="pct"/>
            <w:vAlign w:val="center"/>
          </w:tcPr>
          <w:p w14:paraId="23317CCC">
            <w:pPr>
              <w:spacing w:line="240" w:lineRule="auto"/>
              <w:ind w:firstLine="0" w:firstLineChars="0"/>
              <w:jc w:val="center"/>
              <w:rPr>
                <w:sz w:val="21"/>
              </w:rPr>
            </w:pPr>
            <w:r>
              <w:rPr>
                <w:sz w:val="21"/>
              </w:rPr>
              <w:t>更新采伐</w:t>
            </w:r>
          </w:p>
        </w:tc>
      </w:tr>
      <w:tr w14:paraId="44EF9E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jc w:val="center"/>
        </w:trPr>
        <w:tc>
          <w:tcPr>
            <w:tcW w:w="808" w:type="pct"/>
            <w:vMerge w:val="restart"/>
            <w:tcBorders>
              <w:bottom w:val="nil"/>
            </w:tcBorders>
            <w:vAlign w:val="center"/>
          </w:tcPr>
          <w:p w14:paraId="171A9B2A">
            <w:pPr>
              <w:spacing w:line="240" w:lineRule="auto"/>
              <w:ind w:firstLine="0" w:firstLineChars="0"/>
              <w:jc w:val="center"/>
              <w:rPr>
                <w:sz w:val="21"/>
              </w:rPr>
            </w:pPr>
            <w:r>
              <w:rPr>
                <w:sz w:val="21"/>
              </w:rPr>
              <w:t>7</w:t>
            </w:r>
          </w:p>
        </w:tc>
        <w:tc>
          <w:tcPr>
            <w:tcW w:w="1194" w:type="pct"/>
            <w:vMerge w:val="restart"/>
            <w:tcBorders>
              <w:bottom w:val="nil"/>
            </w:tcBorders>
            <w:vAlign w:val="center"/>
          </w:tcPr>
          <w:p w14:paraId="72BF5047">
            <w:pPr>
              <w:spacing w:line="240" w:lineRule="auto"/>
              <w:ind w:firstLine="0" w:firstLineChars="0"/>
              <w:jc w:val="center"/>
              <w:rPr>
                <w:sz w:val="21"/>
              </w:rPr>
            </w:pPr>
            <w:r>
              <w:rPr>
                <w:sz w:val="21"/>
              </w:rPr>
              <w:t>Ⅱ、Ⅲ、Ⅳ</w:t>
            </w:r>
          </w:p>
        </w:tc>
        <w:tc>
          <w:tcPr>
            <w:tcW w:w="871" w:type="pct"/>
            <w:vAlign w:val="center"/>
          </w:tcPr>
          <w:p w14:paraId="3077B293">
            <w:pPr>
              <w:spacing w:line="240" w:lineRule="auto"/>
              <w:ind w:firstLine="0" w:firstLineChars="0"/>
              <w:jc w:val="center"/>
              <w:rPr>
                <w:sz w:val="21"/>
              </w:rPr>
            </w:pPr>
            <w:r>
              <w:rPr>
                <w:sz w:val="21"/>
              </w:rPr>
              <w:t>建群阶段</w:t>
            </w:r>
          </w:p>
        </w:tc>
        <w:tc>
          <w:tcPr>
            <w:tcW w:w="624" w:type="pct"/>
            <w:vAlign w:val="center"/>
          </w:tcPr>
          <w:p w14:paraId="7B0A71C3">
            <w:pPr>
              <w:spacing w:line="240" w:lineRule="auto"/>
              <w:ind w:firstLine="0" w:firstLineChars="0"/>
              <w:jc w:val="center"/>
              <w:rPr>
                <w:sz w:val="21"/>
              </w:rPr>
            </w:pPr>
            <w:r>
              <w:rPr>
                <w:sz w:val="21"/>
              </w:rPr>
              <w:t>1-10</w:t>
            </w:r>
          </w:p>
        </w:tc>
        <w:tc>
          <w:tcPr>
            <w:tcW w:w="748" w:type="pct"/>
            <w:vAlign w:val="center"/>
          </w:tcPr>
          <w:p w14:paraId="5ABB472A">
            <w:pPr>
              <w:spacing w:line="240" w:lineRule="auto"/>
              <w:ind w:firstLine="0" w:firstLineChars="0"/>
              <w:jc w:val="center"/>
              <w:rPr>
                <w:sz w:val="21"/>
              </w:rPr>
            </w:pPr>
            <w:r>
              <w:rPr>
                <w:sz w:val="21"/>
              </w:rPr>
              <w:t>1650</w:t>
            </w:r>
          </w:p>
        </w:tc>
        <w:tc>
          <w:tcPr>
            <w:tcW w:w="752" w:type="pct"/>
            <w:vAlign w:val="center"/>
          </w:tcPr>
          <w:p w14:paraId="5DA603E0">
            <w:pPr>
              <w:spacing w:line="240" w:lineRule="auto"/>
              <w:ind w:firstLine="0" w:firstLineChars="0"/>
              <w:jc w:val="center"/>
              <w:rPr>
                <w:sz w:val="21"/>
              </w:rPr>
            </w:pPr>
            <w:r>
              <w:rPr>
                <w:sz w:val="21"/>
              </w:rPr>
              <w:t>幼林抚育</w:t>
            </w:r>
          </w:p>
        </w:tc>
      </w:tr>
      <w:tr w14:paraId="7579D6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jc w:val="center"/>
        </w:trPr>
        <w:tc>
          <w:tcPr>
            <w:tcW w:w="808" w:type="pct"/>
            <w:vMerge w:val="continue"/>
            <w:tcBorders>
              <w:top w:val="nil"/>
              <w:bottom w:val="nil"/>
            </w:tcBorders>
            <w:vAlign w:val="center"/>
          </w:tcPr>
          <w:p w14:paraId="37A4B8A3">
            <w:pPr>
              <w:spacing w:line="240" w:lineRule="auto"/>
              <w:ind w:firstLine="0" w:firstLineChars="0"/>
              <w:jc w:val="center"/>
              <w:rPr>
                <w:sz w:val="21"/>
              </w:rPr>
            </w:pPr>
          </w:p>
        </w:tc>
        <w:tc>
          <w:tcPr>
            <w:tcW w:w="1194" w:type="pct"/>
            <w:vMerge w:val="continue"/>
            <w:tcBorders>
              <w:top w:val="nil"/>
              <w:bottom w:val="nil"/>
            </w:tcBorders>
            <w:vAlign w:val="center"/>
          </w:tcPr>
          <w:p w14:paraId="454C299E">
            <w:pPr>
              <w:spacing w:line="240" w:lineRule="auto"/>
              <w:ind w:firstLine="0" w:firstLineChars="0"/>
              <w:jc w:val="center"/>
              <w:rPr>
                <w:sz w:val="21"/>
              </w:rPr>
            </w:pPr>
          </w:p>
        </w:tc>
        <w:tc>
          <w:tcPr>
            <w:tcW w:w="871" w:type="pct"/>
            <w:vAlign w:val="center"/>
          </w:tcPr>
          <w:p w14:paraId="15E57B87">
            <w:pPr>
              <w:spacing w:line="240" w:lineRule="auto"/>
              <w:ind w:firstLine="0" w:firstLineChars="0"/>
              <w:jc w:val="center"/>
              <w:rPr>
                <w:sz w:val="21"/>
              </w:rPr>
            </w:pPr>
            <w:r>
              <w:rPr>
                <w:sz w:val="21"/>
              </w:rPr>
              <w:t>培育阶段</w:t>
            </w:r>
          </w:p>
        </w:tc>
        <w:tc>
          <w:tcPr>
            <w:tcW w:w="624" w:type="pct"/>
            <w:vAlign w:val="center"/>
          </w:tcPr>
          <w:p w14:paraId="1FC09774">
            <w:pPr>
              <w:spacing w:line="240" w:lineRule="auto"/>
              <w:ind w:firstLine="0" w:firstLineChars="0"/>
              <w:jc w:val="center"/>
              <w:rPr>
                <w:sz w:val="21"/>
              </w:rPr>
            </w:pPr>
            <w:r>
              <w:rPr>
                <w:sz w:val="21"/>
              </w:rPr>
              <w:t>11-26</w:t>
            </w:r>
          </w:p>
        </w:tc>
        <w:tc>
          <w:tcPr>
            <w:tcW w:w="748" w:type="pct"/>
            <w:vAlign w:val="center"/>
          </w:tcPr>
          <w:p w14:paraId="3A7EF377">
            <w:pPr>
              <w:spacing w:line="240" w:lineRule="auto"/>
              <w:ind w:firstLine="0" w:firstLineChars="0"/>
              <w:jc w:val="center"/>
              <w:rPr>
                <w:sz w:val="21"/>
              </w:rPr>
            </w:pPr>
            <w:r>
              <w:rPr>
                <w:sz w:val="21"/>
              </w:rPr>
              <w:t>1110</w:t>
            </w:r>
          </w:p>
        </w:tc>
        <w:tc>
          <w:tcPr>
            <w:tcW w:w="752" w:type="pct"/>
            <w:vAlign w:val="center"/>
          </w:tcPr>
          <w:p w14:paraId="334EEA28">
            <w:pPr>
              <w:spacing w:line="240" w:lineRule="auto"/>
              <w:ind w:firstLine="0" w:firstLineChars="0"/>
              <w:jc w:val="center"/>
              <w:rPr>
                <w:sz w:val="21"/>
              </w:rPr>
            </w:pPr>
            <w:r>
              <w:rPr>
                <w:sz w:val="21"/>
              </w:rPr>
              <w:t>抚育间伐</w:t>
            </w:r>
          </w:p>
        </w:tc>
      </w:tr>
      <w:tr w14:paraId="7BAE81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jc w:val="center"/>
        </w:trPr>
        <w:tc>
          <w:tcPr>
            <w:tcW w:w="808" w:type="pct"/>
            <w:vMerge w:val="continue"/>
            <w:tcBorders>
              <w:top w:val="nil"/>
            </w:tcBorders>
            <w:vAlign w:val="center"/>
          </w:tcPr>
          <w:p w14:paraId="5E314664">
            <w:pPr>
              <w:spacing w:line="240" w:lineRule="auto"/>
              <w:ind w:firstLine="0" w:firstLineChars="0"/>
              <w:jc w:val="center"/>
              <w:rPr>
                <w:sz w:val="21"/>
              </w:rPr>
            </w:pPr>
          </w:p>
        </w:tc>
        <w:tc>
          <w:tcPr>
            <w:tcW w:w="1194" w:type="pct"/>
            <w:vMerge w:val="continue"/>
            <w:tcBorders>
              <w:top w:val="nil"/>
            </w:tcBorders>
            <w:vAlign w:val="center"/>
          </w:tcPr>
          <w:p w14:paraId="236649DD">
            <w:pPr>
              <w:spacing w:line="240" w:lineRule="auto"/>
              <w:ind w:firstLine="0" w:firstLineChars="0"/>
              <w:jc w:val="center"/>
              <w:rPr>
                <w:sz w:val="21"/>
              </w:rPr>
            </w:pPr>
          </w:p>
        </w:tc>
        <w:tc>
          <w:tcPr>
            <w:tcW w:w="871" w:type="pct"/>
            <w:vAlign w:val="center"/>
          </w:tcPr>
          <w:p w14:paraId="262C6D77">
            <w:pPr>
              <w:spacing w:line="240" w:lineRule="auto"/>
              <w:ind w:firstLine="0" w:firstLineChars="0"/>
              <w:jc w:val="center"/>
              <w:rPr>
                <w:sz w:val="21"/>
              </w:rPr>
            </w:pPr>
            <w:r>
              <w:rPr>
                <w:sz w:val="21"/>
              </w:rPr>
              <w:t>收获阶段</w:t>
            </w:r>
          </w:p>
        </w:tc>
        <w:tc>
          <w:tcPr>
            <w:tcW w:w="624" w:type="pct"/>
            <w:vAlign w:val="center"/>
          </w:tcPr>
          <w:p w14:paraId="11704154">
            <w:pPr>
              <w:spacing w:line="240" w:lineRule="auto"/>
              <w:ind w:firstLine="0" w:firstLineChars="0"/>
              <w:jc w:val="center"/>
              <w:rPr>
                <w:sz w:val="21"/>
              </w:rPr>
            </w:pPr>
            <w:r>
              <w:rPr>
                <w:sz w:val="21"/>
              </w:rPr>
              <w:t>&gt;26</w:t>
            </w:r>
          </w:p>
        </w:tc>
        <w:tc>
          <w:tcPr>
            <w:tcW w:w="748" w:type="pct"/>
            <w:vAlign w:val="center"/>
          </w:tcPr>
          <w:p w14:paraId="1A86F7DA">
            <w:pPr>
              <w:spacing w:line="240" w:lineRule="auto"/>
              <w:ind w:firstLine="0" w:firstLineChars="0"/>
              <w:jc w:val="center"/>
              <w:rPr>
                <w:sz w:val="21"/>
              </w:rPr>
            </w:pPr>
            <w:r>
              <w:rPr>
                <w:sz w:val="21"/>
              </w:rPr>
              <w:t>1110</w:t>
            </w:r>
          </w:p>
        </w:tc>
        <w:tc>
          <w:tcPr>
            <w:tcW w:w="752" w:type="pct"/>
            <w:vAlign w:val="center"/>
          </w:tcPr>
          <w:p w14:paraId="46DF32D9">
            <w:pPr>
              <w:spacing w:line="240" w:lineRule="auto"/>
              <w:ind w:firstLine="0" w:firstLineChars="0"/>
              <w:jc w:val="center"/>
              <w:rPr>
                <w:sz w:val="21"/>
              </w:rPr>
            </w:pPr>
            <w:r>
              <w:rPr>
                <w:sz w:val="21"/>
              </w:rPr>
              <w:t>更新采伐</w:t>
            </w:r>
          </w:p>
        </w:tc>
      </w:tr>
      <w:tr w14:paraId="47C3BF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jc w:val="center"/>
        </w:trPr>
        <w:tc>
          <w:tcPr>
            <w:tcW w:w="808" w:type="pct"/>
            <w:vMerge w:val="restart"/>
            <w:tcBorders>
              <w:bottom w:val="nil"/>
            </w:tcBorders>
            <w:vAlign w:val="center"/>
          </w:tcPr>
          <w:p w14:paraId="70B2AC2E">
            <w:pPr>
              <w:spacing w:line="240" w:lineRule="auto"/>
              <w:ind w:firstLine="0" w:firstLineChars="0"/>
              <w:jc w:val="center"/>
              <w:rPr>
                <w:sz w:val="21"/>
              </w:rPr>
            </w:pPr>
            <w:r>
              <w:rPr>
                <w:sz w:val="21"/>
              </w:rPr>
              <w:t>8</w:t>
            </w:r>
          </w:p>
        </w:tc>
        <w:tc>
          <w:tcPr>
            <w:tcW w:w="1194" w:type="pct"/>
            <w:vMerge w:val="restart"/>
            <w:tcBorders>
              <w:bottom w:val="nil"/>
            </w:tcBorders>
            <w:vAlign w:val="center"/>
          </w:tcPr>
          <w:p w14:paraId="1184602B">
            <w:pPr>
              <w:spacing w:line="240" w:lineRule="auto"/>
              <w:ind w:firstLine="0" w:firstLineChars="0"/>
              <w:jc w:val="center"/>
              <w:rPr>
                <w:sz w:val="21"/>
              </w:rPr>
            </w:pPr>
            <w:r>
              <w:rPr>
                <w:sz w:val="21"/>
              </w:rPr>
              <w:t>Ⅱ、Ⅲ</w:t>
            </w:r>
          </w:p>
        </w:tc>
        <w:tc>
          <w:tcPr>
            <w:tcW w:w="871" w:type="pct"/>
            <w:vAlign w:val="center"/>
          </w:tcPr>
          <w:p w14:paraId="1E6A040D">
            <w:pPr>
              <w:spacing w:line="240" w:lineRule="auto"/>
              <w:ind w:firstLine="0" w:firstLineChars="0"/>
              <w:jc w:val="center"/>
              <w:rPr>
                <w:sz w:val="21"/>
              </w:rPr>
            </w:pPr>
            <w:r>
              <w:rPr>
                <w:sz w:val="21"/>
              </w:rPr>
              <w:t>建群阶段</w:t>
            </w:r>
          </w:p>
        </w:tc>
        <w:tc>
          <w:tcPr>
            <w:tcW w:w="624" w:type="pct"/>
            <w:vAlign w:val="center"/>
          </w:tcPr>
          <w:p w14:paraId="642A2390">
            <w:pPr>
              <w:spacing w:line="240" w:lineRule="auto"/>
              <w:ind w:firstLine="0" w:firstLineChars="0"/>
              <w:jc w:val="center"/>
              <w:rPr>
                <w:sz w:val="21"/>
              </w:rPr>
            </w:pPr>
            <w:r>
              <w:rPr>
                <w:sz w:val="21"/>
              </w:rPr>
              <w:t>1-20</w:t>
            </w:r>
          </w:p>
        </w:tc>
        <w:tc>
          <w:tcPr>
            <w:tcW w:w="748" w:type="pct"/>
            <w:vAlign w:val="center"/>
          </w:tcPr>
          <w:p w14:paraId="3FA33809">
            <w:pPr>
              <w:spacing w:line="240" w:lineRule="auto"/>
              <w:ind w:firstLine="0" w:firstLineChars="0"/>
              <w:jc w:val="center"/>
              <w:rPr>
                <w:sz w:val="21"/>
              </w:rPr>
            </w:pPr>
            <w:r>
              <w:rPr>
                <w:sz w:val="21"/>
              </w:rPr>
              <w:t>1110</w:t>
            </w:r>
          </w:p>
        </w:tc>
        <w:tc>
          <w:tcPr>
            <w:tcW w:w="752" w:type="pct"/>
            <w:vAlign w:val="center"/>
          </w:tcPr>
          <w:p w14:paraId="73A97A3F">
            <w:pPr>
              <w:spacing w:line="240" w:lineRule="auto"/>
              <w:ind w:firstLine="0" w:firstLineChars="0"/>
              <w:jc w:val="center"/>
              <w:rPr>
                <w:sz w:val="21"/>
              </w:rPr>
            </w:pPr>
            <w:r>
              <w:rPr>
                <w:sz w:val="21"/>
              </w:rPr>
              <w:t>幼林抚育</w:t>
            </w:r>
          </w:p>
        </w:tc>
      </w:tr>
      <w:tr w14:paraId="67C55C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jc w:val="center"/>
        </w:trPr>
        <w:tc>
          <w:tcPr>
            <w:tcW w:w="808" w:type="pct"/>
            <w:vMerge w:val="continue"/>
            <w:tcBorders>
              <w:top w:val="nil"/>
              <w:bottom w:val="nil"/>
            </w:tcBorders>
            <w:vAlign w:val="center"/>
          </w:tcPr>
          <w:p w14:paraId="3BA76089">
            <w:pPr>
              <w:spacing w:line="240" w:lineRule="auto"/>
              <w:ind w:firstLine="0" w:firstLineChars="0"/>
              <w:jc w:val="center"/>
              <w:rPr>
                <w:sz w:val="21"/>
              </w:rPr>
            </w:pPr>
          </w:p>
        </w:tc>
        <w:tc>
          <w:tcPr>
            <w:tcW w:w="1194" w:type="pct"/>
            <w:vMerge w:val="continue"/>
            <w:tcBorders>
              <w:top w:val="nil"/>
              <w:bottom w:val="nil"/>
            </w:tcBorders>
            <w:vAlign w:val="center"/>
          </w:tcPr>
          <w:p w14:paraId="1F2F3566">
            <w:pPr>
              <w:spacing w:line="240" w:lineRule="auto"/>
              <w:ind w:firstLine="0" w:firstLineChars="0"/>
              <w:jc w:val="center"/>
              <w:rPr>
                <w:sz w:val="21"/>
              </w:rPr>
            </w:pPr>
          </w:p>
        </w:tc>
        <w:tc>
          <w:tcPr>
            <w:tcW w:w="871" w:type="pct"/>
            <w:vAlign w:val="center"/>
          </w:tcPr>
          <w:p w14:paraId="7120446C">
            <w:pPr>
              <w:spacing w:line="240" w:lineRule="auto"/>
              <w:ind w:firstLine="0" w:firstLineChars="0"/>
              <w:jc w:val="center"/>
              <w:rPr>
                <w:sz w:val="21"/>
              </w:rPr>
            </w:pPr>
            <w:r>
              <w:rPr>
                <w:sz w:val="21"/>
              </w:rPr>
              <w:t>培育阶段</w:t>
            </w:r>
          </w:p>
        </w:tc>
        <w:tc>
          <w:tcPr>
            <w:tcW w:w="624" w:type="pct"/>
            <w:vAlign w:val="center"/>
          </w:tcPr>
          <w:p w14:paraId="7DEDD02D">
            <w:pPr>
              <w:spacing w:line="240" w:lineRule="auto"/>
              <w:ind w:firstLine="0" w:firstLineChars="0"/>
              <w:jc w:val="center"/>
              <w:rPr>
                <w:sz w:val="21"/>
              </w:rPr>
            </w:pPr>
            <w:r>
              <w:rPr>
                <w:sz w:val="21"/>
              </w:rPr>
              <w:t>21-30</w:t>
            </w:r>
          </w:p>
        </w:tc>
        <w:tc>
          <w:tcPr>
            <w:tcW w:w="748" w:type="pct"/>
            <w:vAlign w:val="center"/>
          </w:tcPr>
          <w:p w14:paraId="275852BF">
            <w:pPr>
              <w:spacing w:line="240" w:lineRule="auto"/>
              <w:ind w:firstLine="0" w:firstLineChars="0"/>
              <w:jc w:val="center"/>
              <w:rPr>
                <w:sz w:val="21"/>
              </w:rPr>
            </w:pPr>
            <w:r>
              <w:rPr>
                <w:sz w:val="21"/>
              </w:rPr>
              <w:t>1110</w:t>
            </w:r>
          </w:p>
        </w:tc>
        <w:tc>
          <w:tcPr>
            <w:tcW w:w="752" w:type="pct"/>
            <w:vAlign w:val="center"/>
          </w:tcPr>
          <w:p w14:paraId="026B41BB">
            <w:pPr>
              <w:spacing w:line="240" w:lineRule="auto"/>
              <w:ind w:firstLine="0" w:firstLineChars="0"/>
              <w:jc w:val="center"/>
              <w:rPr>
                <w:sz w:val="21"/>
              </w:rPr>
            </w:pPr>
            <w:r>
              <w:rPr>
                <w:sz w:val="21"/>
              </w:rPr>
              <w:t>抚育间伐</w:t>
            </w:r>
          </w:p>
        </w:tc>
      </w:tr>
      <w:tr w14:paraId="44C344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jc w:val="center"/>
        </w:trPr>
        <w:tc>
          <w:tcPr>
            <w:tcW w:w="808" w:type="pct"/>
            <w:vMerge w:val="continue"/>
            <w:tcBorders>
              <w:top w:val="nil"/>
            </w:tcBorders>
            <w:vAlign w:val="center"/>
          </w:tcPr>
          <w:p w14:paraId="1973E19B">
            <w:pPr>
              <w:spacing w:line="240" w:lineRule="auto"/>
              <w:ind w:firstLine="0" w:firstLineChars="0"/>
              <w:jc w:val="center"/>
              <w:rPr>
                <w:sz w:val="21"/>
              </w:rPr>
            </w:pPr>
          </w:p>
        </w:tc>
        <w:tc>
          <w:tcPr>
            <w:tcW w:w="1194" w:type="pct"/>
            <w:vMerge w:val="continue"/>
            <w:tcBorders>
              <w:top w:val="nil"/>
            </w:tcBorders>
            <w:vAlign w:val="center"/>
          </w:tcPr>
          <w:p w14:paraId="0DA2AEAF">
            <w:pPr>
              <w:spacing w:line="240" w:lineRule="auto"/>
              <w:ind w:firstLine="0" w:firstLineChars="0"/>
              <w:jc w:val="center"/>
              <w:rPr>
                <w:sz w:val="21"/>
              </w:rPr>
            </w:pPr>
          </w:p>
        </w:tc>
        <w:tc>
          <w:tcPr>
            <w:tcW w:w="871" w:type="pct"/>
            <w:vAlign w:val="center"/>
          </w:tcPr>
          <w:p w14:paraId="35142BF8">
            <w:pPr>
              <w:spacing w:line="240" w:lineRule="auto"/>
              <w:ind w:firstLine="0" w:firstLineChars="0"/>
              <w:jc w:val="center"/>
              <w:rPr>
                <w:sz w:val="21"/>
              </w:rPr>
            </w:pPr>
            <w:r>
              <w:rPr>
                <w:sz w:val="21"/>
              </w:rPr>
              <w:t>收获阶段</w:t>
            </w:r>
          </w:p>
        </w:tc>
        <w:tc>
          <w:tcPr>
            <w:tcW w:w="624" w:type="pct"/>
            <w:vAlign w:val="center"/>
          </w:tcPr>
          <w:p w14:paraId="61E78C01">
            <w:pPr>
              <w:spacing w:line="240" w:lineRule="auto"/>
              <w:ind w:firstLine="0" w:firstLineChars="0"/>
              <w:jc w:val="center"/>
              <w:rPr>
                <w:sz w:val="21"/>
              </w:rPr>
            </w:pPr>
            <w:r>
              <w:rPr>
                <w:sz w:val="21"/>
              </w:rPr>
              <w:t>&gt;31</w:t>
            </w:r>
          </w:p>
        </w:tc>
        <w:tc>
          <w:tcPr>
            <w:tcW w:w="748" w:type="pct"/>
            <w:vAlign w:val="center"/>
          </w:tcPr>
          <w:p w14:paraId="0AF2E413">
            <w:pPr>
              <w:spacing w:line="240" w:lineRule="auto"/>
              <w:ind w:firstLine="0" w:firstLineChars="0"/>
              <w:jc w:val="center"/>
              <w:rPr>
                <w:sz w:val="21"/>
              </w:rPr>
            </w:pPr>
            <w:r>
              <w:rPr>
                <w:sz w:val="21"/>
              </w:rPr>
              <w:t>900</w:t>
            </w:r>
          </w:p>
        </w:tc>
        <w:tc>
          <w:tcPr>
            <w:tcW w:w="752" w:type="pct"/>
            <w:vAlign w:val="center"/>
          </w:tcPr>
          <w:p w14:paraId="23245AFC">
            <w:pPr>
              <w:spacing w:line="240" w:lineRule="auto"/>
              <w:ind w:firstLine="0" w:firstLineChars="0"/>
              <w:jc w:val="center"/>
              <w:rPr>
                <w:sz w:val="21"/>
              </w:rPr>
            </w:pPr>
            <w:r>
              <w:rPr>
                <w:sz w:val="21"/>
              </w:rPr>
              <w:t>更新采伐</w:t>
            </w:r>
          </w:p>
        </w:tc>
      </w:tr>
    </w:tbl>
    <w:p w14:paraId="121D0DE9">
      <w:pPr>
        <w:pStyle w:val="7"/>
        <w:ind w:firstLine="480"/>
        <w:rPr>
          <w:rFonts w:cs="Times New Roman"/>
        </w:rPr>
      </w:pPr>
    </w:p>
    <w:p w14:paraId="463F1155">
      <w:pPr>
        <w:ind w:firstLine="480"/>
        <w:rPr>
          <w:rFonts w:cs="Times New Roman"/>
        </w:rPr>
        <w:sectPr>
          <w:footerReference r:id="rId30" w:type="default"/>
          <w:pgSz w:w="11905" w:h="16843"/>
          <w:pgMar w:top="1440" w:right="1406" w:bottom="1440" w:left="1803" w:header="873" w:footer="1276" w:gutter="0"/>
          <w:cols w:space="0" w:num="1"/>
          <w:rtlGutter w:val="0"/>
          <w:docGrid w:linePitch="326" w:charSpace="0"/>
        </w:sectPr>
      </w:pPr>
    </w:p>
    <w:p w14:paraId="6B317252">
      <w:pPr>
        <w:pStyle w:val="4"/>
      </w:pPr>
      <w:r>
        <w:t>4.2.</w:t>
      </w:r>
      <w:r>
        <w:rPr>
          <w:rFonts w:hint="eastAsia"/>
        </w:rPr>
        <w:t>3</w:t>
      </w:r>
      <w:r>
        <w:t>经营措施类型设计</w:t>
      </w:r>
    </w:p>
    <w:p w14:paraId="62FB999D">
      <w:pPr>
        <w:ind w:firstLine="480"/>
        <w:rPr>
          <w:lang w:eastAsia="zh-CN"/>
        </w:rPr>
      </w:pPr>
      <w:r>
        <w:rPr>
          <w:lang w:eastAsia="zh-CN"/>
        </w:rPr>
        <w:t>森林经营类型1的全阶段，经营类型2、3、4、5小于过熟龄组采用封禁保护型；森林经营类型2、3、4、5过熟龄组采用更新采伐型；森林经营类型6、7幼中龄组阶段采用抚育型；森林经营类型6、7成熟龄组阶段采用主伐利用型。</w:t>
      </w:r>
    </w:p>
    <w:p w14:paraId="6941168A">
      <w:pPr>
        <w:spacing w:line="240" w:lineRule="auto"/>
        <w:ind w:firstLine="0" w:firstLineChars="0"/>
        <w:jc w:val="center"/>
        <w:rPr>
          <w:rFonts w:eastAsia="黑体" w:cs="Times New Roman"/>
          <w:b/>
          <w:bCs/>
          <w:szCs w:val="24"/>
          <w:lang w:eastAsia="zh-CN"/>
        </w:rPr>
      </w:pPr>
      <w:r>
        <w:rPr>
          <w:rFonts w:eastAsia="黑体" w:cs="Times New Roman"/>
          <w:b/>
          <w:bCs/>
          <w:szCs w:val="24"/>
          <w:lang w:eastAsia="zh-CN"/>
        </w:rPr>
        <w:t>表4-8林场森林经营措施类型表</w:t>
      </w:r>
    </w:p>
    <w:tbl>
      <w:tblPr>
        <w:tblStyle w:val="21"/>
        <w:tblW w:w="5004"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204"/>
        <w:gridCol w:w="1256"/>
        <w:gridCol w:w="1765"/>
        <w:gridCol w:w="1356"/>
        <w:gridCol w:w="1214"/>
        <w:gridCol w:w="1914"/>
      </w:tblGrid>
      <w:tr w14:paraId="203C47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691" w:type="pct"/>
            <w:vAlign w:val="center"/>
          </w:tcPr>
          <w:p w14:paraId="010AABAA">
            <w:pPr>
              <w:spacing w:line="240" w:lineRule="auto"/>
              <w:ind w:firstLine="0" w:firstLineChars="0"/>
              <w:jc w:val="center"/>
              <w:rPr>
                <w:rFonts w:cs="Times New Roman"/>
                <w:sz w:val="21"/>
              </w:rPr>
            </w:pPr>
            <w:r>
              <w:rPr>
                <w:rFonts w:cs="Times New Roman"/>
                <w:sz w:val="21"/>
              </w:rPr>
              <w:t>森林经营类型</w:t>
            </w:r>
          </w:p>
        </w:tc>
        <w:tc>
          <w:tcPr>
            <w:tcW w:w="721" w:type="pct"/>
            <w:vAlign w:val="center"/>
          </w:tcPr>
          <w:p w14:paraId="11685215">
            <w:pPr>
              <w:spacing w:line="240" w:lineRule="auto"/>
              <w:ind w:firstLine="0" w:firstLineChars="0"/>
              <w:jc w:val="center"/>
              <w:rPr>
                <w:rFonts w:cs="Times New Roman"/>
                <w:sz w:val="21"/>
              </w:rPr>
            </w:pPr>
            <w:r>
              <w:rPr>
                <w:rFonts w:cs="Times New Roman"/>
                <w:sz w:val="21"/>
              </w:rPr>
              <w:t>经营措施类型</w:t>
            </w:r>
          </w:p>
        </w:tc>
        <w:tc>
          <w:tcPr>
            <w:tcW w:w="1013" w:type="pct"/>
            <w:vAlign w:val="center"/>
          </w:tcPr>
          <w:p w14:paraId="6A21A161">
            <w:pPr>
              <w:spacing w:line="240" w:lineRule="auto"/>
              <w:ind w:firstLine="0" w:firstLineChars="0"/>
              <w:jc w:val="center"/>
              <w:rPr>
                <w:rFonts w:cs="Times New Roman"/>
                <w:sz w:val="21"/>
              </w:rPr>
            </w:pPr>
            <w:r>
              <w:rPr>
                <w:rFonts w:cs="Times New Roman"/>
                <w:sz w:val="21"/>
              </w:rPr>
              <w:t>林分现状特征</w:t>
            </w:r>
          </w:p>
        </w:tc>
        <w:tc>
          <w:tcPr>
            <w:tcW w:w="778" w:type="pct"/>
            <w:vAlign w:val="center"/>
          </w:tcPr>
          <w:p w14:paraId="273902F5">
            <w:pPr>
              <w:spacing w:line="240" w:lineRule="auto"/>
              <w:ind w:firstLine="0" w:firstLineChars="0"/>
              <w:jc w:val="center"/>
              <w:rPr>
                <w:rFonts w:cs="Times New Roman"/>
                <w:sz w:val="21"/>
              </w:rPr>
            </w:pPr>
            <w:r>
              <w:rPr>
                <w:rFonts w:cs="Times New Roman"/>
                <w:sz w:val="21"/>
              </w:rPr>
              <w:t>立地质量等级</w:t>
            </w:r>
          </w:p>
        </w:tc>
        <w:tc>
          <w:tcPr>
            <w:tcW w:w="697" w:type="pct"/>
            <w:vAlign w:val="center"/>
          </w:tcPr>
          <w:p w14:paraId="513344C6">
            <w:pPr>
              <w:spacing w:line="240" w:lineRule="auto"/>
              <w:ind w:firstLine="0" w:firstLineChars="0"/>
              <w:jc w:val="center"/>
              <w:rPr>
                <w:rFonts w:cs="Times New Roman"/>
                <w:sz w:val="21"/>
              </w:rPr>
            </w:pPr>
            <w:r>
              <w:rPr>
                <w:rFonts w:cs="Times New Roman"/>
                <w:sz w:val="21"/>
              </w:rPr>
              <w:t>经营目标</w:t>
            </w:r>
          </w:p>
        </w:tc>
        <w:tc>
          <w:tcPr>
            <w:tcW w:w="1098" w:type="pct"/>
            <w:vAlign w:val="center"/>
          </w:tcPr>
          <w:p w14:paraId="36E23C9E">
            <w:pPr>
              <w:spacing w:line="240" w:lineRule="auto"/>
              <w:ind w:firstLine="0" w:firstLineChars="0"/>
              <w:jc w:val="center"/>
              <w:rPr>
                <w:rFonts w:cs="Times New Roman"/>
                <w:sz w:val="21"/>
              </w:rPr>
            </w:pPr>
            <w:r>
              <w:rPr>
                <w:rFonts w:cs="Times New Roman"/>
                <w:sz w:val="21"/>
              </w:rPr>
              <w:t>经营措施</w:t>
            </w:r>
          </w:p>
        </w:tc>
      </w:tr>
      <w:tr w14:paraId="681536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8" w:hRule="atLeast"/>
        </w:trPr>
        <w:tc>
          <w:tcPr>
            <w:tcW w:w="691" w:type="pct"/>
            <w:vAlign w:val="center"/>
          </w:tcPr>
          <w:p w14:paraId="43891165">
            <w:pPr>
              <w:spacing w:line="240" w:lineRule="auto"/>
              <w:ind w:firstLine="0" w:firstLineChars="0"/>
              <w:jc w:val="center"/>
              <w:rPr>
                <w:rFonts w:cs="Times New Roman"/>
                <w:sz w:val="21"/>
              </w:rPr>
            </w:pPr>
            <w:r>
              <w:rPr>
                <w:rFonts w:cs="Times New Roman"/>
                <w:sz w:val="21"/>
              </w:rPr>
              <w:t>1、2、3、4、5、6</w:t>
            </w:r>
          </w:p>
        </w:tc>
        <w:tc>
          <w:tcPr>
            <w:tcW w:w="721" w:type="pct"/>
            <w:vAlign w:val="center"/>
          </w:tcPr>
          <w:p w14:paraId="7C6D2C26">
            <w:pPr>
              <w:spacing w:line="240" w:lineRule="auto"/>
              <w:ind w:firstLine="0" w:firstLineChars="0"/>
              <w:jc w:val="center"/>
              <w:rPr>
                <w:rFonts w:cs="Times New Roman"/>
                <w:sz w:val="21"/>
              </w:rPr>
            </w:pPr>
            <w:r>
              <w:rPr>
                <w:rFonts w:cs="Times New Roman"/>
                <w:sz w:val="21"/>
              </w:rPr>
              <w:t>封禁保护型</w:t>
            </w:r>
          </w:p>
        </w:tc>
        <w:tc>
          <w:tcPr>
            <w:tcW w:w="1013" w:type="pct"/>
            <w:vAlign w:val="center"/>
          </w:tcPr>
          <w:p w14:paraId="0343B38E">
            <w:pPr>
              <w:spacing w:line="240" w:lineRule="auto"/>
              <w:ind w:firstLine="0" w:firstLineChars="0"/>
              <w:jc w:val="center"/>
              <w:rPr>
                <w:rFonts w:cs="Times New Roman"/>
                <w:sz w:val="21"/>
              </w:rPr>
            </w:pPr>
            <w:r>
              <w:rPr>
                <w:rFonts w:cs="Times New Roman"/>
                <w:sz w:val="21"/>
              </w:rPr>
              <w:t>阔叶林、针叶林</w:t>
            </w:r>
          </w:p>
        </w:tc>
        <w:tc>
          <w:tcPr>
            <w:tcW w:w="778" w:type="pct"/>
            <w:vAlign w:val="center"/>
          </w:tcPr>
          <w:p w14:paraId="574C0AE7">
            <w:pPr>
              <w:spacing w:line="240" w:lineRule="auto"/>
              <w:ind w:firstLine="0" w:firstLineChars="0"/>
              <w:jc w:val="center"/>
              <w:rPr>
                <w:rFonts w:cs="Times New Roman"/>
                <w:sz w:val="21"/>
              </w:rPr>
            </w:pPr>
            <w:r>
              <w:rPr>
                <w:rFonts w:cs="Times New Roman"/>
                <w:sz w:val="21"/>
              </w:rPr>
              <w:t>Ⅱ、Ⅲ、Ⅳ</w:t>
            </w:r>
          </w:p>
        </w:tc>
        <w:tc>
          <w:tcPr>
            <w:tcW w:w="697" w:type="pct"/>
            <w:vAlign w:val="center"/>
          </w:tcPr>
          <w:p w14:paraId="1B4B223B">
            <w:pPr>
              <w:spacing w:line="240" w:lineRule="auto"/>
              <w:ind w:firstLine="0" w:firstLineChars="0"/>
              <w:jc w:val="center"/>
              <w:rPr>
                <w:rFonts w:cs="Times New Roman"/>
                <w:sz w:val="21"/>
              </w:rPr>
            </w:pPr>
            <w:r>
              <w:rPr>
                <w:rFonts w:cs="Times New Roman"/>
                <w:sz w:val="21"/>
              </w:rPr>
              <w:t>特用林</w:t>
            </w:r>
          </w:p>
        </w:tc>
        <w:tc>
          <w:tcPr>
            <w:tcW w:w="1098" w:type="pct"/>
            <w:vAlign w:val="center"/>
          </w:tcPr>
          <w:p w14:paraId="2C6CE18A">
            <w:pPr>
              <w:spacing w:line="240" w:lineRule="auto"/>
              <w:ind w:firstLine="0" w:firstLineChars="0"/>
              <w:jc w:val="center"/>
              <w:rPr>
                <w:rFonts w:cs="Times New Roman"/>
                <w:sz w:val="21"/>
              </w:rPr>
            </w:pPr>
            <w:r>
              <w:rPr>
                <w:rFonts w:cs="Times New Roman"/>
                <w:sz w:val="21"/>
              </w:rPr>
              <w:t>全封</w:t>
            </w:r>
          </w:p>
        </w:tc>
      </w:tr>
      <w:tr w14:paraId="31A137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3" w:hRule="atLeast"/>
        </w:trPr>
        <w:tc>
          <w:tcPr>
            <w:tcW w:w="691" w:type="pct"/>
            <w:vAlign w:val="center"/>
          </w:tcPr>
          <w:p w14:paraId="10CAAFBD">
            <w:pPr>
              <w:spacing w:line="240" w:lineRule="auto"/>
              <w:ind w:firstLine="0" w:firstLineChars="0"/>
              <w:jc w:val="center"/>
              <w:rPr>
                <w:rFonts w:cs="Times New Roman"/>
                <w:sz w:val="21"/>
              </w:rPr>
            </w:pPr>
            <w:r>
              <w:rPr>
                <w:rFonts w:cs="Times New Roman"/>
                <w:sz w:val="21"/>
              </w:rPr>
              <w:t>2、3、4、5、6</w:t>
            </w:r>
          </w:p>
        </w:tc>
        <w:tc>
          <w:tcPr>
            <w:tcW w:w="721" w:type="pct"/>
            <w:vAlign w:val="center"/>
          </w:tcPr>
          <w:p w14:paraId="4AC4A307">
            <w:pPr>
              <w:spacing w:line="240" w:lineRule="auto"/>
              <w:ind w:firstLine="0" w:firstLineChars="0"/>
              <w:jc w:val="center"/>
              <w:rPr>
                <w:rFonts w:cs="Times New Roman"/>
                <w:sz w:val="21"/>
              </w:rPr>
            </w:pPr>
            <w:r>
              <w:rPr>
                <w:rFonts w:cs="Times New Roman"/>
                <w:sz w:val="21"/>
              </w:rPr>
              <w:t>更新采伐型</w:t>
            </w:r>
          </w:p>
        </w:tc>
        <w:tc>
          <w:tcPr>
            <w:tcW w:w="1013" w:type="pct"/>
            <w:vAlign w:val="center"/>
          </w:tcPr>
          <w:p w14:paraId="74AF1450">
            <w:pPr>
              <w:spacing w:line="240" w:lineRule="auto"/>
              <w:ind w:firstLine="0" w:firstLineChars="0"/>
              <w:jc w:val="center"/>
              <w:rPr>
                <w:rFonts w:cs="Times New Roman"/>
                <w:sz w:val="21"/>
              </w:rPr>
            </w:pPr>
            <w:r>
              <w:rPr>
                <w:rFonts w:cs="Times New Roman"/>
                <w:sz w:val="21"/>
              </w:rPr>
              <w:t>过熟龄组</w:t>
            </w:r>
          </w:p>
        </w:tc>
        <w:tc>
          <w:tcPr>
            <w:tcW w:w="778" w:type="pct"/>
            <w:vAlign w:val="center"/>
          </w:tcPr>
          <w:p w14:paraId="7BAB39EB">
            <w:pPr>
              <w:spacing w:line="240" w:lineRule="auto"/>
              <w:ind w:firstLine="0" w:firstLineChars="0"/>
              <w:jc w:val="center"/>
              <w:rPr>
                <w:rFonts w:cs="Times New Roman"/>
                <w:sz w:val="21"/>
              </w:rPr>
            </w:pPr>
            <w:r>
              <w:rPr>
                <w:rFonts w:cs="Times New Roman"/>
                <w:sz w:val="21"/>
              </w:rPr>
              <w:t>Ⅱ、Ⅲ、Ⅳ</w:t>
            </w:r>
          </w:p>
        </w:tc>
        <w:tc>
          <w:tcPr>
            <w:tcW w:w="697" w:type="pct"/>
            <w:vAlign w:val="center"/>
          </w:tcPr>
          <w:p w14:paraId="72D9EC1F">
            <w:pPr>
              <w:spacing w:line="240" w:lineRule="auto"/>
              <w:ind w:firstLine="0" w:firstLineChars="0"/>
              <w:jc w:val="center"/>
              <w:rPr>
                <w:rFonts w:cs="Times New Roman"/>
                <w:sz w:val="21"/>
              </w:rPr>
            </w:pPr>
            <w:r>
              <w:rPr>
                <w:rFonts w:cs="Times New Roman"/>
                <w:sz w:val="21"/>
              </w:rPr>
              <w:t>特用林</w:t>
            </w:r>
          </w:p>
        </w:tc>
        <w:tc>
          <w:tcPr>
            <w:tcW w:w="1098" w:type="pct"/>
            <w:vAlign w:val="center"/>
          </w:tcPr>
          <w:p w14:paraId="2D4455ED">
            <w:pPr>
              <w:spacing w:line="240" w:lineRule="auto"/>
              <w:ind w:firstLine="0" w:firstLineChars="0"/>
              <w:jc w:val="center"/>
              <w:rPr>
                <w:rFonts w:cs="Times New Roman"/>
                <w:sz w:val="21"/>
                <w:lang w:eastAsia="zh-CN"/>
              </w:rPr>
            </w:pPr>
            <w:r>
              <w:rPr>
                <w:rFonts w:cs="Times New Roman"/>
                <w:sz w:val="21"/>
                <w:lang w:eastAsia="zh-CN"/>
              </w:rPr>
              <w:t>对自然成熟林分进行小块状更新采伐、控制采伐面积</w:t>
            </w:r>
          </w:p>
        </w:tc>
      </w:tr>
      <w:tr w14:paraId="3BA453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8" w:hRule="atLeast"/>
        </w:trPr>
        <w:tc>
          <w:tcPr>
            <w:tcW w:w="691" w:type="pct"/>
            <w:vAlign w:val="center"/>
          </w:tcPr>
          <w:p w14:paraId="10EA1B05">
            <w:pPr>
              <w:spacing w:line="240" w:lineRule="auto"/>
              <w:ind w:firstLine="0" w:firstLineChars="0"/>
              <w:jc w:val="center"/>
              <w:rPr>
                <w:rFonts w:cs="Times New Roman"/>
                <w:sz w:val="21"/>
              </w:rPr>
            </w:pPr>
            <w:r>
              <w:rPr>
                <w:rFonts w:cs="Times New Roman"/>
                <w:sz w:val="21"/>
              </w:rPr>
              <w:t>7、8</w:t>
            </w:r>
          </w:p>
        </w:tc>
        <w:tc>
          <w:tcPr>
            <w:tcW w:w="721" w:type="pct"/>
            <w:vAlign w:val="center"/>
          </w:tcPr>
          <w:p w14:paraId="001B4598">
            <w:pPr>
              <w:spacing w:line="240" w:lineRule="auto"/>
              <w:ind w:firstLine="0" w:firstLineChars="0"/>
              <w:jc w:val="center"/>
              <w:rPr>
                <w:rFonts w:cs="Times New Roman"/>
                <w:sz w:val="21"/>
              </w:rPr>
            </w:pPr>
            <w:r>
              <w:rPr>
                <w:rFonts w:cs="Times New Roman"/>
                <w:sz w:val="21"/>
              </w:rPr>
              <w:t>抚育型</w:t>
            </w:r>
          </w:p>
        </w:tc>
        <w:tc>
          <w:tcPr>
            <w:tcW w:w="1013" w:type="pct"/>
            <w:vAlign w:val="center"/>
          </w:tcPr>
          <w:p w14:paraId="3149833B">
            <w:pPr>
              <w:spacing w:line="240" w:lineRule="auto"/>
              <w:ind w:firstLine="0" w:firstLineChars="0"/>
              <w:jc w:val="center"/>
              <w:rPr>
                <w:rFonts w:cs="Times New Roman"/>
                <w:sz w:val="21"/>
              </w:rPr>
            </w:pPr>
            <w:r>
              <w:rPr>
                <w:rFonts w:cs="Times New Roman"/>
                <w:sz w:val="21"/>
              </w:rPr>
              <w:t>幼中龄组</w:t>
            </w:r>
          </w:p>
        </w:tc>
        <w:tc>
          <w:tcPr>
            <w:tcW w:w="778" w:type="pct"/>
            <w:vAlign w:val="center"/>
          </w:tcPr>
          <w:p w14:paraId="6C3C2BF3">
            <w:pPr>
              <w:spacing w:line="240" w:lineRule="auto"/>
              <w:ind w:firstLine="0" w:firstLineChars="0"/>
              <w:jc w:val="center"/>
              <w:rPr>
                <w:rFonts w:cs="Times New Roman"/>
                <w:sz w:val="21"/>
              </w:rPr>
            </w:pPr>
            <w:r>
              <w:rPr>
                <w:rFonts w:cs="Times New Roman"/>
                <w:sz w:val="21"/>
              </w:rPr>
              <w:t>Ⅱ、Ⅲ、Ⅳ</w:t>
            </w:r>
          </w:p>
        </w:tc>
        <w:tc>
          <w:tcPr>
            <w:tcW w:w="697" w:type="pct"/>
            <w:vAlign w:val="center"/>
          </w:tcPr>
          <w:p w14:paraId="5B6EF65F">
            <w:pPr>
              <w:spacing w:line="240" w:lineRule="auto"/>
              <w:ind w:firstLine="0" w:firstLineChars="0"/>
              <w:jc w:val="center"/>
              <w:rPr>
                <w:rFonts w:hint="eastAsia" w:eastAsia="宋体" w:cs="Times New Roman"/>
                <w:sz w:val="21"/>
                <w:lang w:eastAsia="zh-CN"/>
              </w:rPr>
            </w:pPr>
            <w:r>
              <w:rPr>
                <w:rFonts w:hint="eastAsia" w:cs="Times New Roman"/>
                <w:sz w:val="21"/>
                <w:lang w:val="en-US" w:eastAsia="zh-CN"/>
              </w:rPr>
              <w:t>防护林</w:t>
            </w:r>
          </w:p>
        </w:tc>
        <w:tc>
          <w:tcPr>
            <w:tcW w:w="1098" w:type="pct"/>
            <w:vAlign w:val="center"/>
          </w:tcPr>
          <w:p w14:paraId="4AEE8655">
            <w:pPr>
              <w:spacing w:line="240" w:lineRule="auto"/>
              <w:ind w:firstLine="0" w:firstLineChars="0"/>
              <w:jc w:val="center"/>
              <w:rPr>
                <w:rFonts w:cs="Times New Roman"/>
                <w:sz w:val="21"/>
                <w:lang w:eastAsia="zh-CN"/>
              </w:rPr>
            </w:pPr>
            <w:r>
              <w:rPr>
                <w:rFonts w:cs="Times New Roman"/>
                <w:sz w:val="21"/>
                <w:lang w:eastAsia="zh-CN"/>
              </w:rPr>
              <w:t>抚育间伐，强度不超过20%</w:t>
            </w:r>
          </w:p>
        </w:tc>
      </w:tr>
    </w:tbl>
    <w:p w14:paraId="2A1D9F4C">
      <w:pPr>
        <w:pStyle w:val="7"/>
        <w:ind w:firstLine="480"/>
        <w:rPr>
          <w:rFonts w:cs="Times New Roman"/>
          <w:lang w:eastAsia="zh-CN"/>
        </w:rPr>
      </w:pPr>
    </w:p>
    <w:p w14:paraId="231B12A3">
      <w:pPr>
        <w:ind w:firstLine="480"/>
        <w:rPr>
          <w:rFonts w:cs="Times New Roman"/>
          <w:lang w:eastAsia="zh-CN"/>
        </w:rPr>
        <w:sectPr>
          <w:footerReference r:id="rId31" w:type="default"/>
          <w:pgSz w:w="11905" w:h="16843"/>
          <w:pgMar w:top="1440" w:right="1406" w:bottom="1440" w:left="1803" w:header="873" w:footer="1276" w:gutter="0"/>
          <w:cols w:space="0" w:num="1"/>
          <w:rtlGutter w:val="0"/>
          <w:docGrid w:linePitch="326" w:charSpace="0"/>
        </w:sectPr>
      </w:pPr>
    </w:p>
    <w:p w14:paraId="1CDB6ABC">
      <w:pPr>
        <w:pStyle w:val="2"/>
        <w:spacing w:before="120" w:after="120"/>
        <w:rPr>
          <w:lang w:eastAsia="zh-CN"/>
        </w:rPr>
      </w:pPr>
      <w:bookmarkStart w:id="72" w:name="bookmark42"/>
      <w:bookmarkEnd w:id="72"/>
      <w:bookmarkStart w:id="73" w:name="bookmark40"/>
      <w:bookmarkEnd w:id="73"/>
      <w:bookmarkStart w:id="74" w:name="_Toc26880"/>
      <w:r>
        <w:rPr>
          <w:lang w:eastAsia="zh-CN"/>
        </w:rPr>
        <w:t>第五章</w:t>
      </w:r>
      <w:r>
        <w:rPr>
          <w:rFonts w:hint="eastAsia"/>
          <w:lang w:eastAsia="zh-CN"/>
        </w:rPr>
        <w:t xml:space="preserve"> </w:t>
      </w:r>
      <w:r>
        <w:rPr>
          <w:lang w:eastAsia="zh-CN"/>
        </w:rPr>
        <w:t>森林培育</w:t>
      </w:r>
      <w:bookmarkEnd w:id="74"/>
    </w:p>
    <w:p w14:paraId="289A7DDF">
      <w:pPr>
        <w:pStyle w:val="3"/>
        <w:rPr>
          <w:lang w:eastAsia="zh-CN"/>
        </w:rPr>
      </w:pPr>
      <w:bookmarkStart w:id="75" w:name="_Toc19648"/>
      <w:r>
        <w:rPr>
          <w:lang w:eastAsia="zh-CN"/>
        </w:rPr>
        <w:t>5.1造林</w:t>
      </w:r>
      <w:bookmarkEnd w:id="75"/>
    </w:p>
    <w:p w14:paraId="49DBAA1B">
      <w:pPr>
        <w:ind w:firstLine="480"/>
        <w:rPr>
          <w:lang w:eastAsia="zh-CN"/>
        </w:rPr>
      </w:pPr>
      <w:r>
        <w:rPr>
          <w:lang w:eastAsia="zh-CN"/>
        </w:rPr>
        <w:t>林场本经营期内无采伐迹地，现有4.68</w:t>
      </w:r>
      <w:r>
        <w:rPr>
          <w:rFonts w:hint="eastAsia"/>
          <w:lang w:val="zh-CN" w:eastAsia="zh-CN"/>
        </w:rPr>
        <w:t>hm</w:t>
      </w:r>
      <w:r>
        <w:rPr>
          <w:rFonts w:hint="eastAsia"/>
          <w:vertAlign w:val="superscript"/>
          <w:lang w:val="zh-CN" w:eastAsia="zh-CN"/>
        </w:rPr>
        <w:t>2</w:t>
      </w:r>
      <w:r>
        <w:rPr>
          <w:lang w:eastAsia="zh-CN"/>
        </w:rPr>
        <w:t>无立木林地都海拔高、坡度陡、生态脆弱的无造林价值之地，且低效林的林相改造采用的是补植补造和择伐的方式，所以本经营期内不安排造林任务。</w:t>
      </w:r>
    </w:p>
    <w:p w14:paraId="0B199C56">
      <w:pPr>
        <w:pStyle w:val="3"/>
        <w:rPr>
          <w:lang w:eastAsia="zh-CN"/>
        </w:rPr>
      </w:pPr>
      <w:bookmarkStart w:id="76" w:name="bookmark44"/>
      <w:bookmarkEnd w:id="76"/>
      <w:bookmarkStart w:id="77" w:name="_Toc3785"/>
      <w:r>
        <w:rPr>
          <w:lang w:eastAsia="zh-CN"/>
        </w:rPr>
        <w:t>5.2抚育</w:t>
      </w:r>
      <w:bookmarkEnd w:id="77"/>
    </w:p>
    <w:p w14:paraId="708F5081">
      <w:pPr>
        <w:pStyle w:val="4"/>
      </w:pPr>
      <w:r>
        <w:t>5.2.1主要抚育措施</w:t>
      </w:r>
    </w:p>
    <w:p w14:paraId="451046B8">
      <w:pPr>
        <w:ind w:firstLine="480"/>
        <w:rPr>
          <w:lang w:eastAsia="zh-CN"/>
        </w:rPr>
      </w:pPr>
      <w:r>
        <w:rPr>
          <w:rFonts w:hint="eastAsia"/>
          <w:lang w:eastAsia="zh-CN"/>
        </w:rPr>
        <w:t>(</w:t>
      </w:r>
      <w:r>
        <w:rPr>
          <w:lang w:eastAsia="zh-CN"/>
        </w:rPr>
        <w:t>1</w:t>
      </w:r>
      <w:r>
        <w:rPr>
          <w:rFonts w:hint="eastAsia"/>
          <w:lang w:eastAsia="zh-CN"/>
        </w:rPr>
        <w:t>)</w:t>
      </w:r>
      <w:r>
        <w:rPr>
          <w:lang w:eastAsia="zh-CN"/>
        </w:rPr>
        <w:t>幼林抚育</w:t>
      </w:r>
    </w:p>
    <w:p w14:paraId="1C75E360">
      <w:pPr>
        <w:ind w:firstLine="480"/>
        <w:rPr>
          <w:lang w:eastAsia="zh-CN"/>
        </w:rPr>
      </w:pPr>
      <w:r>
        <w:rPr>
          <w:lang w:eastAsia="zh-CN"/>
        </w:rPr>
        <w:t>幼林抚育规划对象为林场现有需要抚育的未成林造林地、规划的新造林林地</w:t>
      </w:r>
      <w:r>
        <w:rPr>
          <w:rFonts w:hint="eastAsia"/>
          <w:lang w:eastAsia="zh-CN"/>
        </w:rPr>
        <w:t>，以及</w:t>
      </w:r>
      <w:r>
        <w:rPr>
          <w:lang w:eastAsia="zh-CN"/>
        </w:rPr>
        <w:t>幼龄林。幼林抚育是巩固造林成果，提高林木成活率和保存率，促进林木生长，尽早郁闭成林的重要环节，幼林抚育应根据不同的经营类型，选择不同的抚育措施，在造林后1</w:t>
      </w:r>
      <w:r>
        <w:rPr>
          <w:rFonts w:hint="eastAsia"/>
          <w:lang w:eastAsia="zh-CN"/>
        </w:rPr>
        <w:t>～</w:t>
      </w:r>
      <w:r>
        <w:rPr>
          <w:lang w:eastAsia="zh-CN"/>
        </w:rPr>
        <w:t>3年内</w:t>
      </w:r>
      <w:r>
        <w:rPr>
          <w:rFonts w:hint="eastAsia"/>
          <w:lang w:eastAsia="zh-CN"/>
        </w:rPr>
        <w:t>(</w:t>
      </w:r>
      <w:r>
        <w:rPr>
          <w:lang w:eastAsia="zh-CN"/>
        </w:rPr>
        <w:t>即包括造林当年</w:t>
      </w:r>
      <w:r>
        <w:rPr>
          <w:rFonts w:hint="eastAsia"/>
          <w:lang w:eastAsia="zh-CN"/>
        </w:rPr>
        <w:t>)</w:t>
      </w:r>
      <w:r>
        <w:rPr>
          <w:lang w:eastAsia="zh-CN"/>
        </w:rPr>
        <w:t>，采取锄抚或刀抚方式，结合施肥，对幼林适时进行劈灌、锄草、松土、除萌、培土、施肥等抚育措施。</w:t>
      </w:r>
    </w:p>
    <w:p w14:paraId="71A0AE3E">
      <w:pPr>
        <w:ind w:firstLine="480"/>
        <w:rPr>
          <w:lang w:eastAsia="zh-CN"/>
        </w:rPr>
      </w:pPr>
      <w:r>
        <w:rPr>
          <w:lang w:eastAsia="zh-CN"/>
        </w:rPr>
        <w:t>抚育作业一般是，在1</w:t>
      </w:r>
      <w:r>
        <w:rPr>
          <w:rFonts w:hint="eastAsia"/>
          <w:lang w:eastAsia="zh-CN"/>
        </w:rPr>
        <w:t>～</w:t>
      </w:r>
      <w:r>
        <w:rPr>
          <w:lang w:eastAsia="zh-CN"/>
        </w:rPr>
        <w:t>3年每年进行两次抚育，5-6月进行一次锄抚，8-9月进行一次刀抚。连抚3年后视林木生长情况，确定后期的抚育措施；在必要时，可在4</w:t>
      </w:r>
      <w:r>
        <w:rPr>
          <w:rFonts w:hint="eastAsia"/>
          <w:lang w:eastAsia="zh-CN"/>
        </w:rPr>
        <w:t>～</w:t>
      </w:r>
      <w:r>
        <w:rPr>
          <w:lang w:eastAsia="zh-CN"/>
        </w:rPr>
        <w:t>5年每年进行一次刀抚。</w:t>
      </w:r>
    </w:p>
    <w:p w14:paraId="3C496E98">
      <w:pPr>
        <w:ind w:firstLine="480"/>
        <w:rPr>
          <w:lang w:eastAsia="zh-CN"/>
        </w:rPr>
      </w:pPr>
      <w:r>
        <w:rPr>
          <w:lang w:eastAsia="zh-CN"/>
        </w:rPr>
        <w:t>施肥以氮肥为主，适当配施磷肥，对幼树生长很有利，为了增加幼树的吸收率，也可间种绿肥，定期进行埋菁，增加林地有机质和养分。</w:t>
      </w:r>
    </w:p>
    <w:p w14:paraId="6824909D">
      <w:pPr>
        <w:ind w:firstLine="480"/>
        <w:rPr>
          <w:lang w:eastAsia="zh-CN"/>
        </w:rPr>
      </w:pPr>
      <w:r>
        <w:rPr>
          <w:lang w:eastAsia="zh-CN"/>
        </w:rPr>
        <w:t>对于栽植后易发生萌条的杉木，要及时除蘖，确保通直良材的生长。对经济林树种要进行合理修剪，促使冠形优良化，提高产量。</w:t>
      </w:r>
    </w:p>
    <w:p w14:paraId="5DCCB73E">
      <w:pPr>
        <w:ind w:firstLine="480"/>
        <w:rPr>
          <w:lang w:eastAsia="zh-CN"/>
        </w:rPr>
      </w:pPr>
      <w:r>
        <w:rPr>
          <w:lang w:eastAsia="zh-CN"/>
        </w:rPr>
        <w:t>要采取有效措施进行防火，防治病虫害，防止鼠、鸟、牲畜及人为破坏。</w:t>
      </w:r>
    </w:p>
    <w:p w14:paraId="119EA80F">
      <w:pPr>
        <w:ind w:firstLine="480"/>
        <w:rPr>
          <w:lang w:eastAsia="zh-CN"/>
        </w:rPr>
      </w:pPr>
      <w:r>
        <w:rPr>
          <w:lang w:eastAsia="zh-CN"/>
        </w:rPr>
        <w:t>幼林抚育应尽可能避开雨季，以免造成水土流失。严禁打枝，保护好林下植被和枯枝落叶，促进林地凋落物的积累和生物循环以及森林群落的形成，以达到保持和改良土壤，提高土壤肥力，发挥森林多种功能。</w:t>
      </w:r>
    </w:p>
    <w:p w14:paraId="0EA1F575">
      <w:pPr>
        <w:ind w:firstLine="480"/>
        <w:rPr>
          <w:lang w:eastAsia="zh-CN"/>
        </w:rPr>
      </w:pPr>
      <w:r>
        <w:rPr>
          <w:lang w:eastAsia="zh-CN"/>
        </w:rPr>
        <w:t>具体抚育方法，要参照“造林类型表”的规定。</w:t>
      </w:r>
    </w:p>
    <w:p w14:paraId="76525135">
      <w:pPr>
        <w:ind w:firstLine="480"/>
        <w:rPr>
          <w:lang w:eastAsia="zh-CN"/>
        </w:rPr>
      </w:pPr>
      <w:r>
        <w:rPr>
          <w:rFonts w:hint="eastAsia"/>
          <w:lang w:eastAsia="zh-CN"/>
        </w:rPr>
        <w:t>(</w:t>
      </w:r>
      <w:r>
        <w:rPr>
          <w:lang w:eastAsia="zh-CN"/>
        </w:rPr>
        <w:t>2</w:t>
      </w:r>
      <w:r>
        <w:rPr>
          <w:rFonts w:hint="eastAsia"/>
          <w:lang w:eastAsia="zh-CN"/>
        </w:rPr>
        <w:t>)</w:t>
      </w:r>
      <w:r>
        <w:rPr>
          <w:lang w:eastAsia="zh-CN"/>
        </w:rPr>
        <w:t>抚育采伐</w:t>
      </w:r>
    </w:p>
    <w:p w14:paraId="4F0257F0">
      <w:pPr>
        <w:ind w:firstLine="480"/>
        <w:rPr>
          <w:lang w:eastAsia="zh-CN"/>
        </w:rPr>
      </w:pPr>
      <w:r>
        <w:rPr>
          <w:lang w:eastAsia="zh-CN"/>
        </w:rPr>
        <w:t>为了提高森林质量和经营效益，从幼林郁闭开始到森林成熟主伐前，整个生长过程需采取抚育采伐措施，以改善林内卫生状况、调整林分组成、促进林木生长、提高林分质量和单位蓄积量，达到速生、丰产、优质的目的。</w:t>
      </w:r>
    </w:p>
    <w:p w14:paraId="27F46B6E">
      <w:pPr>
        <w:ind w:firstLine="480"/>
        <w:rPr>
          <w:lang w:eastAsia="zh-CN"/>
        </w:rPr>
      </w:pPr>
      <w:r>
        <w:rPr>
          <w:lang w:eastAsia="zh-CN"/>
        </w:rPr>
        <w:t>抚育间伐应坚持“以抚为主，抚育利用相结合”、“去劣留优、去小留大、去密留稀、保留均匀”的原则。间伐后人工林郁闭度不得低于0.6，林分平均胸径不得低于伐前林分平均胸径。中幼龄林抚育以形成稳定、健康、丰富多样的森林群落结构、提高森林质量、林地生产力和综合效益为原则。</w:t>
      </w:r>
    </w:p>
    <w:p w14:paraId="66CA1B3F">
      <w:pPr>
        <w:ind w:firstLine="480"/>
        <w:rPr>
          <w:lang w:eastAsia="zh-CN"/>
        </w:rPr>
      </w:pPr>
      <w:r>
        <w:rPr>
          <w:lang w:eastAsia="zh-CN"/>
        </w:rPr>
        <w:t>抚育间伐，主要对象是：</w:t>
      </w:r>
    </w:p>
    <w:p w14:paraId="72843A3E">
      <w:pPr>
        <w:ind w:firstLine="480"/>
        <w:rPr>
          <w:lang w:eastAsia="zh-CN"/>
        </w:rPr>
      </w:pPr>
      <w:r>
        <w:rPr>
          <w:rFonts w:hint="eastAsia" w:cs="宋体"/>
          <w:lang w:eastAsia="zh-CN"/>
        </w:rPr>
        <w:t>①</w:t>
      </w:r>
      <w:r>
        <w:rPr>
          <w:lang w:eastAsia="zh-CN"/>
        </w:rPr>
        <w:t>幼林郁闭后，林木内部出现竞争或林内目标树的培育，一般造林7年可以进行透光伐；</w:t>
      </w:r>
    </w:p>
    <w:p w14:paraId="55BB4E1D">
      <w:pPr>
        <w:ind w:firstLine="480"/>
        <w:rPr>
          <w:lang w:eastAsia="zh-CN"/>
        </w:rPr>
      </w:pPr>
      <w:r>
        <w:rPr>
          <w:rFonts w:hint="eastAsia" w:cs="宋体"/>
          <w:lang w:eastAsia="zh-CN"/>
        </w:rPr>
        <w:t>②</w:t>
      </w:r>
      <w:r>
        <w:rPr>
          <w:lang w:eastAsia="zh-CN"/>
        </w:rPr>
        <w:t>中龄林郁闭度大于0.8，林分出现自然整枝或分化明显，进行疏伐；</w:t>
      </w:r>
    </w:p>
    <w:p w14:paraId="0DB09677">
      <w:pPr>
        <w:ind w:firstLine="480"/>
        <w:rPr>
          <w:lang w:eastAsia="zh-CN"/>
        </w:rPr>
      </w:pPr>
      <w:r>
        <w:rPr>
          <w:rFonts w:hint="eastAsia" w:cs="宋体"/>
          <w:lang w:eastAsia="zh-CN"/>
        </w:rPr>
        <w:t>③</w:t>
      </w:r>
      <w:r>
        <w:rPr>
          <w:lang w:eastAsia="zh-CN"/>
        </w:rPr>
        <w:t>遭受轻微的自然灾害林分，进行抚育间伐。</w:t>
      </w:r>
    </w:p>
    <w:p w14:paraId="4A89043C">
      <w:pPr>
        <w:ind w:firstLine="480"/>
        <w:rPr>
          <w:lang w:eastAsia="zh-CN"/>
        </w:rPr>
      </w:pPr>
      <w:r>
        <w:rPr>
          <w:rFonts w:hint="eastAsia" w:cs="宋体"/>
          <w:lang w:eastAsia="zh-CN"/>
        </w:rPr>
        <w:t>本经营期规划为幼林抚育，不开展抚育间伐。</w:t>
      </w:r>
    </w:p>
    <w:p w14:paraId="057443B3">
      <w:pPr>
        <w:pStyle w:val="4"/>
      </w:pPr>
      <w:r>
        <w:t>5.2.2森林抚育任务安排</w:t>
      </w:r>
    </w:p>
    <w:p w14:paraId="79EB7C47">
      <w:pPr>
        <w:ind w:firstLine="480"/>
        <w:rPr>
          <w:lang w:eastAsia="zh-CN"/>
        </w:rPr>
      </w:pPr>
      <w:r>
        <w:rPr>
          <w:lang w:eastAsia="zh-CN"/>
        </w:rPr>
        <w:t>根据林场调查数据，确定经理期内幼林抚育面积为</w:t>
      </w:r>
      <w:r>
        <w:rPr>
          <w:rFonts w:hint="eastAsia"/>
          <w:lang w:eastAsia="zh-CN"/>
        </w:rPr>
        <w:t>142.61</w:t>
      </w:r>
      <w:r>
        <w:rPr>
          <w:lang w:eastAsia="zh-CN"/>
        </w:rPr>
        <w:t>hm2，其中：前期</w:t>
      </w:r>
      <w:r>
        <w:rPr>
          <w:rFonts w:hint="eastAsia"/>
          <w:lang w:val="en-US" w:eastAsia="zh-CN"/>
        </w:rPr>
        <w:t>42.61</w:t>
      </w:r>
      <w:r>
        <w:rPr>
          <w:lang w:eastAsia="zh-CN"/>
        </w:rPr>
        <w:t>hm2，后期</w:t>
      </w:r>
      <w:r>
        <w:rPr>
          <w:rFonts w:hint="eastAsia"/>
          <w:lang w:eastAsia="zh-CN"/>
        </w:rPr>
        <w:t>100</w:t>
      </w:r>
      <w:r>
        <w:rPr>
          <w:lang w:eastAsia="zh-CN"/>
        </w:rPr>
        <w:t>hm2，主要安排在坦里源分场、南北冲分场和黄土江分场，具体见表5-3和表5-4。</w:t>
      </w:r>
    </w:p>
    <w:p w14:paraId="6A49D84A">
      <w:pPr>
        <w:spacing w:line="240" w:lineRule="auto"/>
        <w:ind w:firstLine="0" w:firstLineChars="0"/>
        <w:jc w:val="center"/>
        <w:rPr>
          <w:rFonts w:eastAsia="黑体" w:cs="Times New Roman"/>
          <w:b/>
          <w:bCs/>
          <w:szCs w:val="24"/>
          <w:lang w:eastAsia="zh-CN"/>
        </w:rPr>
      </w:pPr>
      <w:r>
        <w:rPr>
          <w:rFonts w:eastAsia="黑体" w:cs="Times New Roman"/>
          <w:b/>
          <w:bCs/>
          <w:szCs w:val="24"/>
          <w:lang w:eastAsia="zh-CN"/>
        </w:rPr>
        <w:t>表5-3林场森林抚育规划小班一览表</w:t>
      </w:r>
      <w:r>
        <w:rPr>
          <w:rFonts w:hint="eastAsia" w:eastAsia="黑体" w:cs="Times New Roman"/>
          <w:b/>
          <w:bCs/>
          <w:szCs w:val="24"/>
          <w:lang w:eastAsia="zh-CN"/>
        </w:rPr>
        <w:t>(</w:t>
      </w:r>
      <w:r>
        <w:rPr>
          <w:rFonts w:eastAsia="黑体" w:cs="Times New Roman"/>
          <w:b/>
          <w:bCs/>
          <w:szCs w:val="24"/>
          <w:lang w:eastAsia="zh-CN"/>
        </w:rPr>
        <w:t>2024-2028年</w:t>
      </w:r>
      <w:r>
        <w:rPr>
          <w:rFonts w:hint="eastAsia" w:eastAsia="黑体" w:cs="Times New Roman"/>
          <w:b/>
          <w:bCs/>
          <w:szCs w:val="24"/>
          <w:lang w:eastAsia="zh-CN"/>
        </w:rPr>
        <w:t>)</w:t>
      </w:r>
    </w:p>
    <w:tbl>
      <w:tblPr>
        <w:tblStyle w:val="17"/>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14"/>
        <w:gridCol w:w="1114"/>
        <w:gridCol w:w="1114"/>
        <w:gridCol w:w="1114"/>
        <w:gridCol w:w="1114"/>
        <w:gridCol w:w="1114"/>
        <w:gridCol w:w="1114"/>
        <w:gridCol w:w="1114"/>
      </w:tblGrid>
      <w:tr w14:paraId="21A6A3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481FFCD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分场</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715E9DC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小班号</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024FD30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面积(hm</w:t>
            </w:r>
            <w:r>
              <w:rPr>
                <w:rFonts w:hint="default" w:ascii="Times New Roman" w:hAnsi="Times New Roman" w:eastAsia="宋体" w:cs="Times New Roman"/>
                <w:i w:val="0"/>
                <w:iCs w:val="0"/>
                <w:snapToGrid w:val="0"/>
                <w:color w:val="000000"/>
                <w:kern w:val="0"/>
                <w:sz w:val="21"/>
                <w:szCs w:val="21"/>
                <w:u w:val="none"/>
                <w:vertAlign w:val="superscript"/>
                <w:lang w:val="en-US" w:eastAsia="zh-CN" w:bidi="ar"/>
              </w:rPr>
              <w:t>2</w:t>
            </w:r>
            <w:r>
              <w:rPr>
                <w:rFonts w:hint="default" w:ascii="Times New Roman" w:hAnsi="Times New Roman" w:eastAsia="宋体" w:cs="Times New Roman"/>
                <w:i w:val="0"/>
                <w:iCs w:val="0"/>
                <w:snapToGrid w:val="0"/>
                <w:color w:val="000000"/>
                <w:kern w:val="0"/>
                <w:sz w:val="21"/>
                <w:szCs w:val="21"/>
                <w:u w:val="none"/>
                <w:lang w:val="en-US" w:eastAsia="zh-CN" w:bidi="ar"/>
              </w:rPr>
              <w:t>)</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2394720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地类</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6E63644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优势树种</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7FDF9DD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龄组</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7EB3BF2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措施</w:t>
            </w:r>
          </w:p>
        </w:tc>
        <w:tc>
          <w:tcPr>
            <w:tcW w:w="62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BC0E52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年度</w:t>
            </w:r>
          </w:p>
        </w:tc>
      </w:tr>
      <w:tr w14:paraId="798C2C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048E201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合计</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7D2E1748">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4F5DCEC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42.61</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07D146EB">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3E165262">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4CBC7C4F">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16957E1C">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638847BD">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r>
      <w:tr w14:paraId="29B59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7DDFC48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阳明山村</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4C82350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01184</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63848B1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2.61</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29B5217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乔木林地</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43965B3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杉木</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4CA6973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幼龄林</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05B6388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透光伐</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1D909CF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2025</w:t>
            </w:r>
          </w:p>
        </w:tc>
      </w:tr>
      <w:tr w14:paraId="1EDA3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344644D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阳明山村</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3E5C72D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01208</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4405B8D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2.18</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446F0C3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乔木林地</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6B2B89F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杉木</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2287D4D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幼龄林</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37DAD84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透光伐</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08BE7A3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2025</w:t>
            </w:r>
          </w:p>
        </w:tc>
      </w:tr>
      <w:tr w14:paraId="7F4BC1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37D5BD4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阳明山村</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2884674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00006</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3971D11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3.88</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0660E7B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乔木林地</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18939DC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杉木</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7849311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幼龄林</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101F751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透光伐</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094FE62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2025</w:t>
            </w:r>
          </w:p>
        </w:tc>
      </w:tr>
      <w:tr w14:paraId="7C03B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7021321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阳明山村</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41EFCEC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01170</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51B4AD7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1.33</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7D3F510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乔木林地</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68841A0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杉木</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3947B97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幼龄林</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369F08D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透光伐</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3C210C9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2025</w:t>
            </w:r>
          </w:p>
        </w:tc>
      </w:tr>
      <w:tr w14:paraId="3CDB8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206E903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阳明山村</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6827926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01305</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354CCB8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32.60</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22385AF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乔木林地</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513FD88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杉木</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134766B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幼龄林</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6904E1C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透光伐</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37E3F51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2025</w:t>
            </w:r>
          </w:p>
        </w:tc>
      </w:tr>
    </w:tbl>
    <w:p w14:paraId="69A22B08">
      <w:pPr>
        <w:spacing w:before="91" w:line="240" w:lineRule="auto"/>
        <w:ind w:firstLine="0" w:firstLineChars="0"/>
        <w:jc w:val="center"/>
        <w:rPr>
          <w:rFonts w:eastAsia="黑体" w:cs="Times New Roman"/>
          <w:b/>
          <w:bCs/>
          <w:szCs w:val="24"/>
          <w:lang w:eastAsia="zh-CN"/>
        </w:rPr>
      </w:pPr>
    </w:p>
    <w:p w14:paraId="5A2C4C8A">
      <w:pPr>
        <w:spacing w:before="91" w:line="240" w:lineRule="auto"/>
        <w:ind w:firstLine="0" w:firstLineChars="0"/>
        <w:jc w:val="center"/>
        <w:rPr>
          <w:rFonts w:eastAsia="黑体" w:cs="Times New Roman"/>
          <w:b/>
          <w:bCs/>
          <w:szCs w:val="24"/>
          <w:lang w:eastAsia="zh-CN"/>
        </w:rPr>
      </w:pPr>
      <w:r>
        <w:rPr>
          <w:rFonts w:eastAsia="黑体" w:cs="Times New Roman"/>
          <w:b/>
          <w:bCs/>
          <w:szCs w:val="24"/>
          <w:lang w:eastAsia="zh-CN"/>
        </w:rPr>
        <w:t>表5-4双牌县阳明山国有林场森林抚育规划面积统计表</w:t>
      </w:r>
    </w:p>
    <w:p w14:paraId="708120E6">
      <w:pPr>
        <w:spacing w:line="240" w:lineRule="auto"/>
        <w:ind w:firstLine="0" w:firstLineChars="0"/>
        <w:jc w:val="right"/>
        <w:rPr>
          <w:rFonts w:cs="Times New Roman"/>
          <w:sz w:val="21"/>
          <w:lang w:eastAsia="zh-CN"/>
        </w:rPr>
      </w:pPr>
      <w:r>
        <w:rPr>
          <w:rFonts w:cs="Times New Roman"/>
          <w:sz w:val="21"/>
        </w:rPr>
        <w:t>单位：</w:t>
      </w:r>
      <w:r>
        <w:rPr>
          <w:rFonts w:cs="Times New Roman"/>
          <w:sz w:val="21"/>
          <w:lang w:eastAsia="zh-CN"/>
        </w:rPr>
        <w:t>hm</w:t>
      </w:r>
      <w:r>
        <w:rPr>
          <w:rFonts w:cs="Times New Roman"/>
          <w:sz w:val="21"/>
          <w:vertAlign w:val="superscript"/>
          <w:lang w:eastAsia="zh-CN"/>
        </w:rPr>
        <w:t>2</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752"/>
        <w:gridCol w:w="850"/>
        <w:gridCol w:w="850"/>
        <w:gridCol w:w="850"/>
        <w:gridCol w:w="991"/>
        <w:gridCol w:w="850"/>
        <w:gridCol w:w="1096"/>
        <w:gridCol w:w="1105"/>
        <w:gridCol w:w="794"/>
      </w:tblGrid>
      <w:tr w14:paraId="08244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4" w:type="pct"/>
            <w:shd w:val="clear" w:color="auto" w:fill="auto"/>
            <w:vAlign w:val="center"/>
          </w:tcPr>
          <w:p w14:paraId="24D7FE6F">
            <w:pPr>
              <w:spacing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bidi="ar"/>
              </w:rPr>
              <w:t>分场</w:t>
            </w:r>
          </w:p>
        </w:tc>
        <w:tc>
          <w:tcPr>
            <w:tcW w:w="421" w:type="pct"/>
            <w:shd w:val="clear" w:color="auto" w:fill="auto"/>
            <w:vAlign w:val="center"/>
          </w:tcPr>
          <w:p w14:paraId="0D48AAF0">
            <w:pPr>
              <w:spacing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bidi="ar"/>
              </w:rPr>
              <w:t>抚育措施</w:t>
            </w:r>
          </w:p>
        </w:tc>
        <w:tc>
          <w:tcPr>
            <w:tcW w:w="476" w:type="pct"/>
            <w:shd w:val="clear" w:color="auto" w:fill="auto"/>
            <w:vAlign w:val="center"/>
          </w:tcPr>
          <w:p w14:paraId="37D27F06">
            <w:pPr>
              <w:spacing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bidi="ar"/>
              </w:rPr>
              <w:t>2024年</w:t>
            </w:r>
          </w:p>
        </w:tc>
        <w:tc>
          <w:tcPr>
            <w:tcW w:w="476" w:type="pct"/>
            <w:shd w:val="clear" w:color="auto" w:fill="auto"/>
            <w:vAlign w:val="center"/>
          </w:tcPr>
          <w:p w14:paraId="215FC7BF">
            <w:pPr>
              <w:spacing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bidi="ar"/>
              </w:rPr>
              <w:t>2025年</w:t>
            </w:r>
          </w:p>
        </w:tc>
        <w:tc>
          <w:tcPr>
            <w:tcW w:w="476" w:type="pct"/>
            <w:shd w:val="clear" w:color="auto" w:fill="auto"/>
            <w:vAlign w:val="center"/>
          </w:tcPr>
          <w:p w14:paraId="727EB78F">
            <w:pPr>
              <w:spacing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bidi="ar"/>
              </w:rPr>
              <w:t>2026年</w:t>
            </w:r>
          </w:p>
        </w:tc>
        <w:tc>
          <w:tcPr>
            <w:tcW w:w="555" w:type="pct"/>
            <w:shd w:val="clear" w:color="auto" w:fill="auto"/>
            <w:vAlign w:val="center"/>
          </w:tcPr>
          <w:p w14:paraId="0254EC9A">
            <w:pPr>
              <w:spacing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bidi="ar"/>
              </w:rPr>
              <w:t>2027年</w:t>
            </w:r>
          </w:p>
        </w:tc>
        <w:tc>
          <w:tcPr>
            <w:tcW w:w="476" w:type="pct"/>
            <w:shd w:val="clear" w:color="auto" w:fill="auto"/>
            <w:vAlign w:val="center"/>
          </w:tcPr>
          <w:p w14:paraId="0F0588F8">
            <w:pPr>
              <w:spacing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bidi="ar"/>
              </w:rPr>
              <w:t>2028年</w:t>
            </w:r>
          </w:p>
        </w:tc>
        <w:tc>
          <w:tcPr>
            <w:tcW w:w="614" w:type="pct"/>
            <w:shd w:val="clear" w:color="auto" w:fill="auto"/>
            <w:vAlign w:val="center"/>
          </w:tcPr>
          <w:p w14:paraId="62644E56">
            <w:pPr>
              <w:spacing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bidi="ar"/>
              </w:rPr>
              <w:t>前期小计</w:t>
            </w:r>
          </w:p>
        </w:tc>
        <w:tc>
          <w:tcPr>
            <w:tcW w:w="619" w:type="pct"/>
            <w:shd w:val="clear" w:color="auto" w:fill="auto"/>
            <w:vAlign w:val="center"/>
          </w:tcPr>
          <w:p w14:paraId="3D1E2B95">
            <w:pPr>
              <w:spacing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bidi="ar"/>
              </w:rPr>
              <w:t>后期小计</w:t>
            </w:r>
          </w:p>
        </w:tc>
        <w:tc>
          <w:tcPr>
            <w:tcW w:w="445" w:type="pct"/>
            <w:shd w:val="clear" w:color="auto" w:fill="auto"/>
            <w:vAlign w:val="center"/>
          </w:tcPr>
          <w:p w14:paraId="497AD403">
            <w:pPr>
              <w:spacing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bidi="ar"/>
              </w:rPr>
              <w:t>合计</w:t>
            </w:r>
          </w:p>
        </w:tc>
      </w:tr>
      <w:tr w14:paraId="04E4A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4" w:type="pct"/>
            <w:shd w:val="clear" w:color="auto" w:fill="auto"/>
            <w:vAlign w:val="center"/>
          </w:tcPr>
          <w:p w14:paraId="73757550">
            <w:pPr>
              <w:spacing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bidi="ar"/>
              </w:rPr>
              <w:t>阳明山村</w:t>
            </w:r>
          </w:p>
        </w:tc>
        <w:tc>
          <w:tcPr>
            <w:tcW w:w="421" w:type="pct"/>
            <w:shd w:val="clear" w:color="auto" w:fill="auto"/>
            <w:vAlign w:val="center"/>
          </w:tcPr>
          <w:p w14:paraId="7C226F80">
            <w:pPr>
              <w:spacing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bidi="ar"/>
              </w:rPr>
              <w:t>幼林抚育</w:t>
            </w:r>
          </w:p>
        </w:tc>
        <w:tc>
          <w:tcPr>
            <w:tcW w:w="476" w:type="pct"/>
            <w:shd w:val="clear" w:color="auto" w:fill="auto"/>
            <w:vAlign w:val="center"/>
          </w:tcPr>
          <w:p w14:paraId="501C8200">
            <w:pPr>
              <w:spacing w:line="240" w:lineRule="auto"/>
              <w:ind w:firstLine="0" w:firstLineChars="0"/>
              <w:jc w:val="center"/>
              <w:textAlignment w:val="center"/>
              <w:rPr>
                <w:rFonts w:hint="default" w:ascii="Times New Roman" w:hAnsi="Times New Roman" w:eastAsia="宋体" w:cs="Times New Roman"/>
                <w:sz w:val="21"/>
                <w:szCs w:val="21"/>
              </w:rPr>
            </w:pPr>
          </w:p>
        </w:tc>
        <w:tc>
          <w:tcPr>
            <w:tcW w:w="476" w:type="pct"/>
            <w:shd w:val="clear" w:color="auto" w:fill="auto"/>
            <w:vAlign w:val="center"/>
          </w:tcPr>
          <w:p w14:paraId="70B4279E">
            <w:pPr>
              <w:spacing w:line="240" w:lineRule="auto"/>
              <w:ind w:firstLine="0" w:firstLineChars="0"/>
              <w:jc w:val="center"/>
              <w:textAlignment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bidi="ar"/>
              </w:rPr>
              <w:t>42.61</w:t>
            </w:r>
          </w:p>
        </w:tc>
        <w:tc>
          <w:tcPr>
            <w:tcW w:w="476" w:type="pct"/>
            <w:shd w:val="clear" w:color="auto" w:fill="auto"/>
            <w:vAlign w:val="center"/>
          </w:tcPr>
          <w:p w14:paraId="4A60CEA3">
            <w:pPr>
              <w:spacing w:line="240" w:lineRule="auto"/>
              <w:ind w:firstLine="0" w:firstLineChars="0"/>
              <w:jc w:val="center"/>
              <w:textAlignment w:val="center"/>
              <w:rPr>
                <w:rFonts w:hint="default" w:ascii="Times New Roman" w:hAnsi="Times New Roman" w:eastAsia="宋体" w:cs="Times New Roman"/>
                <w:sz w:val="21"/>
                <w:szCs w:val="21"/>
              </w:rPr>
            </w:pPr>
          </w:p>
        </w:tc>
        <w:tc>
          <w:tcPr>
            <w:tcW w:w="555" w:type="pct"/>
            <w:shd w:val="clear" w:color="auto" w:fill="auto"/>
            <w:vAlign w:val="center"/>
          </w:tcPr>
          <w:p w14:paraId="7EE40EF7">
            <w:pPr>
              <w:spacing w:line="240" w:lineRule="auto"/>
              <w:ind w:firstLine="0" w:firstLineChars="0"/>
              <w:jc w:val="center"/>
              <w:textAlignment w:val="center"/>
              <w:rPr>
                <w:rFonts w:hint="default" w:ascii="Times New Roman" w:hAnsi="Times New Roman" w:eastAsia="宋体" w:cs="Times New Roman"/>
                <w:sz w:val="21"/>
                <w:szCs w:val="21"/>
              </w:rPr>
            </w:pPr>
          </w:p>
        </w:tc>
        <w:tc>
          <w:tcPr>
            <w:tcW w:w="476" w:type="pct"/>
            <w:shd w:val="clear" w:color="auto" w:fill="auto"/>
            <w:vAlign w:val="center"/>
          </w:tcPr>
          <w:p w14:paraId="0E1F0C13">
            <w:pPr>
              <w:spacing w:line="240" w:lineRule="auto"/>
              <w:ind w:firstLine="0" w:firstLineChars="0"/>
              <w:jc w:val="center"/>
              <w:textAlignment w:val="center"/>
              <w:rPr>
                <w:rFonts w:hint="default" w:ascii="Times New Roman" w:hAnsi="Times New Roman" w:eastAsia="宋体" w:cs="Times New Roman"/>
                <w:sz w:val="21"/>
                <w:szCs w:val="21"/>
              </w:rPr>
            </w:pPr>
          </w:p>
        </w:tc>
        <w:tc>
          <w:tcPr>
            <w:tcW w:w="614" w:type="pct"/>
            <w:shd w:val="clear" w:color="auto" w:fill="auto"/>
            <w:vAlign w:val="center"/>
          </w:tcPr>
          <w:p w14:paraId="581EEF92">
            <w:pPr>
              <w:spacing w:line="240" w:lineRule="auto"/>
              <w:ind w:firstLine="0" w:firstLineChars="0"/>
              <w:jc w:val="center"/>
              <w:textAlignment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bidi="ar"/>
              </w:rPr>
              <w:t>42.61</w:t>
            </w:r>
          </w:p>
        </w:tc>
        <w:tc>
          <w:tcPr>
            <w:tcW w:w="619" w:type="pct"/>
            <w:shd w:val="clear" w:color="auto" w:fill="auto"/>
            <w:vAlign w:val="center"/>
          </w:tcPr>
          <w:p w14:paraId="35D9967F">
            <w:pPr>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100</w:t>
            </w:r>
          </w:p>
        </w:tc>
        <w:tc>
          <w:tcPr>
            <w:tcW w:w="445" w:type="pct"/>
            <w:shd w:val="clear" w:color="auto" w:fill="auto"/>
            <w:vAlign w:val="center"/>
          </w:tcPr>
          <w:p w14:paraId="776F5389">
            <w:pPr>
              <w:spacing w:line="240" w:lineRule="auto"/>
              <w:ind w:firstLine="0" w:firstLineChars="0"/>
              <w:jc w:val="center"/>
              <w:textAlignment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bidi="ar"/>
              </w:rPr>
              <w:t>142.61</w:t>
            </w:r>
          </w:p>
        </w:tc>
      </w:tr>
      <w:tr w14:paraId="1FE3D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4" w:type="pct"/>
            <w:shd w:val="clear" w:color="auto" w:fill="auto"/>
            <w:vAlign w:val="center"/>
          </w:tcPr>
          <w:p w14:paraId="354913FA">
            <w:pPr>
              <w:spacing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bidi="ar"/>
              </w:rPr>
              <w:t>总计</w:t>
            </w:r>
          </w:p>
        </w:tc>
        <w:tc>
          <w:tcPr>
            <w:tcW w:w="421" w:type="pct"/>
            <w:shd w:val="clear" w:color="auto" w:fill="auto"/>
            <w:vAlign w:val="center"/>
          </w:tcPr>
          <w:p w14:paraId="4F903809">
            <w:pPr>
              <w:spacing w:line="240" w:lineRule="auto"/>
              <w:ind w:firstLine="0" w:firstLineChars="0"/>
              <w:jc w:val="center"/>
              <w:textAlignment w:val="center"/>
              <w:rPr>
                <w:rFonts w:hint="default" w:ascii="Times New Roman" w:hAnsi="Times New Roman" w:eastAsia="宋体" w:cs="Times New Roman"/>
                <w:sz w:val="21"/>
                <w:szCs w:val="21"/>
              </w:rPr>
            </w:pPr>
          </w:p>
        </w:tc>
        <w:tc>
          <w:tcPr>
            <w:tcW w:w="476" w:type="pct"/>
            <w:shd w:val="clear" w:color="auto" w:fill="auto"/>
            <w:vAlign w:val="center"/>
          </w:tcPr>
          <w:p w14:paraId="6AC27F6B">
            <w:pPr>
              <w:spacing w:line="240" w:lineRule="auto"/>
              <w:ind w:firstLine="0" w:firstLineChars="0"/>
              <w:jc w:val="center"/>
              <w:textAlignment w:val="center"/>
              <w:rPr>
                <w:rFonts w:hint="default" w:ascii="Times New Roman" w:hAnsi="Times New Roman" w:eastAsia="宋体" w:cs="Times New Roman"/>
                <w:sz w:val="21"/>
                <w:szCs w:val="21"/>
              </w:rPr>
            </w:pPr>
          </w:p>
        </w:tc>
        <w:tc>
          <w:tcPr>
            <w:tcW w:w="476" w:type="pct"/>
            <w:shd w:val="clear" w:color="auto" w:fill="auto"/>
            <w:vAlign w:val="center"/>
          </w:tcPr>
          <w:p w14:paraId="429F1705">
            <w:pPr>
              <w:spacing w:line="240" w:lineRule="auto"/>
              <w:ind w:firstLine="0" w:firstLineChars="0"/>
              <w:jc w:val="center"/>
              <w:textAlignment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bidi="ar"/>
              </w:rPr>
              <w:t>42.61</w:t>
            </w:r>
          </w:p>
        </w:tc>
        <w:tc>
          <w:tcPr>
            <w:tcW w:w="476" w:type="pct"/>
            <w:shd w:val="clear" w:color="auto" w:fill="auto"/>
            <w:vAlign w:val="center"/>
          </w:tcPr>
          <w:p w14:paraId="6C42EAEA">
            <w:pPr>
              <w:spacing w:line="240" w:lineRule="auto"/>
              <w:ind w:firstLine="0" w:firstLineChars="0"/>
              <w:jc w:val="center"/>
              <w:textAlignment w:val="center"/>
              <w:rPr>
                <w:rFonts w:hint="default" w:ascii="Times New Roman" w:hAnsi="Times New Roman" w:eastAsia="宋体" w:cs="Times New Roman"/>
                <w:sz w:val="21"/>
                <w:szCs w:val="21"/>
              </w:rPr>
            </w:pPr>
          </w:p>
        </w:tc>
        <w:tc>
          <w:tcPr>
            <w:tcW w:w="555" w:type="pct"/>
            <w:shd w:val="clear" w:color="auto" w:fill="auto"/>
            <w:vAlign w:val="center"/>
          </w:tcPr>
          <w:p w14:paraId="5E3AF384">
            <w:pPr>
              <w:spacing w:line="240" w:lineRule="auto"/>
              <w:ind w:firstLine="0" w:firstLineChars="0"/>
              <w:jc w:val="center"/>
              <w:textAlignment w:val="center"/>
              <w:rPr>
                <w:rFonts w:hint="default" w:ascii="Times New Roman" w:hAnsi="Times New Roman" w:eastAsia="宋体" w:cs="Times New Roman"/>
                <w:sz w:val="21"/>
                <w:szCs w:val="21"/>
              </w:rPr>
            </w:pPr>
          </w:p>
        </w:tc>
        <w:tc>
          <w:tcPr>
            <w:tcW w:w="476" w:type="pct"/>
            <w:shd w:val="clear" w:color="auto" w:fill="auto"/>
            <w:vAlign w:val="center"/>
          </w:tcPr>
          <w:p w14:paraId="169CE6FF">
            <w:pPr>
              <w:spacing w:line="240" w:lineRule="auto"/>
              <w:ind w:firstLine="0" w:firstLineChars="0"/>
              <w:jc w:val="center"/>
              <w:textAlignment w:val="center"/>
              <w:rPr>
                <w:rFonts w:hint="default" w:ascii="Times New Roman" w:hAnsi="Times New Roman" w:eastAsia="宋体" w:cs="Times New Roman"/>
                <w:sz w:val="21"/>
                <w:szCs w:val="21"/>
              </w:rPr>
            </w:pPr>
          </w:p>
        </w:tc>
        <w:tc>
          <w:tcPr>
            <w:tcW w:w="614" w:type="pct"/>
            <w:shd w:val="clear" w:color="auto" w:fill="auto"/>
            <w:vAlign w:val="center"/>
          </w:tcPr>
          <w:p w14:paraId="1C568886">
            <w:pPr>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42.61</w:t>
            </w:r>
          </w:p>
        </w:tc>
        <w:tc>
          <w:tcPr>
            <w:tcW w:w="619" w:type="pct"/>
            <w:shd w:val="clear" w:color="auto" w:fill="auto"/>
            <w:vAlign w:val="center"/>
          </w:tcPr>
          <w:p w14:paraId="3EC045E3">
            <w:pPr>
              <w:spacing w:line="240" w:lineRule="auto"/>
              <w:ind w:firstLine="0" w:firstLineChars="0"/>
              <w:jc w:val="center"/>
              <w:textAlignment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bidi="ar"/>
              </w:rPr>
              <w:t>100</w:t>
            </w:r>
          </w:p>
        </w:tc>
        <w:tc>
          <w:tcPr>
            <w:tcW w:w="445" w:type="pct"/>
            <w:shd w:val="clear" w:color="auto" w:fill="auto"/>
            <w:vAlign w:val="center"/>
          </w:tcPr>
          <w:p w14:paraId="7145DAB2">
            <w:pPr>
              <w:spacing w:line="240" w:lineRule="auto"/>
              <w:ind w:firstLine="0" w:firstLineChars="0"/>
              <w:jc w:val="center"/>
              <w:textAlignment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bidi="ar"/>
              </w:rPr>
              <w:t>142.61</w:t>
            </w:r>
          </w:p>
        </w:tc>
      </w:tr>
    </w:tbl>
    <w:p w14:paraId="02F84743">
      <w:pPr>
        <w:pStyle w:val="3"/>
      </w:pPr>
      <w:bookmarkStart w:id="78" w:name="bookmark46"/>
      <w:bookmarkEnd w:id="78"/>
      <w:bookmarkStart w:id="79" w:name="_Toc13820"/>
      <w:r>
        <w:t>5.3低效林改造</w:t>
      </w:r>
      <w:bookmarkEnd w:id="79"/>
    </w:p>
    <w:p w14:paraId="09D2903D">
      <w:pPr>
        <w:ind w:firstLine="480"/>
        <w:rPr>
          <w:lang w:eastAsia="zh-CN"/>
        </w:rPr>
      </w:pPr>
      <w:r>
        <w:rPr>
          <w:lang w:eastAsia="zh-CN"/>
        </w:rPr>
        <w:t>根据林场现有林分都比较健康的情况，本设计不规划低效林改造任务。如果因特殊原因形成低效林，再采取适当的办法进行改造。</w:t>
      </w:r>
    </w:p>
    <w:p w14:paraId="6DF41ECB">
      <w:pPr>
        <w:pStyle w:val="3"/>
        <w:rPr>
          <w:lang w:eastAsia="zh-CN"/>
        </w:rPr>
      </w:pPr>
      <w:bookmarkStart w:id="80" w:name="bookmark48"/>
      <w:bookmarkEnd w:id="80"/>
      <w:bookmarkStart w:id="81" w:name="_Toc6380"/>
      <w:r>
        <w:rPr>
          <w:lang w:eastAsia="zh-CN"/>
        </w:rPr>
        <w:t>5.4毛竹林改造</w:t>
      </w:r>
      <w:bookmarkEnd w:id="81"/>
    </w:p>
    <w:p w14:paraId="494E5024">
      <w:pPr>
        <w:ind w:firstLine="480"/>
        <w:rPr>
          <w:lang w:eastAsia="zh-CN"/>
        </w:rPr>
      </w:pPr>
      <w:r>
        <w:rPr>
          <w:szCs w:val="24"/>
          <w:lang w:eastAsia="zh-CN"/>
        </w:rPr>
        <w:t>林场现有竹林面积3928.99hm</w:t>
      </w:r>
      <w:r>
        <w:rPr>
          <w:szCs w:val="24"/>
          <w:vertAlign w:val="superscript"/>
          <w:lang w:eastAsia="zh-CN"/>
        </w:rPr>
        <w:t>2</w:t>
      </w:r>
      <w:r>
        <w:rPr>
          <w:szCs w:val="24"/>
          <w:lang w:eastAsia="zh-CN"/>
        </w:rPr>
        <w:t>，</w:t>
      </w:r>
      <w:r>
        <w:rPr>
          <w:lang w:eastAsia="zh-CN"/>
        </w:rPr>
        <w:t>本经营期内只对自然保护区实验区内的竹林以保持现有经营规模为主，开展保护经营。通过调整竹林立竹株数在2700</w:t>
      </w:r>
      <w:r>
        <w:rPr>
          <w:rFonts w:hint="eastAsia"/>
          <w:lang w:eastAsia="zh-CN"/>
        </w:rPr>
        <w:t>—</w:t>
      </w:r>
      <w:r>
        <w:rPr>
          <w:lang w:eastAsia="zh-CN"/>
        </w:rPr>
        <w:t>3000株/</w:t>
      </w:r>
      <w:r>
        <w:rPr>
          <w:rFonts w:hint="eastAsia"/>
          <w:szCs w:val="24"/>
          <w:lang w:val="zh-CN" w:eastAsia="zh-CN"/>
        </w:rPr>
        <w:t>hm</w:t>
      </w:r>
      <w:r>
        <w:rPr>
          <w:rFonts w:hint="eastAsia"/>
          <w:szCs w:val="24"/>
          <w:vertAlign w:val="superscript"/>
          <w:lang w:val="zh-CN" w:eastAsia="zh-CN"/>
        </w:rPr>
        <w:t>2</w:t>
      </w:r>
      <w:r>
        <w:rPr>
          <w:lang w:eastAsia="zh-CN"/>
        </w:rPr>
        <w:t>，达到最优平均胸径9.4cm，实现毛竹年龄结构合理、稳产经营。</w:t>
      </w:r>
    </w:p>
    <w:p w14:paraId="5C65501D">
      <w:pPr>
        <w:pStyle w:val="4"/>
      </w:pPr>
      <w:r>
        <w:t>5.4.1主要改造措施</w:t>
      </w:r>
    </w:p>
    <w:p w14:paraId="35BF5CFA">
      <w:pPr>
        <w:ind w:firstLine="480"/>
        <w:rPr>
          <w:lang w:eastAsia="zh-CN"/>
        </w:rPr>
      </w:pPr>
      <w:r>
        <w:rPr>
          <w:rFonts w:hint="eastAsia" w:cs="宋体"/>
          <w:lang w:eastAsia="zh-CN"/>
        </w:rPr>
        <w:t>(</w:t>
      </w:r>
      <w:r>
        <w:rPr>
          <w:rFonts w:cs="Times New Roman"/>
          <w:lang w:eastAsia="zh-CN"/>
        </w:rPr>
        <w:t>1</w:t>
      </w:r>
      <w:r>
        <w:rPr>
          <w:rFonts w:hint="eastAsia" w:cs="宋体"/>
          <w:lang w:eastAsia="zh-CN"/>
        </w:rPr>
        <w:t>)</w:t>
      </w:r>
      <w:r>
        <w:rPr>
          <w:lang w:eastAsia="zh-CN"/>
        </w:rPr>
        <w:t>护笋养竹：对立竹度较小的竹林，要加强春笋保护，严禁进山挖笋，以提高立竹度；对立竹度较大的竹林要坚持挖小留大的原则，每年均保留一定数量的大笋，以逐步培育发展大径毛竹。</w:t>
      </w:r>
    </w:p>
    <w:p w14:paraId="095EA0A4">
      <w:pPr>
        <w:ind w:firstLine="480"/>
        <w:rPr>
          <w:rFonts w:cs="宋体"/>
          <w:lang w:eastAsia="zh-CN"/>
        </w:rPr>
      </w:pPr>
      <w:r>
        <w:rPr>
          <w:rFonts w:hint="eastAsia" w:cs="宋体"/>
          <w:lang w:eastAsia="zh-CN"/>
        </w:rPr>
        <w:t>(</w:t>
      </w:r>
      <w:r>
        <w:rPr>
          <w:rFonts w:cs="Times New Roman"/>
          <w:lang w:eastAsia="zh-CN"/>
        </w:rPr>
        <w:t>2</w:t>
      </w:r>
      <w:r>
        <w:rPr>
          <w:rFonts w:hint="eastAsia" w:cs="宋体"/>
          <w:lang w:eastAsia="zh-CN"/>
        </w:rPr>
        <w:t>)加强抚育：对竹林基地每年要带状锄草松土一次，笋竹两用丰产高效林每年要施肥一次，一般竹林每年至少要劈草一次。</w:t>
      </w:r>
    </w:p>
    <w:p w14:paraId="0E456170">
      <w:pPr>
        <w:ind w:firstLine="480"/>
        <w:rPr>
          <w:rFonts w:eastAsia="仿宋" w:cs="Times New Roman"/>
          <w:sz w:val="28"/>
          <w:szCs w:val="28"/>
          <w:lang w:eastAsia="zh-CN"/>
        </w:rPr>
      </w:pPr>
      <w:r>
        <w:rPr>
          <w:rFonts w:hint="eastAsia" w:cs="Times New Roman"/>
          <w:szCs w:val="24"/>
          <w:lang w:eastAsia="zh-CN"/>
        </w:rPr>
        <w:t>(3)</w:t>
      </w:r>
      <w:r>
        <w:rPr>
          <w:rFonts w:cs="Times New Roman"/>
          <w:szCs w:val="24"/>
          <w:lang w:eastAsia="zh-CN"/>
        </w:rPr>
        <w:t>病虫害防治：实行林业综合防治，以营林措施为基础，调整竹林结构，加强竹林抚育管理，提高竹林抗病虫害的能力，减少病虫害的发生。</w:t>
      </w:r>
    </w:p>
    <w:p w14:paraId="2238C712">
      <w:pPr>
        <w:pStyle w:val="4"/>
      </w:pPr>
      <w:r>
        <w:t>5.4.2改造任务安排</w:t>
      </w:r>
    </w:p>
    <w:p w14:paraId="7739AFAA">
      <w:pPr>
        <w:ind w:firstLine="480"/>
        <w:rPr>
          <w:rFonts w:eastAsia="仿宋"/>
          <w:sz w:val="28"/>
          <w:szCs w:val="28"/>
          <w:lang w:eastAsia="zh-CN"/>
        </w:rPr>
      </w:pPr>
      <w:r>
        <w:rPr>
          <w:lang w:eastAsia="zh-CN"/>
        </w:rPr>
        <w:t>根据林场调查数据，确定经理期内毛竹改造面积为</w:t>
      </w:r>
      <w:r>
        <w:rPr>
          <w:rFonts w:hint="eastAsia"/>
          <w:lang w:eastAsia="zh-CN"/>
        </w:rPr>
        <w:t>740.61</w:t>
      </w:r>
      <w:r>
        <w:rPr>
          <w:lang w:eastAsia="zh-CN"/>
        </w:rPr>
        <w:t>hm</w:t>
      </w:r>
      <w:r>
        <w:rPr>
          <w:vertAlign w:val="superscript"/>
          <w:lang w:eastAsia="zh-CN"/>
        </w:rPr>
        <w:t>2</w:t>
      </w:r>
      <w:r>
        <w:rPr>
          <w:lang w:eastAsia="zh-CN"/>
        </w:rPr>
        <w:t>，其中：前期</w:t>
      </w:r>
      <w:r>
        <w:rPr>
          <w:rFonts w:hint="eastAsia"/>
          <w:lang w:eastAsia="zh-CN"/>
        </w:rPr>
        <w:t>540.61</w:t>
      </w:r>
      <w:r>
        <w:rPr>
          <w:lang w:eastAsia="zh-CN"/>
        </w:rPr>
        <w:t>hm</w:t>
      </w:r>
      <w:r>
        <w:rPr>
          <w:vertAlign w:val="superscript"/>
          <w:lang w:eastAsia="zh-CN"/>
        </w:rPr>
        <w:t>2</w:t>
      </w:r>
      <w:r>
        <w:rPr>
          <w:lang w:eastAsia="zh-CN"/>
        </w:rPr>
        <w:t>，后期</w:t>
      </w:r>
      <w:r>
        <w:rPr>
          <w:rFonts w:hint="eastAsia"/>
          <w:lang w:eastAsia="zh-CN"/>
        </w:rPr>
        <w:t>200</w:t>
      </w:r>
      <w:r>
        <w:rPr>
          <w:lang w:eastAsia="zh-CN"/>
        </w:rPr>
        <w:t>hm</w:t>
      </w:r>
      <w:r>
        <w:rPr>
          <w:vertAlign w:val="superscript"/>
          <w:lang w:eastAsia="zh-CN"/>
        </w:rPr>
        <w:t>2</w:t>
      </w:r>
      <w:r>
        <w:rPr>
          <w:lang w:eastAsia="zh-CN"/>
        </w:rPr>
        <w:t>。具体见表5-5和表5-6。</w:t>
      </w:r>
    </w:p>
    <w:p w14:paraId="67C92A54">
      <w:pPr>
        <w:spacing w:line="328" w:lineRule="auto"/>
        <w:ind w:firstLine="560"/>
        <w:rPr>
          <w:rFonts w:eastAsia="仿宋" w:cs="Times New Roman"/>
          <w:sz w:val="28"/>
          <w:szCs w:val="28"/>
          <w:lang w:eastAsia="zh-CN"/>
        </w:rPr>
        <w:sectPr>
          <w:footerReference r:id="rId32" w:type="default"/>
          <w:pgSz w:w="11905" w:h="16843"/>
          <w:pgMar w:top="1440" w:right="1406" w:bottom="1440" w:left="1803" w:header="873" w:footer="1276" w:gutter="0"/>
          <w:cols w:space="0" w:num="1"/>
          <w:rtlGutter w:val="0"/>
          <w:docGrid w:linePitch="326" w:charSpace="0"/>
        </w:sectPr>
      </w:pPr>
    </w:p>
    <w:p w14:paraId="6ED90AFB">
      <w:pPr>
        <w:spacing w:line="240" w:lineRule="auto"/>
        <w:ind w:firstLine="0" w:firstLineChars="0"/>
        <w:jc w:val="center"/>
        <w:rPr>
          <w:rFonts w:eastAsia="黑体" w:cs="Times New Roman"/>
          <w:b/>
          <w:bCs/>
          <w:szCs w:val="24"/>
          <w:lang w:eastAsia="zh-CN"/>
        </w:rPr>
      </w:pPr>
      <w:r>
        <w:rPr>
          <w:rFonts w:eastAsia="黑体" w:cs="Times New Roman"/>
          <w:b/>
          <w:bCs/>
          <w:szCs w:val="24"/>
          <w:lang w:eastAsia="zh-CN"/>
        </w:rPr>
        <w:t>表5-5双牌县阳明山国有林场毛竹林改造规划小班一览表</w:t>
      </w:r>
    </w:p>
    <w:p w14:paraId="7077550F">
      <w:pPr>
        <w:spacing w:line="240" w:lineRule="auto"/>
        <w:ind w:firstLine="0" w:firstLineChars="0"/>
        <w:jc w:val="right"/>
        <w:rPr>
          <w:rFonts w:cs="Times New Roman"/>
          <w:sz w:val="21"/>
          <w:vertAlign w:val="superscript"/>
          <w:lang w:eastAsia="zh-CN"/>
        </w:rPr>
      </w:pPr>
      <w:r>
        <w:rPr>
          <w:rFonts w:cs="Times New Roman"/>
          <w:sz w:val="21"/>
        </w:rPr>
        <w:t>单位：</w:t>
      </w:r>
      <w:r>
        <w:rPr>
          <w:rFonts w:cs="Times New Roman"/>
          <w:sz w:val="21"/>
          <w:lang w:eastAsia="zh-CN"/>
        </w:rPr>
        <w:t>hm</w:t>
      </w:r>
      <w:r>
        <w:rPr>
          <w:rFonts w:cs="Times New Roman"/>
          <w:sz w:val="21"/>
          <w:vertAlign w:val="superscript"/>
          <w:lang w:eastAsia="zh-CN"/>
        </w:rPr>
        <w:t>2</w:t>
      </w:r>
    </w:p>
    <w:tbl>
      <w:tblPr>
        <w:tblStyle w:val="1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679"/>
        <w:gridCol w:w="1348"/>
        <w:gridCol w:w="1348"/>
        <w:gridCol w:w="1141"/>
        <w:gridCol w:w="2018"/>
        <w:gridCol w:w="1373"/>
      </w:tblGrid>
      <w:tr w14:paraId="6DD67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942" w:type="pct"/>
            <w:shd w:val="clear" w:color="auto" w:fill="auto"/>
            <w:vAlign w:val="center"/>
          </w:tcPr>
          <w:p w14:paraId="082F333A">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分场</w:t>
            </w:r>
          </w:p>
        </w:tc>
        <w:tc>
          <w:tcPr>
            <w:tcW w:w="756" w:type="pct"/>
            <w:shd w:val="clear" w:color="auto" w:fill="auto"/>
            <w:vAlign w:val="center"/>
          </w:tcPr>
          <w:p w14:paraId="3717C047">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小班号</w:t>
            </w:r>
          </w:p>
        </w:tc>
        <w:tc>
          <w:tcPr>
            <w:tcW w:w="756" w:type="pct"/>
            <w:shd w:val="clear" w:color="auto" w:fill="auto"/>
            <w:vAlign w:val="center"/>
          </w:tcPr>
          <w:p w14:paraId="3EAD2676">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竹度</w:t>
            </w:r>
          </w:p>
        </w:tc>
        <w:tc>
          <w:tcPr>
            <w:tcW w:w="640" w:type="pct"/>
            <w:shd w:val="clear" w:color="auto" w:fill="auto"/>
            <w:vAlign w:val="center"/>
          </w:tcPr>
          <w:p w14:paraId="7177993F">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面积</w:t>
            </w:r>
          </w:p>
        </w:tc>
        <w:tc>
          <w:tcPr>
            <w:tcW w:w="1132" w:type="pct"/>
            <w:shd w:val="clear" w:color="auto" w:fill="auto"/>
            <w:vAlign w:val="center"/>
          </w:tcPr>
          <w:p w14:paraId="783EB567">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措施</w:t>
            </w:r>
          </w:p>
        </w:tc>
        <w:tc>
          <w:tcPr>
            <w:tcW w:w="770" w:type="pct"/>
            <w:shd w:val="clear" w:color="auto" w:fill="auto"/>
            <w:vAlign w:val="center"/>
          </w:tcPr>
          <w:p w14:paraId="58E9E5D9">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年度</w:t>
            </w:r>
          </w:p>
        </w:tc>
      </w:tr>
      <w:tr w14:paraId="29710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42" w:type="pct"/>
            <w:shd w:val="clear" w:color="auto" w:fill="auto"/>
            <w:vAlign w:val="center"/>
          </w:tcPr>
          <w:p w14:paraId="41161F12">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林场场部</w:t>
            </w:r>
          </w:p>
        </w:tc>
        <w:tc>
          <w:tcPr>
            <w:tcW w:w="756" w:type="pct"/>
            <w:shd w:val="clear" w:color="auto" w:fill="auto"/>
            <w:noWrap/>
            <w:vAlign w:val="center"/>
          </w:tcPr>
          <w:p w14:paraId="3DFFCD64">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02237</w:t>
            </w:r>
          </w:p>
        </w:tc>
        <w:tc>
          <w:tcPr>
            <w:tcW w:w="756" w:type="pct"/>
            <w:shd w:val="clear" w:color="auto" w:fill="auto"/>
            <w:vAlign w:val="center"/>
          </w:tcPr>
          <w:p w14:paraId="21AB682E">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中龄竹</w:t>
            </w:r>
          </w:p>
        </w:tc>
        <w:tc>
          <w:tcPr>
            <w:tcW w:w="640" w:type="pct"/>
            <w:shd w:val="clear" w:color="auto" w:fill="auto"/>
            <w:noWrap/>
            <w:vAlign w:val="center"/>
          </w:tcPr>
          <w:p w14:paraId="765030A0">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2.77 </w:t>
            </w:r>
          </w:p>
        </w:tc>
        <w:tc>
          <w:tcPr>
            <w:tcW w:w="1132" w:type="pct"/>
            <w:shd w:val="clear" w:color="auto" w:fill="auto"/>
            <w:vAlign w:val="center"/>
          </w:tcPr>
          <w:p w14:paraId="2F20DE9D">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毛竹林改造</w:t>
            </w:r>
          </w:p>
        </w:tc>
        <w:tc>
          <w:tcPr>
            <w:tcW w:w="770" w:type="pct"/>
            <w:shd w:val="clear" w:color="auto" w:fill="auto"/>
            <w:noWrap/>
            <w:vAlign w:val="center"/>
          </w:tcPr>
          <w:p w14:paraId="3152DE8C">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2024年</w:t>
            </w:r>
          </w:p>
        </w:tc>
      </w:tr>
      <w:tr w14:paraId="1583C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42" w:type="pct"/>
            <w:shd w:val="clear" w:color="auto" w:fill="auto"/>
            <w:vAlign w:val="center"/>
          </w:tcPr>
          <w:p w14:paraId="3D9561D7">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阳明山村</w:t>
            </w:r>
          </w:p>
        </w:tc>
        <w:tc>
          <w:tcPr>
            <w:tcW w:w="756" w:type="pct"/>
            <w:shd w:val="clear" w:color="auto" w:fill="auto"/>
            <w:noWrap/>
            <w:vAlign w:val="center"/>
          </w:tcPr>
          <w:p w14:paraId="538E132E">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00037</w:t>
            </w:r>
          </w:p>
        </w:tc>
        <w:tc>
          <w:tcPr>
            <w:tcW w:w="756" w:type="pct"/>
            <w:shd w:val="clear" w:color="auto" w:fill="auto"/>
            <w:vAlign w:val="center"/>
          </w:tcPr>
          <w:p w14:paraId="107640B4">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中龄竹</w:t>
            </w:r>
          </w:p>
        </w:tc>
        <w:tc>
          <w:tcPr>
            <w:tcW w:w="640" w:type="pct"/>
            <w:shd w:val="clear" w:color="auto" w:fill="auto"/>
            <w:noWrap/>
            <w:vAlign w:val="center"/>
          </w:tcPr>
          <w:p w14:paraId="7B25BDB3">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8.51 </w:t>
            </w:r>
          </w:p>
        </w:tc>
        <w:tc>
          <w:tcPr>
            <w:tcW w:w="1132" w:type="pct"/>
            <w:shd w:val="clear" w:color="auto" w:fill="auto"/>
            <w:vAlign w:val="center"/>
          </w:tcPr>
          <w:p w14:paraId="416F7DF5">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毛竹林改造</w:t>
            </w:r>
          </w:p>
        </w:tc>
        <w:tc>
          <w:tcPr>
            <w:tcW w:w="770" w:type="pct"/>
            <w:shd w:val="clear" w:color="auto" w:fill="auto"/>
            <w:noWrap/>
            <w:vAlign w:val="center"/>
          </w:tcPr>
          <w:p w14:paraId="0F24E1FC">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2024年</w:t>
            </w:r>
          </w:p>
        </w:tc>
      </w:tr>
      <w:tr w14:paraId="4423C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42" w:type="pct"/>
            <w:shd w:val="clear" w:color="auto" w:fill="auto"/>
            <w:vAlign w:val="center"/>
          </w:tcPr>
          <w:p w14:paraId="6B0118F6">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阳明山村</w:t>
            </w:r>
          </w:p>
        </w:tc>
        <w:tc>
          <w:tcPr>
            <w:tcW w:w="756" w:type="pct"/>
            <w:shd w:val="clear" w:color="auto" w:fill="auto"/>
            <w:noWrap/>
            <w:vAlign w:val="center"/>
          </w:tcPr>
          <w:p w14:paraId="7BE5212D">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02863</w:t>
            </w:r>
          </w:p>
        </w:tc>
        <w:tc>
          <w:tcPr>
            <w:tcW w:w="756" w:type="pct"/>
            <w:shd w:val="clear" w:color="auto" w:fill="auto"/>
            <w:vAlign w:val="center"/>
          </w:tcPr>
          <w:p w14:paraId="177C0418">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中龄竹</w:t>
            </w:r>
          </w:p>
        </w:tc>
        <w:tc>
          <w:tcPr>
            <w:tcW w:w="640" w:type="pct"/>
            <w:shd w:val="clear" w:color="auto" w:fill="auto"/>
            <w:noWrap/>
            <w:vAlign w:val="center"/>
          </w:tcPr>
          <w:p w14:paraId="0AA9A7D4">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7.12 </w:t>
            </w:r>
          </w:p>
        </w:tc>
        <w:tc>
          <w:tcPr>
            <w:tcW w:w="1132" w:type="pct"/>
            <w:shd w:val="clear" w:color="auto" w:fill="auto"/>
            <w:vAlign w:val="center"/>
          </w:tcPr>
          <w:p w14:paraId="03DF5123">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毛竹林改造</w:t>
            </w:r>
          </w:p>
        </w:tc>
        <w:tc>
          <w:tcPr>
            <w:tcW w:w="770" w:type="pct"/>
            <w:shd w:val="clear" w:color="auto" w:fill="auto"/>
            <w:noWrap/>
            <w:vAlign w:val="center"/>
          </w:tcPr>
          <w:p w14:paraId="2D2485B6">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2024年</w:t>
            </w:r>
          </w:p>
        </w:tc>
      </w:tr>
      <w:tr w14:paraId="0B16E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42" w:type="pct"/>
            <w:shd w:val="clear" w:color="auto" w:fill="auto"/>
            <w:vAlign w:val="center"/>
          </w:tcPr>
          <w:p w14:paraId="71E1118F">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阳明山村</w:t>
            </w:r>
          </w:p>
        </w:tc>
        <w:tc>
          <w:tcPr>
            <w:tcW w:w="756" w:type="pct"/>
            <w:shd w:val="clear" w:color="auto" w:fill="auto"/>
            <w:noWrap/>
            <w:vAlign w:val="center"/>
          </w:tcPr>
          <w:p w14:paraId="2024E240">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02534</w:t>
            </w:r>
          </w:p>
        </w:tc>
        <w:tc>
          <w:tcPr>
            <w:tcW w:w="756" w:type="pct"/>
            <w:shd w:val="clear" w:color="auto" w:fill="auto"/>
            <w:vAlign w:val="center"/>
          </w:tcPr>
          <w:p w14:paraId="1DCCDD7D">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中龄竹</w:t>
            </w:r>
          </w:p>
        </w:tc>
        <w:tc>
          <w:tcPr>
            <w:tcW w:w="640" w:type="pct"/>
            <w:shd w:val="clear" w:color="auto" w:fill="auto"/>
            <w:noWrap/>
            <w:vAlign w:val="center"/>
          </w:tcPr>
          <w:p w14:paraId="5907E215">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25.59 </w:t>
            </w:r>
          </w:p>
        </w:tc>
        <w:tc>
          <w:tcPr>
            <w:tcW w:w="1132" w:type="pct"/>
            <w:shd w:val="clear" w:color="auto" w:fill="auto"/>
            <w:vAlign w:val="center"/>
          </w:tcPr>
          <w:p w14:paraId="5F73B9CE">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毛竹林改造</w:t>
            </w:r>
          </w:p>
        </w:tc>
        <w:tc>
          <w:tcPr>
            <w:tcW w:w="770" w:type="pct"/>
            <w:shd w:val="clear" w:color="auto" w:fill="auto"/>
            <w:noWrap/>
            <w:vAlign w:val="center"/>
          </w:tcPr>
          <w:p w14:paraId="2ED7B24D">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2025年</w:t>
            </w:r>
          </w:p>
        </w:tc>
      </w:tr>
      <w:tr w14:paraId="43641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42" w:type="pct"/>
            <w:shd w:val="clear" w:color="auto" w:fill="auto"/>
            <w:vAlign w:val="center"/>
          </w:tcPr>
          <w:p w14:paraId="7D1BE7E1">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阳明山村</w:t>
            </w:r>
          </w:p>
        </w:tc>
        <w:tc>
          <w:tcPr>
            <w:tcW w:w="756" w:type="pct"/>
            <w:shd w:val="clear" w:color="auto" w:fill="auto"/>
            <w:noWrap/>
            <w:vAlign w:val="center"/>
          </w:tcPr>
          <w:p w14:paraId="1D7A60C5">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02580</w:t>
            </w:r>
          </w:p>
        </w:tc>
        <w:tc>
          <w:tcPr>
            <w:tcW w:w="756" w:type="pct"/>
            <w:shd w:val="clear" w:color="auto" w:fill="auto"/>
            <w:vAlign w:val="center"/>
          </w:tcPr>
          <w:p w14:paraId="0E855997">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中龄竹</w:t>
            </w:r>
          </w:p>
        </w:tc>
        <w:tc>
          <w:tcPr>
            <w:tcW w:w="640" w:type="pct"/>
            <w:shd w:val="clear" w:color="auto" w:fill="auto"/>
            <w:noWrap/>
            <w:vAlign w:val="center"/>
          </w:tcPr>
          <w:p w14:paraId="21B580B8">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33.73 </w:t>
            </w:r>
          </w:p>
        </w:tc>
        <w:tc>
          <w:tcPr>
            <w:tcW w:w="1132" w:type="pct"/>
            <w:shd w:val="clear" w:color="auto" w:fill="auto"/>
            <w:vAlign w:val="center"/>
          </w:tcPr>
          <w:p w14:paraId="5974DA0F">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毛竹林改造</w:t>
            </w:r>
          </w:p>
        </w:tc>
        <w:tc>
          <w:tcPr>
            <w:tcW w:w="770" w:type="pct"/>
            <w:shd w:val="clear" w:color="auto" w:fill="auto"/>
            <w:noWrap/>
            <w:vAlign w:val="center"/>
          </w:tcPr>
          <w:p w14:paraId="7DC96730">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2025年</w:t>
            </w:r>
          </w:p>
        </w:tc>
      </w:tr>
      <w:tr w14:paraId="6F0F4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42" w:type="pct"/>
            <w:shd w:val="clear" w:color="auto" w:fill="auto"/>
            <w:vAlign w:val="center"/>
          </w:tcPr>
          <w:p w14:paraId="2C3AF556">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阳明山村</w:t>
            </w:r>
          </w:p>
        </w:tc>
        <w:tc>
          <w:tcPr>
            <w:tcW w:w="756" w:type="pct"/>
            <w:shd w:val="clear" w:color="auto" w:fill="auto"/>
            <w:noWrap/>
            <w:vAlign w:val="center"/>
          </w:tcPr>
          <w:p w14:paraId="003949AD">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02469</w:t>
            </w:r>
          </w:p>
        </w:tc>
        <w:tc>
          <w:tcPr>
            <w:tcW w:w="756" w:type="pct"/>
            <w:shd w:val="clear" w:color="auto" w:fill="auto"/>
            <w:vAlign w:val="center"/>
          </w:tcPr>
          <w:p w14:paraId="78046C46">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中龄竹</w:t>
            </w:r>
          </w:p>
        </w:tc>
        <w:tc>
          <w:tcPr>
            <w:tcW w:w="640" w:type="pct"/>
            <w:shd w:val="clear" w:color="auto" w:fill="auto"/>
            <w:noWrap/>
            <w:vAlign w:val="center"/>
          </w:tcPr>
          <w:p w14:paraId="74FCC7E4">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15.77 </w:t>
            </w:r>
          </w:p>
        </w:tc>
        <w:tc>
          <w:tcPr>
            <w:tcW w:w="1132" w:type="pct"/>
            <w:shd w:val="clear" w:color="auto" w:fill="auto"/>
            <w:vAlign w:val="center"/>
          </w:tcPr>
          <w:p w14:paraId="07FE0DB7">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毛竹林改造</w:t>
            </w:r>
          </w:p>
        </w:tc>
        <w:tc>
          <w:tcPr>
            <w:tcW w:w="770" w:type="pct"/>
            <w:shd w:val="clear" w:color="auto" w:fill="auto"/>
            <w:noWrap/>
            <w:vAlign w:val="center"/>
          </w:tcPr>
          <w:p w14:paraId="5C4AEFCC">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2025年</w:t>
            </w:r>
          </w:p>
        </w:tc>
      </w:tr>
      <w:tr w14:paraId="52350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42" w:type="pct"/>
            <w:shd w:val="clear" w:color="auto" w:fill="auto"/>
            <w:vAlign w:val="center"/>
          </w:tcPr>
          <w:p w14:paraId="6676D615">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阳明山村</w:t>
            </w:r>
          </w:p>
        </w:tc>
        <w:tc>
          <w:tcPr>
            <w:tcW w:w="756" w:type="pct"/>
            <w:shd w:val="clear" w:color="auto" w:fill="auto"/>
            <w:noWrap/>
            <w:vAlign w:val="center"/>
          </w:tcPr>
          <w:p w14:paraId="60AEBA1E">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02570</w:t>
            </w:r>
          </w:p>
        </w:tc>
        <w:tc>
          <w:tcPr>
            <w:tcW w:w="756" w:type="pct"/>
            <w:shd w:val="clear" w:color="auto" w:fill="auto"/>
            <w:vAlign w:val="center"/>
          </w:tcPr>
          <w:p w14:paraId="38C3F1F8">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中龄竹</w:t>
            </w:r>
          </w:p>
        </w:tc>
        <w:tc>
          <w:tcPr>
            <w:tcW w:w="640" w:type="pct"/>
            <w:shd w:val="clear" w:color="auto" w:fill="auto"/>
            <w:noWrap/>
            <w:vAlign w:val="center"/>
          </w:tcPr>
          <w:p w14:paraId="4F42E541">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32.82 </w:t>
            </w:r>
          </w:p>
        </w:tc>
        <w:tc>
          <w:tcPr>
            <w:tcW w:w="1132" w:type="pct"/>
            <w:shd w:val="clear" w:color="auto" w:fill="auto"/>
            <w:vAlign w:val="center"/>
          </w:tcPr>
          <w:p w14:paraId="18C35901">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毛竹林改造</w:t>
            </w:r>
          </w:p>
        </w:tc>
        <w:tc>
          <w:tcPr>
            <w:tcW w:w="770" w:type="pct"/>
            <w:shd w:val="clear" w:color="auto" w:fill="auto"/>
            <w:noWrap/>
            <w:vAlign w:val="center"/>
          </w:tcPr>
          <w:p w14:paraId="5C9FB0DF">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2025年</w:t>
            </w:r>
          </w:p>
        </w:tc>
      </w:tr>
      <w:tr w14:paraId="5C6E2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42" w:type="pct"/>
            <w:shd w:val="clear" w:color="auto" w:fill="auto"/>
            <w:vAlign w:val="center"/>
          </w:tcPr>
          <w:p w14:paraId="312C8948">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阳明山村</w:t>
            </w:r>
          </w:p>
        </w:tc>
        <w:tc>
          <w:tcPr>
            <w:tcW w:w="756" w:type="pct"/>
            <w:shd w:val="clear" w:color="auto" w:fill="auto"/>
            <w:noWrap/>
            <w:vAlign w:val="center"/>
          </w:tcPr>
          <w:p w14:paraId="51B718B0">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02709</w:t>
            </w:r>
          </w:p>
        </w:tc>
        <w:tc>
          <w:tcPr>
            <w:tcW w:w="756" w:type="pct"/>
            <w:shd w:val="clear" w:color="auto" w:fill="auto"/>
            <w:vAlign w:val="center"/>
          </w:tcPr>
          <w:p w14:paraId="68E1F77D">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中龄竹</w:t>
            </w:r>
          </w:p>
        </w:tc>
        <w:tc>
          <w:tcPr>
            <w:tcW w:w="640" w:type="pct"/>
            <w:shd w:val="clear" w:color="auto" w:fill="auto"/>
            <w:noWrap/>
            <w:vAlign w:val="center"/>
          </w:tcPr>
          <w:p w14:paraId="6AF36C6B">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37.04 </w:t>
            </w:r>
          </w:p>
        </w:tc>
        <w:tc>
          <w:tcPr>
            <w:tcW w:w="1132" w:type="pct"/>
            <w:shd w:val="clear" w:color="auto" w:fill="auto"/>
            <w:vAlign w:val="center"/>
          </w:tcPr>
          <w:p w14:paraId="3D9E9B62">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毛竹林改造</w:t>
            </w:r>
          </w:p>
        </w:tc>
        <w:tc>
          <w:tcPr>
            <w:tcW w:w="770" w:type="pct"/>
            <w:shd w:val="clear" w:color="auto" w:fill="auto"/>
            <w:noWrap/>
            <w:vAlign w:val="center"/>
          </w:tcPr>
          <w:p w14:paraId="2198521A">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2025年</w:t>
            </w:r>
          </w:p>
        </w:tc>
      </w:tr>
      <w:tr w14:paraId="043B4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42" w:type="pct"/>
            <w:shd w:val="clear" w:color="auto" w:fill="auto"/>
            <w:vAlign w:val="center"/>
          </w:tcPr>
          <w:p w14:paraId="73D3FAA2">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阳明山村</w:t>
            </w:r>
          </w:p>
        </w:tc>
        <w:tc>
          <w:tcPr>
            <w:tcW w:w="756" w:type="pct"/>
            <w:shd w:val="clear" w:color="auto" w:fill="auto"/>
            <w:noWrap/>
            <w:vAlign w:val="center"/>
          </w:tcPr>
          <w:p w14:paraId="07448451">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02343</w:t>
            </w:r>
          </w:p>
        </w:tc>
        <w:tc>
          <w:tcPr>
            <w:tcW w:w="756" w:type="pct"/>
            <w:shd w:val="clear" w:color="auto" w:fill="auto"/>
            <w:vAlign w:val="center"/>
          </w:tcPr>
          <w:p w14:paraId="3EF0B17F">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中龄竹</w:t>
            </w:r>
          </w:p>
        </w:tc>
        <w:tc>
          <w:tcPr>
            <w:tcW w:w="640" w:type="pct"/>
            <w:shd w:val="clear" w:color="auto" w:fill="auto"/>
            <w:noWrap/>
            <w:vAlign w:val="center"/>
          </w:tcPr>
          <w:p w14:paraId="7EE26D20">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22.75 </w:t>
            </w:r>
          </w:p>
        </w:tc>
        <w:tc>
          <w:tcPr>
            <w:tcW w:w="1132" w:type="pct"/>
            <w:shd w:val="clear" w:color="auto" w:fill="auto"/>
            <w:vAlign w:val="center"/>
          </w:tcPr>
          <w:p w14:paraId="5A186C1A">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毛竹林改造</w:t>
            </w:r>
          </w:p>
        </w:tc>
        <w:tc>
          <w:tcPr>
            <w:tcW w:w="770" w:type="pct"/>
            <w:shd w:val="clear" w:color="auto" w:fill="auto"/>
            <w:noWrap/>
            <w:vAlign w:val="center"/>
          </w:tcPr>
          <w:p w14:paraId="04BFFF2F">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2026年</w:t>
            </w:r>
          </w:p>
        </w:tc>
      </w:tr>
      <w:tr w14:paraId="686C3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jc w:val="center"/>
        </w:trPr>
        <w:tc>
          <w:tcPr>
            <w:tcW w:w="942" w:type="pct"/>
            <w:shd w:val="clear" w:color="auto" w:fill="auto"/>
            <w:vAlign w:val="center"/>
          </w:tcPr>
          <w:p w14:paraId="4CAE7106">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阳明山村</w:t>
            </w:r>
          </w:p>
        </w:tc>
        <w:tc>
          <w:tcPr>
            <w:tcW w:w="756" w:type="pct"/>
            <w:shd w:val="clear" w:color="auto" w:fill="auto"/>
            <w:noWrap/>
            <w:vAlign w:val="center"/>
          </w:tcPr>
          <w:p w14:paraId="7AFEA647">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02294</w:t>
            </w:r>
          </w:p>
        </w:tc>
        <w:tc>
          <w:tcPr>
            <w:tcW w:w="756" w:type="pct"/>
            <w:shd w:val="clear" w:color="auto" w:fill="auto"/>
            <w:vAlign w:val="center"/>
          </w:tcPr>
          <w:p w14:paraId="5D53F5A8">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中龄竹</w:t>
            </w:r>
          </w:p>
        </w:tc>
        <w:tc>
          <w:tcPr>
            <w:tcW w:w="640" w:type="pct"/>
            <w:shd w:val="clear" w:color="auto" w:fill="auto"/>
            <w:noWrap/>
            <w:vAlign w:val="center"/>
          </w:tcPr>
          <w:p w14:paraId="0FBEF7FD">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37.39 </w:t>
            </w:r>
          </w:p>
        </w:tc>
        <w:tc>
          <w:tcPr>
            <w:tcW w:w="1132" w:type="pct"/>
            <w:shd w:val="clear" w:color="auto" w:fill="auto"/>
            <w:vAlign w:val="center"/>
          </w:tcPr>
          <w:p w14:paraId="1D8EABB7">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毛竹林改造</w:t>
            </w:r>
          </w:p>
        </w:tc>
        <w:tc>
          <w:tcPr>
            <w:tcW w:w="770" w:type="pct"/>
            <w:shd w:val="clear" w:color="auto" w:fill="auto"/>
            <w:noWrap/>
            <w:vAlign w:val="center"/>
          </w:tcPr>
          <w:p w14:paraId="6DF82304">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2026年</w:t>
            </w:r>
          </w:p>
        </w:tc>
      </w:tr>
      <w:tr w14:paraId="491C5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jc w:val="center"/>
        </w:trPr>
        <w:tc>
          <w:tcPr>
            <w:tcW w:w="942" w:type="pct"/>
            <w:shd w:val="clear" w:color="auto" w:fill="auto"/>
            <w:vAlign w:val="center"/>
          </w:tcPr>
          <w:p w14:paraId="7F6ACD03">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阳明山村</w:t>
            </w:r>
          </w:p>
        </w:tc>
        <w:tc>
          <w:tcPr>
            <w:tcW w:w="756" w:type="pct"/>
            <w:shd w:val="clear" w:color="auto" w:fill="auto"/>
            <w:noWrap/>
            <w:vAlign w:val="center"/>
          </w:tcPr>
          <w:p w14:paraId="2872BBF2">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02264</w:t>
            </w:r>
          </w:p>
        </w:tc>
        <w:tc>
          <w:tcPr>
            <w:tcW w:w="756" w:type="pct"/>
            <w:shd w:val="clear" w:color="auto" w:fill="auto"/>
            <w:vAlign w:val="center"/>
          </w:tcPr>
          <w:p w14:paraId="41AD6B7F">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中龄竹</w:t>
            </w:r>
          </w:p>
        </w:tc>
        <w:tc>
          <w:tcPr>
            <w:tcW w:w="640" w:type="pct"/>
            <w:shd w:val="clear" w:color="auto" w:fill="auto"/>
            <w:noWrap/>
            <w:vAlign w:val="center"/>
          </w:tcPr>
          <w:p w14:paraId="300F8C2C">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19.97 </w:t>
            </w:r>
          </w:p>
        </w:tc>
        <w:tc>
          <w:tcPr>
            <w:tcW w:w="1132" w:type="pct"/>
            <w:shd w:val="clear" w:color="auto" w:fill="auto"/>
            <w:vAlign w:val="center"/>
          </w:tcPr>
          <w:p w14:paraId="49EC6D3F">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毛竹林改造</w:t>
            </w:r>
          </w:p>
        </w:tc>
        <w:tc>
          <w:tcPr>
            <w:tcW w:w="770" w:type="pct"/>
            <w:shd w:val="clear" w:color="auto" w:fill="auto"/>
            <w:noWrap/>
            <w:vAlign w:val="center"/>
          </w:tcPr>
          <w:p w14:paraId="044EDF69">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2026年</w:t>
            </w:r>
          </w:p>
        </w:tc>
      </w:tr>
      <w:tr w14:paraId="42242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42" w:type="pct"/>
            <w:shd w:val="clear" w:color="auto" w:fill="auto"/>
            <w:vAlign w:val="center"/>
          </w:tcPr>
          <w:p w14:paraId="3B28739D">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阳明山村</w:t>
            </w:r>
          </w:p>
        </w:tc>
        <w:tc>
          <w:tcPr>
            <w:tcW w:w="756" w:type="pct"/>
            <w:shd w:val="clear" w:color="auto" w:fill="auto"/>
            <w:noWrap/>
            <w:vAlign w:val="center"/>
          </w:tcPr>
          <w:p w14:paraId="42DAF321">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02571</w:t>
            </w:r>
          </w:p>
        </w:tc>
        <w:tc>
          <w:tcPr>
            <w:tcW w:w="756" w:type="pct"/>
            <w:shd w:val="clear" w:color="auto" w:fill="auto"/>
            <w:vAlign w:val="center"/>
          </w:tcPr>
          <w:p w14:paraId="25EF60F7">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中龄竹</w:t>
            </w:r>
          </w:p>
        </w:tc>
        <w:tc>
          <w:tcPr>
            <w:tcW w:w="640" w:type="pct"/>
            <w:shd w:val="clear" w:color="auto" w:fill="auto"/>
            <w:noWrap/>
            <w:vAlign w:val="center"/>
          </w:tcPr>
          <w:p w14:paraId="5741630D">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18.82 </w:t>
            </w:r>
          </w:p>
        </w:tc>
        <w:tc>
          <w:tcPr>
            <w:tcW w:w="1132" w:type="pct"/>
            <w:shd w:val="clear" w:color="auto" w:fill="auto"/>
            <w:vAlign w:val="center"/>
          </w:tcPr>
          <w:p w14:paraId="6AF4BFBF">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毛竹林改造</w:t>
            </w:r>
          </w:p>
        </w:tc>
        <w:tc>
          <w:tcPr>
            <w:tcW w:w="770" w:type="pct"/>
            <w:shd w:val="clear" w:color="auto" w:fill="auto"/>
            <w:noWrap/>
            <w:vAlign w:val="center"/>
          </w:tcPr>
          <w:p w14:paraId="70C07BB0">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2026年</w:t>
            </w:r>
          </w:p>
        </w:tc>
      </w:tr>
      <w:tr w14:paraId="12941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42" w:type="pct"/>
            <w:shd w:val="clear" w:color="auto" w:fill="auto"/>
            <w:vAlign w:val="center"/>
          </w:tcPr>
          <w:p w14:paraId="5805661B">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阳明山村</w:t>
            </w:r>
          </w:p>
        </w:tc>
        <w:tc>
          <w:tcPr>
            <w:tcW w:w="756" w:type="pct"/>
            <w:shd w:val="clear" w:color="auto" w:fill="auto"/>
            <w:noWrap/>
            <w:vAlign w:val="center"/>
          </w:tcPr>
          <w:p w14:paraId="5B8C2561">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02349</w:t>
            </w:r>
          </w:p>
        </w:tc>
        <w:tc>
          <w:tcPr>
            <w:tcW w:w="756" w:type="pct"/>
            <w:shd w:val="clear" w:color="auto" w:fill="auto"/>
            <w:vAlign w:val="center"/>
          </w:tcPr>
          <w:p w14:paraId="38C2CB13">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中龄竹</w:t>
            </w:r>
          </w:p>
        </w:tc>
        <w:tc>
          <w:tcPr>
            <w:tcW w:w="640" w:type="pct"/>
            <w:shd w:val="clear" w:color="auto" w:fill="auto"/>
            <w:noWrap/>
            <w:vAlign w:val="center"/>
          </w:tcPr>
          <w:p w14:paraId="0CC710DE">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26.25 </w:t>
            </w:r>
          </w:p>
        </w:tc>
        <w:tc>
          <w:tcPr>
            <w:tcW w:w="1132" w:type="pct"/>
            <w:shd w:val="clear" w:color="auto" w:fill="auto"/>
            <w:vAlign w:val="center"/>
          </w:tcPr>
          <w:p w14:paraId="30CC3740">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毛竹林改造</w:t>
            </w:r>
          </w:p>
        </w:tc>
        <w:tc>
          <w:tcPr>
            <w:tcW w:w="770" w:type="pct"/>
            <w:shd w:val="clear" w:color="auto" w:fill="auto"/>
            <w:noWrap/>
            <w:vAlign w:val="center"/>
          </w:tcPr>
          <w:p w14:paraId="3AD36D02">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2026年</w:t>
            </w:r>
          </w:p>
        </w:tc>
      </w:tr>
      <w:tr w14:paraId="5D32A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42" w:type="pct"/>
            <w:shd w:val="clear" w:color="auto" w:fill="auto"/>
            <w:vAlign w:val="center"/>
          </w:tcPr>
          <w:p w14:paraId="7C4D74D0">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阳明山村</w:t>
            </w:r>
          </w:p>
        </w:tc>
        <w:tc>
          <w:tcPr>
            <w:tcW w:w="756" w:type="pct"/>
            <w:shd w:val="clear" w:color="auto" w:fill="auto"/>
            <w:noWrap/>
            <w:vAlign w:val="center"/>
          </w:tcPr>
          <w:p w14:paraId="53ED5C5E">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02211</w:t>
            </w:r>
          </w:p>
        </w:tc>
        <w:tc>
          <w:tcPr>
            <w:tcW w:w="756" w:type="pct"/>
            <w:shd w:val="clear" w:color="auto" w:fill="auto"/>
            <w:vAlign w:val="center"/>
          </w:tcPr>
          <w:p w14:paraId="1DF02BE6">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中龄竹</w:t>
            </w:r>
          </w:p>
        </w:tc>
        <w:tc>
          <w:tcPr>
            <w:tcW w:w="640" w:type="pct"/>
            <w:shd w:val="clear" w:color="auto" w:fill="auto"/>
            <w:noWrap/>
            <w:vAlign w:val="center"/>
          </w:tcPr>
          <w:p w14:paraId="5F9AAB82">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28.06 </w:t>
            </w:r>
          </w:p>
        </w:tc>
        <w:tc>
          <w:tcPr>
            <w:tcW w:w="1132" w:type="pct"/>
            <w:shd w:val="clear" w:color="auto" w:fill="auto"/>
            <w:vAlign w:val="center"/>
          </w:tcPr>
          <w:p w14:paraId="0E89DCB5">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毛竹林改造</w:t>
            </w:r>
          </w:p>
        </w:tc>
        <w:tc>
          <w:tcPr>
            <w:tcW w:w="770" w:type="pct"/>
            <w:shd w:val="clear" w:color="auto" w:fill="auto"/>
            <w:noWrap/>
            <w:vAlign w:val="center"/>
          </w:tcPr>
          <w:p w14:paraId="1C376B46">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2027年</w:t>
            </w:r>
          </w:p>
        </w:tc>
      </w:tr>
      <w:tr w14:paraId="37511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42" w:type="pct"/>
            <w:shd w:val="clear" w:color="auto" w:fill="auto"/>
            <w:vAlign w:val="center"/>
          </w:tcPr>
          <w:p w14:paraId="45A5E770">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阳明山村</w:t>
            </w:r>
          </w:p>
        </w:tc>
        <w:tc>
          <w:tcPr>
            <w:tcW w:w="756" w:type="pct"/>
            <w:shd w:val="clear" w:color="auto" w:fill="auto"/>
            <w:noWrap/>
            <w:vAlign w:val="center"/>
          </w:tcPr>
          <w:p w14:paraId="41B95828">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02329</w:t>
            </w:r>
          </w:p>
        </w:tc>
        <w:tc>
          <w:tcPr>
            <w:tcW w:w="756" w:type="pct"/>
            <w:shd w:val="clear" w:color="auto" w:fill="auto"/>
            <w:vAlign w:val="center"/>
          </w:tcPr>
          <w:p w14:paraId="4A4C5A41">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中龄竹</w:t>
            </w:r>
          </w:p>
        </w:tc>
        <w:tc>
          <w:tcPr>
            <w:tcW w:w="640" w:type="pct"/>
            <w:shd w:val="clear" w:color="auto" w:fill="auto"/>
            <w:noWrap/>
            <w:vAlign w:val="center"/>
          </w:tcPr>
          <w:p w14:paraId="6A6CCE8D">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27.81 </w:t>
            </w:r>
          </w:p>
        </w:tc>
        <w:tc>
          <w:tcPr>
            <w:tcW w:w="1132" w:type="pct"/>
            <w:shd w:val="clear" w:color="auto" w:fill="auto"/>
            <w:vAlign w:val="center"/>
          </w:tcPr>
          <w:p w14:paraId="08D2D974">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毛竹林改造</w:t>
            </w:r>
          </w:p>
        </w:tc>
        <w:tc>
          <w:tcPr>
            <w:tcW w:w="770" w:type="pct"/>
            <w:shd w:val="clear" w:color="auto" w:fill="auto"/>
            <w:noWrap/>
            <w:vAlign w:val="center"/>
          </w:tcPr>
          <w:p w14:paraId="238FB826">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2027年</w:t>
            </w:r>
          </w:p>
        </w:tc>
      </w:tr>
      <w:tr w14:paraId="6587F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42" w:type="pct"/>
            <w:shd w:val="clear" w:color="auto" w:fill="auto"/>
            <w:vAlign w:val="center"/>
          </w:tcPr>
          <w:p w14:paraId="1DBCD2F1">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阳明山村</w:t>
            </w:r>
          </w:p>
        </w:tc>
        <w:tc>
          <w:tcPr>
            <w:tcW w:w="756" w:type="pct"/>
            <w:shd w:val="clear" w:color="auto" w:fill="auto"/>
            <w:noWrap/>
            <w:vAlign w:val="center"/>
          </w:tcPr>
          <w:p w14:paraId="4E94EEB0">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02792</w:t>
            </w:r>
          </w:p>
        </w:tc>
        <w:tc>
          <w:tcPr>
            <w:tcW w:w="756" w:type="pct"/>
            <w:shd w:val="clear" w:color="auto" w:fill="auto"/>
            <w:vAlign w:val="center"/>
          </w:tcPr>
          <w:p w14:paraId="4A539B1D">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中龄竹</w:t>
            </w:r>
          </w:p>
        </w:tc>
        <w:tc>
          <w:tcPr>
            <w:tcW w:w="640" w:type="pct"/>
            <w:shd w:val="clear" w:color="auto" w:fill="auto"/>
            <w:noWrap/>
            <w:vAlign w:val="center"/>
          </w:tcPr>
          <w:p w14:paraId="4F1E3D8B">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20.83 </w:t>
            </w:r>
          </w:p>
        </w:tc>
        <w:tc>
          <w:tcPr>
            <w:tcW w:w="1132" w:type="pct"/>
            <w:shd w:val="clear" w:color="auto" w:fill="auto"/>
            <w:vAlign w:val="center"/>
          </w:tcPr>
          <w:p w14:paraId="5817C7DE">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毛竹林改造</w:t>
            </w:r>
          </w:p>
        </w:tc>
        <w:tc>
          <w:tcPr>
            <w:tcW w:w="770" w:type="pct"/>
            <w:shd w:val="clear" w:color="auto" w:fill="auto"/>
            <w:noWrap/>
            <w:vAlign w:val="center"/>
          </w:tcPr>
          <w:p w14:paraId="4211CB49">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2027年</w:t>
            </w:r>
          </w:p>
        </w:tc>
      </w:tr>
      <w:tr w14:paraId="6F1C3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jc w:val="center"/>
        </w:trPr>
        <w:tc>
          <w:tcPr>
            <w:tcW w:w="942" w:type="pct"/>
            <w:shd w:val="clear" w:color="auto" w:fill="auto"/>
            <w:vAlign w:val="center"/>
          </w:tcPr>
          <w:p w14:paraId="6116EFFC">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阳明山村</w:t>
            </w:r>
          </w:p>
        </w:tc>
        <w:tc>
          <w:tcPr>
            <w:tcW w:w="756" w:type="pct"/>
            <w:shd w:val="clear" w:color="auto" w:fill="auto"/>
            <w:noWrap/>
            <w:vAlign w:val="center"/>
          </w:tcPr>
          <w:p w14:paraId="006B3F53">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02028</w:t>
            </w:r>
          </w:p>
        </w:tc>
        <w:tc>
          <w:tcPr>
            <w:tcW w:w="756" w:type="pct"/>
            <w:shd w:val="clear" w:color="auto" w:fill="auto"/>
            <w:vAlign w:val="center"/>
          </w:tcPr>
          <w:p w14:paraId="03069217">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中龄竹</w:t>
            </w:r>
          </w:p>
        </w:tc>
        <w:tc>
          <w:tcPr>
            <w:tcW w:w="640" w:type="pct"/>
            <w:shd w:val="clear" w:color="auto" w:fill="auto"/>
            <w:noWrap/>
            <w:vAlign w:val="center"/>
          </w:tcPr>
          <w:p w14:paraId="4DAD858D">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36.14 </w:t>
            </w:r>
          </w:p>
        </w:tc>
        <w:tc>
          <w:tcPr>
            <w:tcW w:w="1132" w:type="pct"/>
            <w:shd w:val="clear" w:color="auto" w:fill="auto"/>
            <w:vAlign w:val="center"/>
          </w:tcPr>
          <w:p w14:paraId="0AFD3DBF">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毛竹林改造</w:t>
            </w:r>
          </w:p>
        </w:tc>
        <w:tc>
          <w:tcPr>
            <w:tcW w:w="770" w:type="pct"/>
            <w:shd w:val="clear" w:color="auto" w:fill="auto"/>
            <w:noWrap/>
            <w:vAlign w:val="center"/>
          </w:tcPr>
          <w:p w14:paraId="3D19A31D">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2027年</w:t>
            </w:r>
          </w:p>
        </w:tc>
      </w:tr>
      <w:tr w14:paraId="0FD88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42" w:type="pct"/>
            <w:shd w:val="clear" w:color="auto" w:fill="auto"/>
            <w:vAlign w:val="center"/>
          </w:tcPr>
          <w:p w14:paraId="577365CD">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阳明山村</w:t>
            </w:r>
          </w:p>
        </w:tc>
        <w:tc>
          <w:tcPr>
            <w:tcW w:w="756" w:type="pct"/>
            <w:shd w:val="clear" w:color="auto" w:fill="auto"/>
            <w:noWrap/>
            <w:vAlign w:val="center"/>
          </w:tcPr>
          <w:p w14:paraId="5CF6F30E">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01830</w:t>
            </w:r>
          </w:p>
        </w:tc>
        <w:tc>
          <w:tcPr>
            <w:tcW w:w="756" w:type="pct"/>
            <w:shd w:val="clear" w:color="auto" w:fill="auto"/>
            <w:vAlign w:val="center"/>
          </w:tcPr>
          <w:p w14:paraId="548C7F5F">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中龄竹</w:t>
            </w:r>
          </w:p>
        </w:tc>
        <w:tc>
          <w:tcPr>
            <w:tcW w:w="640" w:type="pct"/>
            <w:shd w:val="clear" w:color="auto" w:fill="auto"/>
            <w:noWrap/>
            <w:vAlign w:val="center"/>
          </w:tcPr>
          <w:p w14:paraId="4CEF0AFE">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36.75 </w:t>
            </w:r>
          </w:p>
        </w:tc>
        <w:tc>
          <w:tcPr>
            <w:tcW w:w="1132" w:type="pct"/>
            <w:shd w:val="clear" w:color="auto" w:fill="auto"/>
            <w:vAlign w:val="center"/>
          </w:tcPr>
          <w:p w14:paraId="2B6A5A80">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毛竹林改造</w:t>
            </w:r>
          </w:p>
        </w:tc>
        <w:tc>
          <w:tcPr>
            <w:tcW w:w="770" w:type="pct"/>
            <w:shd w:val="clear" w:color="auto" w:fill="auto"/>
            <w:noWrap/>
            <w:vAlign w:val="center"/>
          </w:tcPr>
          <w:p w14:paraId="096B6D3B">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2027年</w:t>
            </w:r>
          </w:p>
        </w:tc>
      </w:tr>
      <w:tr w14:paraId="3CC3E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42" w:type="pct"/>
            <w:shd w:val="clear" w:color="auto" w:fill="auto"/>
            <w:vAlign w:val="center"/>
          </w:tcPr>
          <w:p w14:paraId="47D82405">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阳明山村</w:t>
            </w:r>
          </w:p>
        </w:tc>
        <w:tc>
          <w:tcPr>
            <w:tcW w:w="756" w:type="pct"/>
            <w:shd w:val="clear" w:color="auto" w:fill="auto"/>
            <w:noWrap/>
            <w:vAlign w:val="center"/>
          </w:tcPr>
          <w:p w14:paraId="3B2B2C6C">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02565</w:t>
            </w:r>
          </w:p>
        </w:tc>
        <w:tc>
          <w:tcPr>
            <w:tcW w:w="756" w:type="pct"/>
            <w:shd w:val="clear" w:color="auto" w:fill="auto"/>
            <w:vAlign w:val="center"/>
          </w:tcPr>
          <w:p w14:paraId="7C1FF3C8">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中龄竹</w:t>
            </w:r>
          </w:p>
        </w:tc>
        <w:tc>
          <w:tcPr>
            <w:tcW w:w="640" w:type="pct"/>
            <w:shd w:val="clear" w:color="auto" w:fill="auto"/>
            <w:noWrap/>
            <w:vAlign w:val="center"/>
          </w:tcPr>
          <w:p w14:paraId="7657F40A">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20.35 </w:t>
            </w:r>
          </w:p>
        </w:tc>
        <w:tc>
          <w:tcPr>
            <w:tcW w:w="1132" w:type="pct"/>
            <w:shd w:val="clear" w:color="auto" w:fill="auto"/>
            <w:vAlign w:val="center"/>
          </w:tcPr>
          <w:p w14:paraId="02DD60D2">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毛竹林改造</w:t>
            </w:r>
          </w:p>
        </w:tc>
        <w:tc>
          <w:tcPr>
            <w:tcW w:w="770" w:type="pct"/>
            <w:shd w:val="clear" w:color="auto" w:fill="auto"/>
            <w:noWrap/>
            <w:vAlign w:val="center"/>
          </w:tcPr>
          <w:p w14:paraId="20684A73">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2027年</w:t>
            </w:r>
          </w:p>
        </w:tc>
      </w:tr>
      <w:tr w14:paraId="6AF11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42" w:type="pct"/>
            <w:shd w:val="clear" w:color="auto" w:fill="auto"/>
            <w:vAlign w:val="center"/>
          </w:tcPr>
          <w:p w14:paraId="47A4F679">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阳明山村</w:t>
            </w:r>
          </w:p>
        </w:tc>
        <w:tc>
          <w:tcPr>
            <w:tcW w:w="756" w:type="pct"/>
            <w:shd w:val="clear" w:color="auto" w:fill="auto"/>
            <w:noWrap/>
            <w:vAlign w:val="center"/>
          </w:tcPr>
          <w:p w14:paraId="73592A37">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00635</w:t>
            </w:r>
          </w:p>
        </w:tc>
        <w:tc>
          <w:tcPr>
            <w:tcW w:w="756" w:type="pct"/>
            <w:shd w:val="clear" w:color="auto" w:fill="auto"/>
            <w:vAlign w:val="center"/>
          </w:tcPr>
          <w:p w14:paraId="461961A8">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中龄竹</w:t>
            </w:r>
          </w:p>
        </w:tc>
        <w:tc>
          <w:tcPr>
            <w:tcW w:w="640" w:type="pct"/>
            <w:shd w:val="clear" w:color="auto" w:fill="auto"/>
            <w:noWrap/>
            <w:vAlign w:val="center"/>
          </w:tcPr>
          <w:p w14:paraId="5DD6FCCA">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31.59 </w:t>
            </w:r>
          </w:p>
        </w:tc>
        <w:tc>
          <w:tcPr>
            <w:tcW w:w="1132" w:type="pct"/>
            <w:shd w:val="clear" w:color="auto" w:fill="auto"/>
            <w:vAlign w:val="center"/>
          </w:tcPr>
          <w:p w14:paraId="6BF5E4CC">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毛竹林改造</w:t>
            </w:r>
          </w:p>
        </w:tc>
        <w:tc>
          <w:tcPr>
            <w:tcW w:w="770" w:type="pct"/>
            <w:shd w:val="clear" w:color="auto" w:fill="auto"/>
            <w:noWrap/>
            <w:vAlign w:val="center"/>
          </w:tcPr>
          <w:p w14:paraId="33D3B370">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2028年</w:t>
            </w:r>
          </w:p>
        </w:tc>
      </w:tr>
      <w:tr w14:paraId="07742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jc w:val="center"/>
        </w:trPr>
        <w:tc>
          <w:tcPr>
            <w:tcW w:w="942" w:type="pct"/>
            <w:shd w:val="clear" w:color="auto" w:fill="auto"/>
            <w:vAlign w:val="center"/>
          </w:tcPr>
          <w:p w14:paraId="1867349B">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阳明山村</w:t>
            </w:r>
          </w:p>
        </w:tc>
        <w:tc>
          <w:tcPr>
            <w:tcW w:w="756" w:type="pct"/>
            <w:shd w:val="clear" w:color="auto" w:fill="auto"/>
            <w:noWrap/>
            <w:vAlign w:val="center"/>
          </w:tcPr>
          <w:p w14:paraId="5C0DCE12">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00661</w:t>
            </w:r>
          </w:p>
        </w:tc>
        <w:tc>
          <w:tcPr>
            <w:tcW w:w="756" w:type="pct"/>
            <w:shd w:val="clear" w:color="auto" w:fill="auto"/>
            <w:vAlign w:val="center"/>
          </w:tcPr>
          <w:p w14:paraId="701B52FD">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中龄竹</w:t>
            </w:r>
          </w:p>
        </w:tc>
        <w:tc>
          <w:tcPr>
            <w:tcW w:w="640" w:type="pct"/>
            <w:shd w:val="clear" w:color="auto" w:fill="auto"/>
            <w:noWrap/>
            <w:vAlign w:val="center"/>
          </w:tcPr>
          <w:p w14:paraId="420E71DA">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26.83 </w:t>
            </w:r>
          </w:p>
        </w:tc>
        <w:tc>
          <w:tcPr>
            <w:tcW w:w="1132" w:type="pct"/>
            <w:shd w:val="clear" w:color="auto" w:fill="auto"/>
            <w:vAlign w:val="center"/>
          </w:tcPr>
          <w:p w14:paraId="2FA8C744">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毛竹林改造</w:t>
            </w:r>
          </w:p>
        </w:tc>
        <w:tc>
          <w:tcPr>
            <w:tcW w:w="770" w:type="pct"/>
            <w:shd w:val="clear" w:color="auto" w:fill="auto"/>
            <w:noWrap/>
            <w:vAlign w:val="center"/>
          </w:tcPr>
          <w:p w14:paraId="04CD7C52">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2028年</w:t>
            </w:r>
          </w:p>
        </w:tc>
      </w:tr>
      <w:tr w14:paraId="05039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42" w:type="pct"/>
            <w:shd w:val="clear" w:color="auto" w:fill="auto"/>
            <w:vAlign w:val="center"/>
          </w:tcPr>
          <w:p w14:paraId="7E7909C0">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阳明山村</w:t>
            </w:r>
          </w:p>
        </w:tc>
        <w:tc>
          <w:tcPr>
            <w:tcW w:w="756" w:type="pct"/>
            <w:shd w:val="clear" w:color="auto" w:fill="auto"/>
            <w:noWrap/>
            <w:vAlign w:val="center"/>
          </w:tcPr>
          <w:p w14:paraId="7D22E298">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00644</w:t>
            </w:r>
          </w:p>
        </w:tc>
        <w:tc>
          <w:tcPr>
            <w:tcW w:w="756" w:type="pct"/>
            <w:shd w:val="clear" w:color="auto" w:fill="auto"/>
            <w:vAlign w:val="center"/>
          </w:tcPr>
          <w:p w14:paraId="7412A1BA">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中龄竹</w:t>
            </w:r>
          </w:p>
        </w:tc>
        <w:tc>
          <w:tcPr>
            <w:tcW w:w="640" w:type="pct"/>
            <w:shd w:val="clear" w:color="auto" w:fill="auto"/>
            <w:noWrap/>
            <w:vAlign w:val="center"/>
          </w:tcPr>
          <w:p w14:paraId="4BF28FAB">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23.70 </w:t>
            </w:r>
          </w:p>
        </w:tc>
        <w:tc>
          <w:tcPr>
            <w:tcW w:w="1132" w:type="pct"/>
            <w:shd w:val="clear" w:color="auto" w:fill="auto"/>
            <w:vAlign w:val="center"/>
          </w:tcPr>
          <w:p w14:paraId="7AEC4DB2">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毛竹林改造</w:t>
            </w:r>
          </w:p>
        </w:tc>
        <w:tc>
          <w:tcPr>
            <w:tcW w:w="770" w:type="pct"/>
            <w:shd w:val="clear" w:color="auto" w:fill="auto"/>
            <w:noWrap/>
            <w:vAlign w:val="center"/>
          </w:tcPr>
          <w:p w14:paraId="22FC8498">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2028年</w:t>
            </w:r>
          </w:p>
        </w:tc>
      </w:tr>
    </w:tbl>
    <w:p w14:paraId="7F233AE9">
      <w:pPr>
        <w:spacing w:line="56" w:lineRule="exact"/>
        <w:ind w:firstLine="480"/>
        <w:rPr>
          <w:rFonts w:cs="Times New Roman"/>
        </w:rPr>
      </w:pPr>
    </w:p>
    <w:p w14:paraId="03BE31DC">
      <w:pPr>
        <w:ind w:firstLine="480"/>
        <w:rPr>
          <w:rFonts w:cs="Times New Roman"/>
        </w:rPr>
        <w:sectPr>
          <w:footerReference r:id="rId33" w:type="default"/>
          <w:footerReference r:id="rId34" w:type="even"/>
          <w:pgSz w:w="11905" w:h="16843"/>
          <w:pgMar w:top="1440" w:right="1406" w:bottom="1440" w:left="1803" w:header="873" w:footer="1276" w:gutter="0"/>
          <w:cols w:space="0" w:num="1"/>
          <w:rtlGutter w:val="0"/>
          <w:docGrid w:linePitch="326" w:charSpace="0"/>
        </w:sectPr>
      </w:pPr>
    </w:p>
    <w:p w14:paraId="31E5ECED">
      <w:pPr>
        <w:spacing w:line="240" w:lineRule="auto"/>
        <w:ind w:firstLine="0" w:firstLineChars="0"/>
        <w:jc w:val="center"/>
        <w:rPr>
          <w:rFonts w:eastAsia="黑体" w:cs="Times New Roman"/>
          <w:b/>
          <w:bCs/>
          <w:szCs w:val="24"/>
          <w:lang w:eastAsia="zh-CN"/>
        </w:rPr>
      </w:pPr>
      <w:r>
        <w:rPr>
          <w:rFonts w:eastAsia="黑体" w:cs="Times New Roman"/>
          <w:b/>
          <w:bCs/>
          <w:szCs w:val="24"/>
          <w:lang w:eastAsia="zh-CN"/>
        </w:rPr>
        <w:t>表5-5双牌县阳明山国有林场毛竹林改造规划</w:t>
      </w:r>
      <w:r>
        <w:rPr>
          <w:rFonts w:eastAsia="黑体" w:cs="Times New Roman"/>
          <w:b/>
          <w:bCs/>
          <w:szCs w:val="24"/>
          <w:lang w:eastAsia="zh-CN" w:bidi="ar"/>
        </w:rPr>
        <w:t>阶段任务安排</w:t>
      </w:r>
      <w:r>
        <w:rPr>
          <w:rFonts w:eastAsia="黑体" w:cs="Times New Roman"/>
          <w:b/>
          <w:bCs/>
          <w:szCs w:val="24"/>
          <w:lang w:eastAsia="zh-CN"/>
        </w:rPr>
        <w:t>一览表</w:t>
      </w:r>
    </w:p>
    <w:p w14:paraId="5CBF10DE">
      <w:pPr>
        <w:spacing w:line="240" w:lineRule="auto"/>
        <w:ind w:firstLine="0" w:firstLineChars="0"/>
        <w:jc w:val="right"/>
        <w:rPr>
          <w:rFonts w:cs="Times New Roman"/>
          <w:sz w:val="21"/>
          <w:lang w:eastAsia="zh-CN"/>
        </w:rPr>
      </w:pPr>
      <w:r>
        <w:rPr>
          <w:rFonts w:cs="Times New Roman"/>
          <w:sz w:val="21"/>
        </w:rPr>
        <w:t>单位：</w:t>
      </w:r>
      <w:r>
        <w:rPr>
          <w:rFonts w:cs="Times New Roman"/>
          <w:sz w:val="21"/>
          <w:lang w:eastAsia="zh-CN"/>
        </w:rPr>
        <w:t>hm</w:t>
      </w:r>
      <w:r>
        <w:rPr>
          <w:rFonts w:cs="Times New Roman"/>
          <w:sz w:val="21"/>
          <w:vertAlign w:val="superscript"/>
          <w:lang w:eastAsia="zh-CN"/>
        </w:rPr>
        <w:t>2</w:t>
      </w:r>
    </w:p>
    <w:tbl>
      <w:tblPr>
        <w:tblStyle w:val="1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55"/>
        <w:gridCol w:w="955"/>
        <w:gridCol w:w="955"/>
        <w:gridCol w:w="955"/>
        <w:gridCol w:w="955"/>
        <w:gridCol w:w="955"/>
        <w:gridCol w:w="956"/>
        <w:gridCol w:w="956"/>
        <w:gridCol w:w="1268"/>
      </w:tblGrid>
      <w:tr w14:paraId="25CBD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jc w:val="center"/>
        </w:trPr>
        <w:tc>
          <w:tcPr>
            <w:tcW w:w="536" w:type="pct"/>
            <w:vMerge w:val="restart"/>
            <w:shd w:val="clear" w:color="auto" w:fill="auto"/>
            <w:vAlign w:val="center"/>
          </w:tcPr>
          <w:p w14:paraId="65CF82C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bookmarkStart w:id="82" w:name="bookmark50"/>
            <w:bookmarkEnd w:id="82"/>
            <w:bookmarkStart w:id="83" w:name="_Toc17717"/>
            <w:r>
              <w:rPr>
                <w:rFonts w:hint="default" w:ascii="Times New Roman" w:hAnsi="Times New Roman" w:eastAsia="宋体" w:cs="Times New Roman"/>
                <w:i w:val="0"/>
                <w:iCs w:val="0"/>
                <w:snapToGrid w:val="0"/>
                <w:color w:val="000000"/>
                <w:kern w:val="0"/>
                <w:sz w:val="21"/>
                <w:szCs w:val="21"/>
                <w:u w:val="none"/>
                <w:lang w:val="en-US" w:eastAsia="zh-CN" w:bidi="ar"/>
              </w:rPr>
              <w:t>工区</w:t>
            </w:r>
          </w:p>
        </w:tc>
        <w:tc>
          <w:tcPr>
            <w:tcW w:w="4463" w:type="pct"/>
            <w:gridSpan w:val="8"/>
            <w:shd w:val="clear" w:color="auto" w:fill="auto"/>
            <w:vAlign w:val="center"/>
          </w:tcPr>
          <w:p w14:paraId="3CCB05C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阶段任务安排</w:t>
            </w:r>
          </w:p>
        </w:tc>
      </w:tr>
      <w:tr w14:paraId="0BD5B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536" w:type="pct"/>
            <w:vMerge w:val="continue"/>
            <w:shd w:val="clear" w:color="auto" w:fill="auto"/>
            <w:vAlign w:val="center"/>
          </w:tcPr>
          <w:p w14:paraId="38245C73">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536" w:type="pct"/>
            <w:shd w:val="clear" w:color="auto" w:fill="auto"/>
            <w:vAlign w:val="center"/>
          </w:tcPr>
          <w:p w14:paraId="0BD0D07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2024年</w:t>
            </w:r>
          </w:p>
        </w:tc>
        <w:tc>
          <w:tcPr>
            <w:tcW w:w="536" w:type="pct"/>
            <w:shd w:val="clear" w:color="auto" w:fill="auto"/>
            <w:vAlign w:val="center"/>
          </w:tcPr>
          <w:p w14:paraId="0D36A0F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2025年</w:t>
            </w:r>
          </w:p>
        </w:tc>
        <w:tc>
          <w:tcPr>
            <w:tcW w:w="536" w:type="pct"/>
            <w:shd w:val="clear" w:color="auto" w:fill="auto"/>
            <w:vAlign w:val="center"/>
          </w:tcPr>
          <w:p w14:paraId="0BCF38A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2026年</w:t>
            </w:r>
          </w:p>
        </w:tc>
        <w:tc>
          <w:tcPr>
            <w:tcW w:w="536" w:type="pct"/>
            <w:shd w:val="clear" w:color="auto" w:fill="auto"/>
            <w:vAlign w:val="center"/>
          </w:tcPr>
          <w:p w14:paraId="22DE973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2027年</w:t>
            </w:r>
          </w:p>
        </w:tc>
        <w:tc>
          <w:tcPr>
            <w:tcW w:w="536" w:type="pct"/>
            <w:shd w:val="clear" w:color="auto" w:fill="auto"/>
            <w:vAlign w:val="center"/>
          </w:tcPr>
          <w:p w14:paraId="7CAF18F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2028年</w:t>
            </w:r>
          </w:p>
        </w:tc>
        <w:tc>
          <w:tcPr>
            <w:tcW w:w="536" w:type="pct"/>
            <w:shd w:val="clear" w:color="auto" w:fill="auto"/>
            <w:vAlign w:val="center"/>
          </w:tcPr>
          <w:p w14:paraId="13908F4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前期小计</w:t>
            </w:r>
          </w:p>
        </w:tc>
        <w:tc>
          <w:tcPr>
            <w:tcW w:w="536" w:type="pct"/>
            <w:shd w:val="clear" w:color="auto" w:fill="auto"/>
            <w:vAlign w:val="center"/>
          </w:tcPr>
          <w:p w14:paraId="22CF326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后期小计</w:t>
            </w:r>
          </w:p>
        </w:tc>
        <w:tc>
          <w:tcPr>
            <w:tcW w:w="708" w:type="pct"/>
            <w:shd w:val="clear" w:color="auto" w:fill="auto"/>
            <w:vAlign w:val="center"/>
          </w:tcPr>
          <w:p w14:paraId="30102BB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合计</w:t>
            </w:r>
          </w:p>
        </w:tc>
      </w:tr>
      <w:tr w14:paraId="0B6E4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536" w:type="pct"/>
            <w:shd w:val="clear" w:color="auto" w:fill="auto"/>
            <w:vAlign w:val="center"/>
          </w:tcPr>
          <w:p w14:paraId="3FA7539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总计</w:t>
            </w:r>
          </w:p>
        </w:tc>
        <w:tc>
          <w:tcPr>
            <w:tcW w:w="536" w:type="pct"/>
            <w:shd w:val="clear" w:color="auto" w:fill="auto"/>
            <w:vAlign w:val="center"/>
          </w:tcPr>
          <w:p w14:paraId="0C1B032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18.40</w:t>
            </w:r>
          </w:p>
        </w:tc>
        <w:tc>
          <w:tcPr>
            <w:tcW w:w="536" w:type="pct"/>
            <w:shd w:val="clear" w:color="auto" w:fill="auto"/>
            <w:vAlign w:val="center"/>
          </w:tcPr>
          <w:p w14:paraId="227E35C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144.95</w:t>
            </w:r>
          </w:p>
        </w:tc>
        <w:tc>
          <w:tcPr>
            <w:tcW w:w="536" w:type="pct"/>
            <w:shd w:val="clear" w:color="auto" w:fill="auto"/>
            <w:vAlign w:val="center"/>
          </w:tcPr>
          <w:p w14:paraId="01CD85A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125.19</w:t>
            </w:r>
          </w:p>
        </w:tc>
        <w:tc>
          <w:tcPr>
            <w:tcW w:w="536" w:type="pct"/>
            <w:shd w:val="clear" w:color="auto" w:fill="auto"/>
            <w:vAlign w:val="center"/>
          </w:tcPr>
          <w:p w14:paraId="35CC873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169.94</w:t>
            </w:r>
          </w:p>
        </w:tc>
        <w:tc>
          <w:tcPr>
            <w:tcW w:w="536" w:type="pct"/>
            <w:shd w:val="clear" w:color="auto" w:fill="auto"/>
            <w:vAlign w:val="center"/>
          </w:tcPr>
          <w:p w14:paraId="0833B8E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82.13</w:t>
            </w:r>
          </w:p>
        </w:tc>
        <w:tc>
          <w:tcPr>
            <w:tcW w:w="536" w:type="pct"/>
            <w:shd w:val="clear" w:color="auto" w:fill="auto"/>
            <w:vAlign w:val="center"/>
          </w:tcPr>
          <w:p w14:paraId="69E4F81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540.61</w:t>
            </w:r>
          </w:p>
        </w:tc>
        <w:tc>
          <w:tcPr>
            <w:tcW w:w="536" w:type="pct"/>
            <w:shd w:val="clear" w:color="auto" w:fill="auto"/>
            <w:vAlign w:val="center"/>
          </w:tcPr>
          <w:p w14:paraId="37303B8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200</w:t>
            </w:r>
          </w:p>
        </w:tc>
        <w:tc>
          <w:tcPr>
            <w:tcW w:w="708" w:type="pct"/>
            <w:shd w:val="clear" w:color="auto" w:fill="auto"/>
            <w:vAlign w:val="center"/>
          </w:tcPr>
          <w:p w14:paraId="1137092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740.61</w:t>
            </w:r>
          </w:p>
        </w:tc>
      </w:tr>
      <w:tr w14:paraId="29999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536" w:type="pct"/>
            <w:shd w:val="clear" w:color="auto" w:fill="auto"/>
            <w:vAlign w:val="center"/>
          </w:tcPr>
          <w:p w14:paraId="34BA223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林场场部</w:t>
            </w:r>
          </w:p>
        </w:tc>
        <w:tc>
          <w:tcPr>
            <w:tcW w:w="536" w:type="pct"/>
            <w:shd w:val="clear" w:color="auto" w:fill="auto"/>
            <w:vAlign w:val="center"/>
          </w:tcPr>
          <w:p w14:paraId="77DF04F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2.77</w:t>
            </w:r>
          </w:p>
        </w:tc>
        <w:tc>
          <w:tcPr>
            <w:tcW w:w="536" w:type="pct"/>
            <w:shd w:val="clear" w:color="auto" w:fill="auto"/>
            <w:vAlign w:val="center"/>
          </w:tcPr>
          <w:p w14:paraId="6B820F28">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536" w:type="pct"/>
            <w:shd w:val="clear" w:color="auto" w:fill="auto"/>
            <w:vAlign w:val="center"/>
          </w:tcPr>
          <w:p w14:paraId="107EC44D">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536" w:type="pct"/>
            <w:shd w:val="clear" w:color="auto" w:fill="auto"/>
            <w:vAlign w:val="center"/>
          </w:tcPr>
          <w:p w14:paraId="0173DF0D">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536" w:type="pct"/>
            <w:shd w:val="clear" w:color="auto" w:fill="auto"/>
            <w:vAlign w:val="center"/>
          </w:tcPr>
          <w:p w14:paraId="7E3630C1">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536" w:type="pct"/>
            <w:shd w:val="clear" w:color="auto" w:fill="auto"/>
            <w:vAlign w:val="center"/>
          </w:tcPr>
          <w:p w14:paraId="22E1D61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2.77</w:t>
            </w:r>
          </w:p>
        </w:tc>
        <w:tc>
          <w:tcPr>
            <w:tcW w:w="536" w:type="pct"/>
            <w:shd w:val="clear" w:color="auto" w:fill="auto"/>
            <w:vAlign w:val="center"/>
          </w:tcPr>
          <w:p w14:paraId="4C2491E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50</w:t>
            </w:r>
          </w:p>
        </w:tc>
        <w:tc>
          <w:tcPr>
            <w:tcW w:w="708" w:type="pct"/>
            <w:shd w:val="clear" w:color="auto" w:fill="auto"/>
            <w:vAlign w:val="center"/>
          </w:tcPr>
          <w:p w14:paraId="50C2B9C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52.77</w:t>
            </w:r>
          </w:p>
        </w:tc>
      </w:tr>
      <w:tr w14:paraId="5E2A9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536" w:type="pct"/>
            <w:shd w:val="clear" w:color="auto" w:fill="auto"/>
            <w:vAlign w:val="center"/>
          </w:tcPr>
          <w:p w14:paraId="7723CF4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阳明山村</w:t>
            </w:r>
          </w:p>
        </w:tc>
        <w:tc>
          <w:tcPr>
            <w:tcW w:w="536" w:type="pct"/>
            <w:shd w:val="clear" w:color="auto" w:fill="auto"/>
            <w:vAlign w:val="center"/>
          </w:tcPr>
          <w:p w14:paraId="26A1F6C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15.63</w:t>
            </w:r>
          </w:p>
        </w:tc>
        <w:tc>
          <w:tcPr>
            <w:tcW w:w="536" w:type="pct"/>
            <w:shd w:val="clear" w:color="auto" w:fill="auto"/>
            <w:vAlign w:val="center"/>
          </w:tcPr>
          <w:p w14:paraId="61E3338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144.95</w:t>
            </w:r>
          </w:p>
        </w:tc>
        <w:tc>
          <w:tcPr>
            <w:tcW w:w="536" w:type="pct"/>
            <w:shd w:val="clear" w:color="auto" w:fill="auto"/>
            <w:vAlign w:val="center"/>
          </w:tcPr>
          <w:p w14:paraId="62AC952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125.19</w:t>
            </w:r>
          </w:p>
        </w:tc>
        <w:tc>
          <w:tcPr>
            <w:tcW w:w="536" w:type="pct"/>
            <w:shd w:val="clear" w:color="auto" w:fill="auto"/>
            <w:vAlign w:val="center"/>
          </w:tcPr>
          <w:p w14:paraId="1D09766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169.94</w:t>
            </w:r>
          </w:p>
        </w:tc>
        <w:tc>
          <w:tcPr>
            <w:tcW w:w="536" w:type="pct"/>
            <w:shd w:val="clear" w:color="auto" w:fill="auto"/>
            <w:vAlign w:val="center"/>
          </w:tcPr>
          <w:p w14:paraId="5F69553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82.13</w:t>
            </w:r>
          </w:p>
        </w:tc>
        <w:tc>
          <w:tcPr>
            <w:tcW w:w="536" w:type="pct"/>
            <w:shd w:val="clear" w:color="auto" w:fill="auto"/>
            <w:vAlign w:val="center"/>
          </w:tcPr>
          <w:p w14:paraId="5808AA0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537.84</w:t>
            </w:r>
          </w:p>
        </w:tc>
        <w:tc>
          <w:tcPr>
            <w:tcW w:w="536" w:type="pct"/>
            <w:shd w:val="clear" w:color="auto" w:fill="auto"/>
            <w:vAlign w:val="center"/>
          </w:tcPr>
          <w:p w14:paraId="0D4B532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100</w:t>
            </w:r>
          </w:p>
        </w:tc>
        <w:tc>
          <w:tcPr>
            <w:tcW w:w="708" w:type="pct"/>
            <w:shd w:val="clear" w:color="auto" w:fill="auto"/>
            <w:vAlign w:val="center"/>
          </w:tcPr>
          <w:p w14:paraId="25836CA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637.84</w:t>
            </w:r>
          </w:p>
        </w:tc>
      </w:tr>
    </w:tbl>
    <w:p w14:paraId="0F27BDEC">
      <w:pPr>
        <w:pStyle w:val="3"/>
        <w:rPr>
          <w:lang w:eastAsia="zh-CN"/>
        </w:rPr>
      </w:pPr>
      <w:r>
        <w:rPr>
          <w:lang w:eastAsia="zh-CN"/>
        </w:rPr>
        <w:t>5.5种苗</w:t>
      </w:r>
      <w:r>
        <w:rPr>
          <w:rFonts w:hint="eastAsia"/>
          <w:lang w:eastAsia="zh-CN"/>
        </w:rPr>
        <w:t>生产</w:t>
      </w:r>
      <w:bookmarkEnd w:id="83"/>
    </w:p>
    <w:p w14:paraId="02ADBA4A">
      <w:pPr>
        <w:ind w:firstLine="480"/>
        <w:rPr>
          <w:lang w:eastAsia="zh-CN"/>
        </w:rPr>
      </w:pPr>
      <w:r>
        <w:rPr>
          <w:rFonts w:hint="eastAsia"/>
          <w:lang w:eastAsia="zh-CN"/>
        </w:rPr>
        <w:t>种苗是造林的重要物质基础，坚持良种壮苗造林的原则，贯彻“自产、自育、自造”，实现良种生产自主化的方针，做好种苗培育工作。自育苗不仅能供应林场内补植、改造等所需的苗木量，还能解决外调苗成活率低等实际问题。</w:t>
      </w:r>
    </w:p>
    <w:p w14:paraId="5DD05B29">
      <w:pPr>
        <w:ind w:firstLine="480"/>
        <w:rPr>
          <w:rFonts w:cs="Times New Roman"/>
          <w:szCs w:val="24"/>
          <w:lang w:eastAsia="zh-CN"/>
        </w:rPr>
      </w:pPr>
      <w:r>
        <w:rPr>
          <w:rFonts w:hint="eastAsia"/>
          <w:lang w:eastAsia="zh-CN"/>
        </w:rPr>
        <w:t>在林场非林地范围内选择交通便利、易于管理的合适非林地内选择面积约为0.4</w:t>
      </w:r>
      <w:r>
        <w:rPr>
          <w:rFonts w:hint="eastAsia" w:cs="Times New Roman"/>
          <w:szCs w:val="24"/>
          <w:lang w:val="zh-CN" w:eastAsia="zh-CN"/>
        </w:rPr>
        <w:t>hm</w:t>
      </w:r>
      <w:r>
        <w:rPr>
          <w:rFonts w:hint="eastAsia" w:cs="Times New Roman"/>
          <w:szCs w:val="24"/>
          <w:vertAlign w:val="superscript"/>
          <w:lang w:val="zh-CN" w:eastAsia="zh-CN"/>
        </w:rPr>
        <w:t>2</w:t>
      </w:r>
      <w:r>
        <w:rPr>
          <w:rFonts w:hint="eastAsia"/>
          <w:lang w:eastAsia="zh-CN"/>
        </w:rPr>
        <w:t>的苗圃地，规划在阳明山工区的叶子漯，主要培育林相改造所需南方红豆杉、伯乐树、楠木、云锦杜鹃、映山红等树种苗木，以满足林场森林培育重点工程项目建设和绿化用苗。</w:t>
      </w:r>
    </w:p>
    <w:p w14:paraId="1D46092B">
      <w:pPr>
        <w:pStyle w:val="3"/>
        <w:rPr>
          <w:lang w:eastAsia="zh-CN"/>
        </w:rPr>
      </w:pPr>
      <w:bookmarkStart w:id="84" w:name="bookmark52"/>
      <w:bookmarkEnd w:id="84"/>
      <w:bookmarkStart w:id="85" w:name="_Toc25856"/>
      <w:r>
        <w:rPr>
          <w:lang w:eastAsia="zh-CN"/>
        </w:rPr>
        <w:t>5.6森林培育重点工程</w:t>
      </w:r>
      <w:bookmarkEnd w:id="85"/>
    </w:p>
    <w:p w14:paraId="22DA75DD">
      <w:pPr>
        <w:pStyle w:val="4"/>
      </w:pPr>
      <w:r>
        <w:t>5.6.1森林质量精准提升</w:t>
      </w:r>
    </w:p>
    <w:p w14:paraId="31E85E73">
      <w:pPr>
        <w:spacing w:before="51"/>
        <w:ind w:firstLine="480"/>
        <w:rPr>
          <w:rFonts w:cs="Times New Roman"/>
          <w:szCs w:val="24"/>
          <w:lang w:eastAsia="zh-CN"/>
        </w:rPr>
      </w:pPr>
      <w:r>
        <w:rPr>
          <w:rFonts w:hint="eastAsia" w:cs="Times New Roman"/>
          <w:szCs w:val="24"/>
          <w:lang w:eastAsia="zh-CN"/>
        </w:rPr>
        <w:t>(1)</w:t>
      </w:r>
      <w:r>
        <w:rPr>
          <w:rFonts w:cs="Times New Roman"/>
          <w:szCs w:val="24"/>
          <w:lang w:eastAsia="zh-CN"/>
        </w:rPr>
        <w:t>建设背景</w:t>
      </w:r>
    </w:p>
    <w:p w14:paraId="3A7C4056">
      <w:pPr>
        <w:ind w:firstLine="480"/>
        <w:rPr>
          <w:lang w:eastAsia="zh-CN"/>
        </w:rPr>
      </w:pPr>
      <w:r>
        <w:rPr>
          <w:lang w:eastAsia="zh-CN"/>
        </w:rPr>
        <w:t>习近平总书记主持召开中央财经领导小组第12次会议专题研究森林生态安全问题时强调：要着力提高森林质量，坚持保护优先、自然修复为主，坚持数量质量并重、质量优先，坚持封山育林、人工造林并举；完善天然林保护制度，全面停止天然林商业性采伐；重视提升森林组成、结构、功能，宜封则封、宜造则造，宜林则林、宜灌则灌、宜草则草；要实施森林质量精准提升工程。</w:t>
      </w:r>
    </w:p>
    <w:p w14:paraId="4BBD05EC">
      <w:pPr>
        <w:ind w:firstLine="480"/>
        <w:rPr>
          <w:lang w:eastAsia="zh-CN"/>
        </w:rPr>
      </w:pPr>
      <w:r>
        <w:rPr>
          <w:lang w:eastAsia="zh-CN"/>
        </w:rPr>
        <w:t>国家林业局把森林提质增效摆在突出位置，将全面加强森林经营、提升森林质量作为林业建设的核心任务和主攻方向。在国家发改委、财政部等部门大力支持下，林业部门采取了一系列举措和行动。编制实施了《“十三五”森林质量精准提升工程规划》《全国森林经营规划</w:t>
      </w:r>
      <w:r>
        <w:rPr>
          <w:rFonts w:hint="eastAsia"/>
          <w:lang w:eastAsia="zh-CN"/>
        </w:rPr>
        <w:t>(</w:t>
      </w:r>
      <w:r>
        <w:rPr>
          <w:lang w:eastAsia="zh-CN"/>
        </w:rPr>
        <w:t>2016</w:t>
      </w:r>
      <w:r>
        <w:rPr>
          <w:rFonts w:hint="eastAsia"/>
          <w:lang w:eastAsia="zh-CN"/>
        </w:rPr>
        <w:t>—</w:t>
      </w:r>
      <w:r>
        <w:rPr>
          <w:lang w:eastAsia="zh-CN"/>
        </w:rPr>
        <w:t>2050年</w:t>
      </w:r>
      <w:r>
        <w:rPr>
          <w:rFonts w:hint="eastAsia"/>
          <w:lang w:eastAsia="zh-CN"/>
        </w:rPr>
        <w:t>)</w:t>
      </w:r>
      <w:r>
        <w:rPr>
          <w:lang w:eastAsia="zh-CN"/>
        </w:rPr>
        <w:t>》，创新了营造林生产管理模式，新增退化林修复等造林指标，年均完成营造林1亿亩、森林抚育1.2亿亩。实施森林质量精准提升是增强森林生态功能的根本举措，是培育木材战略资源的重要抓手，是推进林业供给侧结构性改革的重要内容，是贯彻绿色发展理念、推进美丽中国建设的必然要求，是参与全球气候治理的战略选择。</w:t>
      </w:r>
    </w:p>
    <w:p w14:paraId="2D99110B">
      <w:pPr>
        <w:ind w:firstLine="480"/>
        <w:rPr>
          <w:lang w:eastAsia="zh-CN"/>
        </w:rPr>
      </w:pPr>
      <w:r>
        <w:rPr>
          <w:rFonts w:hint="eastAsia"/>
          <w:lang w:eastAsia="zh-CN"/>
        </w:rPr>
        <w:t>(2)</w:t>
      </w:r>
      <w:r>
        <w:rPr>
          <w:lang w:eastAsia="zh-CN"/>
        </w:rPr>
        <w:t>建设目标</w:t>
      </w:r>
    </w:p>
    <w:p w14:paraId="642F9275">
      <w:pPr>
        <w:ind w:firstLine="480"/>
        <w:rPr>
          <w:lang w:eastAsia="zh-CN"/>
        </w:rPr>
      </w:pPr>
      <w:r>
        <w:rPr>
          <w:lang w:eastAsia="zh-CN"/>
        </w:rPr>
        <w:t>主要培育目标方向为构建稳健的森林生态系统，由单一树种向多树种、复层异龄林过渡，形成恒续林。</w:t>
      </w:r>
    </w:p>
    <w:p w14:paraId="10128CF1">
      <w:pPr>
        <w:ind w:firstLine="480"/>
        <w:rPr>
          <w:lang w:eastAsia="zh-CN"/>
        </w:rPr>
      </w:pPr>
      <w:r>
        <w:rPr>
          <w:rFonts w:hint="eastAsia"/>
          <w:lang w:eastAsia="zh-CN"/>
        </w:rPr>
        <w:t>(3)</w:t>
      </w:r>
      <w:r>
        <w:rPr>
          <w:lang w:eastAsia="zh-CN"/>
        </w:rPr>
        <w:t>建设内容</w:t>
      </w:r>
    </w:p>
    <w:p w14:paraId="32B5A563">
      <w:pPr>
        <w:ind w:firstLine="480"/>
        <w:rPr>
          <w:lang w:eastAsia="zh-CN"/>
        </w:rPr>
      </w:pPr>
      <w:r>
        <w:rPr>
          <w:lang w:eastAsia="zh-CN"/>
        </w:rPr>
        <w:t>选择符合下列条件的杉木</w:t>
      </w:r>
      <w:r>
        <w:rPr>
          <w:rFonts w:hint="eastAsia"/>
          <w:lang w:val="en-US" w:eastAsia="zh-CN"/>
        </w:rPr>
        <w:t>防护林</w:t>
      </w:r>
      <w:r>
        <w:rPr>
          <w:lang w:eastAsia="zh-CN"/>
        </w:rPr>
        <w:t>重点保护型、杉木</w:t>
      </w:r>
      <w:r>
        <w:rPr>
          <w:rFonts w:hint="eastAsia"/>
          <w:lang w:val="en-US" w:eastAsia="zh-CN"/>
        </w:rPr>
        <w:t>特用林</w:t>
      </w:r>
      <w:r>
        <w:rPr>
          <w:lang w:eastAsia="zh-CN"/>
        </w:rPr>
        <w:t>重点保护型林分作为森林质量精准提升的林分。</w:t>
      </w:r>
    </w:p>
    <w:p w14:paraId="7D968467">
      <w:pPr>
        <w:ind w:firstLine="480"/>
        <w:rPr>
          <w:lang w:eastAsia="zh-CN"/>
        </w:rPr>
      </w:pPr>
      <w:r>
        <w:rPr>
          <w:lang w:eastAsia="zh-CN"/>
        </w:rPr>
        <w:t>根据林场森林资源状况，规划建设</w:t>
      </w:r>
      <w:r>
        <w:rPr>
          <w:rFonts w:hint="eastAsia"/>
          <w:lang w:eastAsia="zh-CN"/>
        </w:rPr>
        <w:t>200</w:t>
      </w:r>
      <w:r>
        <w:rPr>
          <w:lang w:eastAsia="zh-CN"/>
        </w:rPr>
        <w:t>hm</w:t>
      </w:r>
      <w:r>
        <w:rPr>
          <w:vertAlign w:val="superscript"/>
          <w:lang w:eastAsia="zh-CN"/>
        </w:rPr>
        <w:t>2</w:t>
      </w:r>
      <w:r>
        <w:rPr>
          <w:lang w:eastAsia="zh-CN"/>
        </w:rPr>
        <w:t>，每年建设</w:t>
      </w:r>
      <w:r>
        <w:rPr>
          <w:rFonts w:hint="eastAsia"/>
          <w:lang w:eastAsia="zh-CN"/>
        </w:rPr>
        <w:t>前期100</w:t>
      </w:r>
      <w:r>
        <w:rPr>
          <w:lang w:eastAsia="zh-CN"/>
        </w:rPr>
        <w:t>hm</w:t>
      </w:r>
      <w:r>
        <w:rPr>
          <w:vertAlign w:val="superscript"/>
          <w:lang w:eastAsia="zh-CN"/>
        </w:rPr>
        <w:t>2</w:t>
      </w:r>
      <w:r>
        <w:rPr>
          <w:rFonts w:hint="eastAsia"/>
          <w:lang w:eastAsia="zh-CN"/>
        </w:rPr>
        <w:t>，后期100</w:t>
      </w:r>
      <w:r>
        <w:rPr>
          <w:lang w:eastAsia="zh-CN"/>
        </w:rPr>
        <w:t>hm</w:t>
      </w:r>
      <w:r>
        <w:rPr>
          <w:vertAlign w:val="superscript"/>
          <w:lang w:eastAsia="zh-CN"/>
        </w:rPr>
        <w:t>2</w:t>
      </w:r>
      <w:r>
        <w:rPr>
          <w:lang w:eastAsia="zh-CN"/>
        </w:rPr>
        <w:t>。具体以省局</w:t>
      </w:r>
      <w:r>
        <w:rPr>
          <w:rFonts w:hint="eastAsia"/>
          <w:lang w:eastAsia="zh-CN"/>
        </w:rPr>
        <w:t>安</w:t>
      </w:r>
      <w:r>
        <w:rPr>
          <w:lang w:eastAsia="zh-CN"/>
        </w:rPr>
        <w:t>排任务为准。</w:t>
      </w:r>
    </w:p>
    <w:p w14:paraId="12626187">
      <w:pPr>
        <w:ind w:firstLine="480"/>
        <w:rPr>
          <w:lang w:eastAsia="zh-CN"/>
        </w:rPr>
      </w:pPr>
      <w:r>
        <w:rPr>
          <w:rFonts w:hint="eastAsia"/>
          <w:lang w:eastAsia="zh-CN"/>
        </w:rPr>
        <w:t>①</w:t>
      </w:r>
      <w:r>
        <w:rPr>
          <w:lang w:eastAsia="zh-CN"/>
        </w:rPr>
        <w:t>以11</w:t>
      </w:r>
      <w:r>
        <w:rPr>
          <w:rFonts w:hint="eastAsia"/>
          <w:lang w:eastAsia="zh-CN"/>
        </w:rPr>
        <w:t>～</w:t>
      </w:r>
      <w:r>
        <w:rPr>
          <w:lang w:eastAsia="zh-CN"/>
        </w:rPr>
        <w:t>20年的中龄杉木纯林为主，立地条件较好且生长势好的林分可延长至25年；</w:t>
      </w:r>
    </w:p>
    <w:p w14:paraId="63442021">
      <w:pPr>
        <w:ind w:firstLine="480"/>
        <w:rPr>
          <w:lang w:eastAsia="zh-CN"/>
        </w:rPr>
      </w:pPr>
      <w:r>
        <w:rPr>
          <w:rFonts w:hint="eastAsia"/>
          <w:lang w:eastAsia="zh-CN"/>
        </w:rPr>
        <w:t>②</w:t>
      </w:r>
      <w:r>
        <w:rPr>
          <w:lang w:eastAsia="zh-CN"/>
        </w:rPr>
        <w:t>近5年内开展过间伐抚育；</w:t>
      </w:r>
    </w:p>
    <w:p w14:paraId="479172A5">
      <w:pPr>
        <w:ind w:firstLine="480"/>
        <w:rPr>
          <w:lang w:eastAsia="zh-CN"/>
        </w:rPr>
      </w:pPr>
      <w:r>
        <w:rPr>
          <w:rFonts w:hint="eastAsia"/>
          <w:lang w:eastAsia="zh-CN"/>
        </w:rPr>
        <w:t>③</w:t>
      </w:r>
      <w:r>
        <w:rPr>
          <w:lang w:eastAsia="zh-CN"/>
        </w:rPr>
        <w:t>林分郁闭度0.8以上；</w:t>
      </w:r>
    </w:p>
    <w:p w14:paraId="31E809EC">
      <w:pPr>
        <w:ind w:firstLine="480"/>
        <w:rPr>
          <w:lang w:eastAsia="zh-CN"/>
        </w:rPr>
      </w:pPr>
      <w:r>
        <w:rPr>
          <w:rFonts w:hint="eastAsia"/>
          <w:lang w:eastAsia="zh-CN"/>
        </w:rPr>
        <w:t>④</w:t>
      </w:r>
      <w:r>
        <w:rPr>
          <w:lang w:eastAsia="zh-CN"/>
        </w:rPr>
        <w:t>林木胸径连年生长量显著下降的林分。</w:t>
      </w:r>
    </w:p>
    <w:p w14:paraId="2DD15E61">
      <w:pPr>
        <w:ind w:firstLine="480"/>
        <w:rPr>
          <w:lang w:eastAsia="zh-CN"/>
        </w:rPr>
      </w:pPr>
      <w:r>
        <w:rPr>
          <w:rFonts w:hint="eastAsia"/>
          <w:lang w:eastAsia="zh-CN"/>
        </w:rPr>
        <w:t>(4)</w:t>
      </w:r>
      <w:r>
        <w:rPr>
          <w:lang w:eastAsia="zh-CN"/>
        </w:rPr>
        <w:t>主要技术措施</w:t>
      </w:r>
    </w:p>
    <w:p w14:paraId="541E7931">
      <w:pPr>
        <w:ind w:firstLine="480"/>
        <w:rPr>
          <w:lang w:eastAsia="zh-CN"/>
        </w:rPr>
      </w:pPr>
      <w:r>
        <w:rPr>
          <w:rFonts w:hint="eastAsia"/>
          <w:lang w:eastAsia="zh-CN"/>
        </w:rPr>
        <w:t>①</w:t>
      </w:r>
      <w:r>
        <w:rPr>
          <w:lang w:eastAsia="zh-CN"/>
        </w:rPr>
        <w:t>作业法</w:t>
      </w:r>
    </w:p>
    <w:p w14:paraId="301C315B">
      <w:pPr>
        <w:ind w:firstLine="480"/>
        <w:rPr>
          <w:lang w:eastAsia="zh-CN"/>
        </w:rPr>
      </w:pPr>
      <w:r>
        <w:rPr>
          <w:lang w:eastAsia="zh-CN"/>
        </w:rPr>
        <w:t>根据林种、树种、培育目标等情况确定小班作业法。森林质量精准提升工程主要采用单株木择伐作业法。对小班内枯死木、濒死木、干扰树、采伐木和林业有害生物危害的林木进行单株木择伐。单株木择伐株数强度应小于30%。择伐后郁闭度控制在0.6-0.65之间，对林木分布不均匀的林分进行补植补造。</w:t>
      </w:r>
    </w:p>
    <w:p w14:paraId="449E40C2">
      <w:pPr>
        <w:ind w:firstLine="480"/>
        <w:rPr>
          <w:lang w:eastAsia="zh-CN"/>
        </w:rPr>
      </w:pPr>
      <w:r>
        <w:rPr>
          <w:rFonts w:hint="eastAsia"/>
          <w:lang w:eastAsia="zh-CN"/>
        </w:rPr>
        <w:t>②</w:t>
      </w:r>
      <w:r>
        <w:rPr>
          <w:lang w:eastAsia="zh-CN"/>
        </w:rPr>
        <w:t>间伐抚育</w:t>
      </w:r>
    </w:p>
    <w:p w14:paraId="06271E02">
      <w:pPr>
        <w:ind w:firstLine="480"/>
        <w:rPr>
          <w:lang w:eastAsia="zh-CN"/>
        </w:rPr>
      </w:pPr>
      <w:r>
        <w:rPr>
          <w:lang w:eastAsia="zh-CN"/>
        </w:rPr>
        <w:t>伐除密度过大、生长不良的林木，间密留匀、去劣留优，进一步调整林分树种和空间结构，为目标树或保留木留出适宜的营养空间；对受冰冻雪压等自然灾害危害的林木进行卫生伐。分小班、林种、树种合理确定采伐强度，株数强度控制在20</w:t>
      </w:r>
      <w:r>
        <w:rPr>
          <w:rFonts w:hint="eastAsia"/>
          <w:lang w:eastAsia="zh-CN"/>
        </w:rPr>
        <w:t>%～</w:t>
      </w:r>
      <w:r>
        <w:rPr>
          <w:lang w:eastAsia="zh-CN"/>
        </w:rPr>
        <w:t>25%之间，蓄积强度控制在15%以内。</w:t>
      </w:r>
    </w:p>
    <w:p w14:paraId="25B6E9CD">
      <w:pPr>
        <w:ind w:firstLine="480"/>
        <w:rPr>
          <w:lang w:eastAsia="zh-CN"/>
        </w:rPr>
      </w:pPr>
      <w:r>
        <w:rPr>
          <w:rFonts w:hint="eastAsia"/>
          <w:lang w:eastAsia="zh-CN"/>
        </w:rPr>
        <w:t>③</w:t>
      </w:r>
      <w:r>
        <w:rPr>
          <w:lang w:eastAsia="zh-CN"/>
        </w:rPr>
        <w:t>修枝整形</w:t>
      </w:r>
    </w:p>
    <w:p w14:paraId="7534245A">
      <w:pPr>
        <w:ind w:firstLine="480"/>
        <w:rPr>
          <w:lang w:eastAsia="zh-CN"/>
        </w:rPr>
      </w:pPr>
      <w:r>
        <w:rPr>
          <w:lang w:eastAsia="zh-CN"/>
        </w:rPr>
        <w:t>修枝整形的对象为培育大径材的目标树、影响目标树生长暂时不宜间伐的其他树、保留的珍稀树种和天然更新的具有生长潜力的幼树幼苗。采取修枝整形后的林分当达到以下要求：</w:t>
      </w:r>
    </w:p>
    <w:p w14:paraId="6C638A74">
      <w:pPr>
        <w:ind w:firstLine="480"/>
        <w:rPr>
          <w:lang w:eastAsia="zh-CN"/>
        </w:rPr>
      </w:pPr>
      <w:r>
        <w:rPr>
          <w:lang w:eastAsia="zh-CN"/>
        </w:rPr>
        <w:t>1</w:t>
      </w:r>
      <w:r>
        <w:rPr>
          <w:rFonts w:hint="eastAsia"/>
          <w:lang w:eastAsia="zh-CN"/>
        </w:rPr>
        <w:t>)</w:t>
      </w:r>
      <w:r>
        <w:rPr>
          <w:lang w:eastAsia="zh-CN"/>
        </w:rPr>
        <w:t>修去枯死枝和树冠下部1-2轮活枝；</w:t>
      </w:r>
    </w:p>
    <w:p w14:paraId="41C3646C">
      <w:pPr>
        <w:ind w:firstLine="480"/>
        <w:rPr>
          <w:lang w:eastAsia="zh-CN"/>
        </w:rPr>
      </w:pPr>
      <w:r>
        <w:rPr>
          <w:lang w:eastAsia="zh-CN"/>
        </w:rPr>
        <w:t>2</w:t>
      </w:r>
      <w:r>
        <w:rPr>
          <w:rFonts w:hint="eastAsia"/>
          <w:lang w:eastAsia="zh-CN"/>
        </w:rPr>
        <w:t>)</w:t>
      </w:r>
      <w:r>
        <w:rPr>
          <w:lang w:eastAsia="zh-CN"/>
        </w:rPr>
        <w:t>幼龄林阶段修枝后保留冠长不低于树高的2/3、枝桩修平，剪口不伤害树干的韧皮部和木质部；</w:t>
      </w:r>
    </w:p>
    <w:p w14:paraId="7FF06CCE">
      <w:pPr>
        <w:ind w:firstLine="480"/>
        <w:rPr>
          <w:lang w:eastAsia="zh-CN"/>
        </w:rPr>
      </w:pPr>
      <w:r>
        <w:rPr>
          <w:lang w:eastAsia="zh-CN"/>
        </w:rPr>
        <w:t>3</w:t>
      </w:r>
      <w:r>
        <w:rPr>
          <w:rFonts w:hint="eastAsia"/>
          <w:lang w:eastAsia="zh-CN"/>
        </w:rPr>
        <w:t>)</w:t>
      </w:r>
      <w:r>
        <w:rPr>
          <w:lang w:eastAsia="zh-CN"/>
        </w:rPr>
        <w:t>中龄林阶段修枝后保留冠长不低于树高的1/2、枝桩修平，剪口不伤害树干的韧皮部和木质部。</w:t>
      </w:r>
    </w:p>
    <w:p w14:paraId="458B186A">
      <w:pPr>
        <w:ind w:firstLine="480"/>
        <w:rPr>
          <w:lang w:eastAsia="zh-CN"/>
        </w:rPr>
      </w:pPr>
      <w:r>
        <w:rPr>
          <w:rFonts w:hint="eastAsia"/>
          <w:lang w:eastAsia="zh-CN"/>
        </w:rPr>
        <w:t>④</w:t>
      </w:r>
      <w:r>
        <w:rPr>
          <w:lang w:eastAsia="zh-CN"/>
        </w:rPr>
        <w:t>整地栽植</w:t>
      </w:r>
    </w:p>
    <w:p w14:paraId="043484D6">
      <w:pPr>
        <w:ind w:firstLine="480"/>
        <w:rPr>
          <w:lang w:eastAsia="zh-CN"/>
        </w:rPr>
      </w:pPr>
      <w:r>
        <w:rPr>
          <w:lang w:eastAsia="zh-CN"/>
        </w:rPr>
        <w:t>清除病死木、断稍木、植树穴中的多余木或萌芽株，胸径5</w:t>
      </w:r>
      <w:r>
        <w:rPr>
          <w:rFonts w:hint="eastAsia"/>
          <w:lang w:eastAsia="zh-CN"/>
        </w:rPr>
        <w:t>c</w:t>
      </w:r>
      <w:r>
        <w:rPr>
          <w:lang w:eastAsia="zh-CN"/>
        </w:rPr>
        <w:t>m以下的被压木、藤蔓、有害生物。施工时注重保护珍稀濒危树木、林窗处的幼树幼苗及林下有生长潜力的幼树幼苗，有利于调整林分密度和结构。在林地清理干净后，采用穴垦整地，穴的规格为50×50×40</w:t>
      </w:r>
      <w:r>
        <w:rPr>
          <w:rFonts w:hint="eastAsia"/>
          <w:lang w:eastAsia="zh-CN"/>
        </w:rPr>
        <w:t>c</w:t>
      </w:r>
      <w:r>
        <w:rPr>
          <w:lang w:eastAsia="zh-CN"/>
        </w:rPr>
        <w:t>m。挖好穴后进行表土回填，回填时捡净树根杂草及石砾。整地要求在1月份完成。</w:t>
      </w:r>
    </w:p>
    <w:p w14:paraId="6DD8AF8D">
      <w:pPr>
        <w:ind w:firstLine="480"/>
        <w:rPr>
          <w:lang w:eastAsia="zh-CN"/>
        </w:rPr>
      </w:pPr>
      <w:r>
        <w:rPr>
          <w:lang w:eastAsia="zh-CN"/>
        </w:rPr>
        <w:t>栽植时间为春节前后</w:t>
      </w:r>
      <w:r>
        <w:rPr>
          <w:rFonts w:hint="eastAsia"/>
          <w:lang w:eastAsia="zh-CN"/>
        </w:rPr>
        <w:t>(</w:t>
      </w:r>
      <w:r>
        <w:rPr>
          <w:lang w:eastAsia="zh-CN"/>
        </w:rPr>
        <w:t>即元月至2月份</w:t>
      </w:r>
      <w:r>
        <w:rPr>
          <w:rFonts w:hint="eastAsia"/>
          <w:lang w:eastAsia="zh-CN"/>
        </w:rPr>
        <w:t>)</w:t>
      </w:r>
      <w:r>
        <w:rPr>
          <w:lang w:eastAsia="zh-CN"/>
        </w:rPr>
        <w:t>选择阴天或雨后晴天进行栽植。栽植时要做到苗正、根舒、踏实、培土护蔸，并在三月初对新造林地进行一次全面检查补植。配置的阔叶树可采用多种乡土珍稀树种混交方式进行，如块状、团状、行状和不规则混交等。按照树种的特性，地类的土壤肥力，经营方向，依据针阔混交和常绿与落叶混交原则补植适合林场栽培的乡土珍稀树种，苗木选用I级多年生容器苗，苗高0.8m以上。11</w:t>
      </w:r>
      <w:r>
        <w:rPr>
          <w:rFonts w:hint="eastAsia"/>
          <w:lang w:eastAsia="zh-CN"/>
        </w:rPr>
        <w:t>～</w:t>
      </w:r>
      <w:r>
        <w:rPr>
          <w:lang w:eastAsia="zh-CN"/>
        </w:rPr>
        <w:t>20年林龄的林分补植株数每亩不超过30株；21</w:t>
      </w:r>
      <w:r>
        <w:rPr>
          <w:rFonts w:hint="eastAsia"/>
          <w:lang w:eastAsia="zh-CN"/>
        </w:rPr>
        <w:t>～</w:t>
      </w:r>
      <w:r>
        <w:rPr>
          <w:lang w:eastAsia="zh-CN"/>
        </w:rPr>
        <w:t>25年林龄的林分补植株数每亩不超过20株。</w:t>
      </w:r>
    </w:p>
    <w:p w14:paraId="2CD39BB3">
      <w:pPr>
        <w:ind w:firstLine="480"/>
        <w:rPr>
          <w:lang w:eastAsia="zh-CN"/>
        </w:rPr>
      </w:pPr>
      <w:r>
        <w:rPr>
          <w:rFonts w:hint="eastAsia"/>
          <w:lang w:eastAsia="zh-CN"/>
        </w:rPr>
        <w:t>⑤</w:t>
      </w:r>
      <w:r>
        <w:rPr>
          <w:lang w:eastAsia="zh-CN"/>
        </w:rPr>
        <w:t>抚育管理</w:t>
      </w:r>
    </w:p>
    <w:p w14:paraId="4D08F606">
      <w:pPr>
        <w:ind w:firstLine="480"/>
        <w:rPr>
          <w:lang w:eastAsia="zh-CN"/>
        </w:rPr>
      </w:pPr>
      <w:r>
        <w:rPr>
          <w:lang w:eastAsia="zh-CN"/>
        </w:rPr>
        <w:t>开展项目的林分内补植和保留的苗木当年和第二年，每年抚育2次，第一次5-6月，第二次8-9月；造林第三年的春夏季节抚育一次。以植株为中心，清除1m范围内的杂草杂灌，培蔸除萌，覆盖保墒。新造林地实行全面封禁，专人管护，严禁在造林地内放牧，防止人畜破坏，以确保新造林地成林成材。</w:t>
      </w:r>
    </w:p>
    <w:p w14:paraId="6BD30F68">
      <w:pPr>
        <w:ind w:firstLine="480"/>
        <w:rPr>
          <w:lang w:eastAsia="zh-CN"/>
        </w:rPr>
      </w:pPr>
      <w:r>
        <w:rPr>
          <w:lang w:eastAsia="zh-CN"/>
        </w:rPr>
        <w:t>按照“预防为主、因害设防、综合治理”的原则，实施火、病、虫、鼠等灾害防治措施，避免环境污染和破坏生物多样性的发生，区林业主管部门、辖区林业站和各项目区护林员应相互协调配合，做好相应的预测预报和防治工作。</w:t>
      </w:r>
    </w:p>
    <w:p w14:paraId="616493C7">
      <w:pPr>
        <w:pStyle w:val="4"/>
      </w:pPr>
      <w:r>
        <w:t>5.6.</w:t>
      </w:r>
      <w:r>
        <w:rPr>
          <w:rFonts w:hint="eastAsia"/>
          <w:lang w:val="en-US" w:eastAsia="zh-CN"/>
        </w:rPr>
        <w:t>2</w:t>
      </w:r>
      <w:r>
        <w:t>森林可持续经营工程</w:t>
      </w:r>
    </w:p>
    <w:p w14:paraId="6A862D5B">
      <w:pPr>
        <w:ind w:firstLine="480"/>
        <w:rPr>
          <w:lang w:eastAsia="zh-CN"/>
        </w:rPr>
      </w:pPr>
      <w:r>
        <w:rPr>
          <w:rFonts w:hint="eastAsia"/>
          <w:lang w:eastAsia="zh-CN"/>
        </w:rPr>
        <w:t>(1)</w:t>
      </w:r>
      <w:r>
        <w:rPr>
          <w:lang w:eastAsia="zh-CN"/>
        </w:rPr>
        <w:t>建设目标</w:t>
      </w:r>
    </w:p>
    <w:p w14:paraId="3886E3C3">
      <w:pPr>
        <w:ind w:firstLine="480"/>
        <w:rPr>
          <w:lang w:eastAsia="zh-CN"/>
        </w:rPr>
      </w:pPr>
      <w:r>
        <w:rPr>
          <w:lang w:eastAsia="zh-CN"/>
        </w:rPr>
        <w:t>以政策为依据，以科技为支撑，在保护和巩固好现有林业建设成果的基础上，通过中幼林抚育</w:t>
      </w:r>
      <w:r>
        <w:rPr>
          <w:rFonts w:hint="eastAsia"/>
          <w:lang w:eastAsia="zh-CN"/>
        </w:rPr>
        <w:t>努力</w:t>
      </w:r>
      <w:r>
        <w:rPr>
          <w:lang w:eastAsia="zh-CN"/>
        </w:rPr>
        <w:t>解决林分过密过纯、低质低效等问题，实现精准提升森林质量、储备优质木材、增强生态功能和供给优质生态产品的目标。</w:t>
      </w:r>
    </w:p>
    <w:p w14:paraId="29DC724E">
      <w:pPr>
        <w:ind w:firstLine="480"/>
        <w:rPr>
          <w:lang w:eastAsia="zh-CN"/>
        </w:rPr>
      </w:pPr>
      <w:r>
        <w:rPr>
          <w:rFonts w:hint="eastAsia"/>
          <w:lang w:eastAsia="zh-CN"/>
        </w:rPr>
        <w:t>(2)</w:t>
      </w:r>
      <w:r>
        <w:rPr>
          <w:lang w:eastAsia="zh-CN"/>
        </w:rPr>
        <w:t>成效</w:t>
      </w:r>
    </w:p>
    <w:p w14:paraId="0919D23C">
      <w:pPr>
        <w:ind w:firstLine="480"/>
        <w:rPr>
          <w:lang w:eastAsia="zh-CN"/>
        </w:rPr>
      </w:pPr>
      <w:r>
        <w:rPr>
          <w:lang w:eastAsia="zh-CN"/>
        </w:rPr>
        <w:t>通过项目实施初步形成以森林经营方案为核心的森林经营决策机制；通过项目实施使区域性主要类型的林分结构更加优化；通过项目实施促进天然林正向演替，森林生态系统服务功能和固碳能力得以增强；通过项目实施为全面提升本地区森林经营水平提供典型模式和成功经验。</w:t>
      </w:r>
    </w:p>
    <w:p w14:paraId="3EA30E9B">
      <w:pPr>
        <w:ind w:firstLine="480"/>
        <w:rPr>
          <w:lang w:eastAsia="zh-CN"/>
        </w:rPr>
      </w:pPr>
      <w:r>
        <w:rPr>
          <w:rFonts w:hint="eastAsia"/>
          <w:lang w:eastAsia="zh-CN"/>
        </w:rPr>
        <w:t>(3)</w:t>
      </w:r>
      <w:r>
        <w:rPr>
          <w:lang w:eastAsia="zh-CN"/>
        </w:rPr>
        <w:t>建设内容</w:t>
      </w:r>
    </w:p>
    <w:p w14:paraId="10741CBD">
      <w:pPr>
        <w:ind w:firstLine="480"/>
        <w:rPr>
          <w:lang w:eastAsia="zh-CN"/>
        </w:rPr>
      </w:pPr>
      <w:r>
        <w:rPr>
          <w:lang w:eastAsia="zh-CN"/>
        </w:rPr>
        <w:t>根据省局安排及林场森林资源状况，阳明山国有林场2024—2030年森林可持续经营规划为</w:t>
      </w:r>
      <w:r>
        <w:rPr>
          <w:rFonts w:hint="eastAsia"/>
          <w:highlight w:val="none"/>
          <w:lang w:val="en-US" w:eastAsia="zh-CN"/>
        </w:rPr>
        <w:t>600</w:t>
      </w:r>
      <w:r>
        <w:rPr>
          <w:highlight w:val="none"/>
          <w:lang w:eastAsia="zh-CN"/>
        </w:rPr>
        <w:t>h</w:t>
      </w:r>
      <w:r>
        <w:rPr>
          <w:lang w:eastAsia="zh-CN"/>
        </w:rPr>
        <w:t>m</w:t>
      </w:r>
      <w:r>
        <w:rPr>
          <w:vertAlign w:val="superscript"/>
          <w:lang w:eastAsia="zh-CN"/>
        </w:rPr>
        <w:t>2</w:t>
      </w:r>
      <w:r>
        <w:rPr>
          <w:lang w:eastAsia="zh-CN"/>
        </w:rPr>
        <w:t>，工作任务按省局安排年度实施。</w:t>
      </w:r>
    </w:p>
    <w:p w14:paraId="517F3CA0">
      <w:pPr>
        <w:pStyle w:val="4"/>
      </w:pPr>
      <w:r>
        <w:t>5.6.</w:t>
      </w:r>
      <w:r>
        <w:rPr>
          <w:rFonts w:hint="eastAsia"/>
          <w:lang w:val="en-US" w:eastAsia="zh-CN"/>
        </w:rPr>
        <w:t>3</w:t>
      </w:r>
      <w:r>
        <w:t>公益林保护与建设</w:t>
      </w:r>
    </w:p>
    <w:p w14:paraId="1945A849">
      <w:pPr>
        <w:ind w:firstLine="480"/>
        <w:rPr>
          <w:lang w:eastAsia="zh-CN"/>
        </w:rPr>
      </w:pPr>
      <w:r>
        <w:rPr>
          <w:lang w:eastAsia="zh-CN"/>
        </w:rPr>
        <w:t>阳明山国有林场属生态型林场，公益林是经营主体。全场公益林面积</w:t>
      </w:r>
      <w:r>
        <w:rPr>
          <w:rFonts w:hint="eastAsia"/>
          <w:lang w:eastAsia="zh-CN"/>
        </w:rPr>
        <w:t>10782.38</w:t>
      </w:r>
      <w:r>
        <w:rPr>
          <w:lang w:eastAsia="zh-CN"/>
        </w:rPr>
        <w:t>hm</w:t>
      </w:r>
      <w:r>
        <w:rPr>
          <w:vertAlign w:val="superscript"/>
          <w:lang w:eastAsia="zh-CN"/>
        </w:rPr>
        <w:t>2</w:t>
      </w:r>
      <w:r>
        <w:rPr>
          <w:lang w:eastAsia="zh-CN"/>
        </w:rPr>
        <w:t>，占全场总面积的78.54%，其中防护林面积1410.71hm</w:t>
      </w:r>
      <w:r>
        <w:rPr>
          <w:vertAlign w:val="superscript"/>
          <w:lang w:eastAsia="zh-CN"/>
        </w:rPr>
        <w:t>2</w:t>
      </w:r>
      <w:r>
        <w:rPr>
          <w:lang w:eastAsia="zh-CN"/>
        </w:rPr>
        <w:t>，特种用途林面积</w:t>
      </w:r>
      <w:r>
        <w:rPr>
          <w:rFonts w:hint="eastAsia"/>
          <w:lang w:eastAsia="zh-CN"/>
        </w:rPr>
        <w:t>9695.60</w:t>
      </w:r>
      <w:r>
        <w:rPr>
          <w:lang w:eastAsia="zh-CN"/>
        </w:rPr>
        <w:t>hm</w:t>
      </w:r>
      <w:r>
        <w:rPr>
          <w:vertAlign w:val="superscript"/>
          <w:lang w:eastAsia="zh-CN"/>
        </w:rPr>
        <w:t>2</w:t>
      </w:r>
      <w:r>
        <w:rPr>
          <w:lang w:eastAsia="zh-CN"/>
        </w:rPr>
        <w:t>。均按照防护林的公益林经营。</w:t>
      </w:r>
    </w:p>
    <w:p w14:paraId="2055AA0D">
      <w:pPr>
        <w:ind w:firstLine="480"/>
        <w:rPr>
          <w:lang w:eastAsia="zh-CN"/>
        </w:rPr>
      </w:pPr>
      <w:r>
        <w:rPr>
          <w:rFonts w:hint="eastAsia"/>
          <w:lang w:eastAsia="zh-CN"/>
        </w:rPr>
        <w:t>(</w:t>
      </w:r>
      <w:r>
        <w:rPr>
          <w:lang w:eastAsia="zh-CN"/>
        </w:rPr>
        <w:t>1</w:t>
      </w:r>
      <w:r>
        <w:rPr>
          <w:rFonts w:hint="eastAsia"/>
          <w:lang w:eastAsia="zh-CN"/>
        </w:rPr>
        <w:t>)</w:t>
      </w:r>
      <w:r>
        <w:rPr>
          <w:lang w:eastAsia="zh-CN"/>
        </w:rPr>
        <w:t>林场现有防护林中，杉木过熟林分其生态功能日趋下降，必须进行更新改造，栽植水源涵养、水土保持功能较强的阔叶树。</w:t>
      </w:r>
    </w:p>
    <w:p w14:paraId="11696AAD">
      <w:pPr>
        <w:ind w:firstLine="480"/>
        <w:rPr>
          <w:lang w:eastAsia="zh-CN"/>
        </w:rPr>
      </w:pPr>
      <w:r>
        <w:rPr>
          <w:rFonts w:hint="eastAsia"/>
          <w:lang w:eastAsia="zh-CN"/>
        </w:rPr>
        <w:t>(</w:t>
      </w:r>
      <w:r>
        <w:rPr>
          <w:lang w:eastAsia="zh-CN"/>
        </w:rPr>
        <w:t>2</w:t>
      </w:r>
      <w:r>
        <w:rPr>
          <w:rFonts w:hint="eastAsia"/>
          <w:lang w:eastAsia="zh-CN"/>
        </w:rPr>
        <w:t>)</w:t>
      </w:r>
      <w:r>
        <w:rPr>
          <w:lang w:eastAsia="zh-CN"/>
        </w:rPr>
        <w:t>对于起源为人工的公益林则进行近自然经营，自然成熟后更新采伐，国家特规灌木林实施长期封禁。</w:t>
      </w:r>
    </w:p>
    <w:p w14:paraId="142E19EF">
      <w:pPr>
        <w:ind w:firstLine="480"/>
        <w:rPr>
          <w:lang w:eastAsia="zh-CN"/>
        </w:rPr>
      </w:pPr>
      <w:r>
        <w:rPr>
          <w:rFonts w:hint="eastAsia"/>
          <w:lang w:eastAsia="zh-CN"/>
        </w:rPr>
        <w:t>(</w:t>
      </w:r>
      <w:r>
        <w:rPr>
          <w:lang w:eastAsia="zh-CN"/>
        </w:rPr>
        <w:t>3</w:t>
      </w:r>
      <w:r>
        <w:rPr>
          <w:rFonts w:hint="eastAsia"/>
          <w:lang w:eastAsia="zh-CN"/>
        </w:rPr>
        <w:t>)</w:t>
      </w:r>
      <w:r>
        <w:rPr>
          <w:lang w:eastAsia="zh-CN"/>
        </w:rPr>
        <w:t>对于起源为天然的公益林则不开展任何经营活动，实行严格封山育林，近自然经营。</w:t>
      </w:r>
    </w:p>
    <w:p w14:paraId="47A5AA4F">
      <w:pPr>
        <w:pStyle w:val="4"/>
      </w:pPr>
      <w:r>
        <w:rPr>
          <w:rFonts w:hint="eastAsia"/>
        </w:rPr>
        <w:t>5.6.</w:t>
      </w:r>
      <w:r>
        <w:rPr>
          <w:rFonts w:hint="eastAsia"/>
          <w:lang w:val="en-US" w:eastAsia="zh-CN"/>
        </w:rPr>
        <w:t>4</w:t>
      </w:r>
      <w:r>
        <w:rPr>
          <w:rFonts w:hint="eastAsia"/>
        </w:rPr>
        <w:t>林相改造工程</w:t>
      </w:r>
    </w:p>
    <w:p w14:paraId="3983734A">
      <w:pPr>
        <w:ind w:firstLine="480"/>
        <w:rPr>
          <w:lang w:eastAsia="zh-CN"/>
        </w:rPr>
      </w:pPr>
      <w:r>
        <w:rPr>
          <w:rFonts w:hint="eastAsia"/>
          <w:lang w:eastAsia="zh-CN"/>
        </w:rPr>
        <w:t>(1)改造目的</w:t>
      </w:r>
    </w:p>
    <w:p w14:paraId="02EAA884">
      <w:pPr>
        <w:ind w:firstLine="480"/>
        <w:rPr>
          <w:lang w:eastAsia="zh-CN"/>
        </w:rPr>
      </w:pPr>
      <w:r>
        <w:rPr>
          <w:rFonts w:hint="eastAsia"/>
          <w:lang w:eastAsia="zh-CN"/>
        </w:rPr>
        <w:t>①改善主要保护树种生态环境，维护生态系统稳定。林场林相中存在“针叶林多而阔叶林少，单纯林多而混交林少，人工林多而天然林少，主要保护树种环境脆弱，灌木林质量差”与系统结构脆弱、功能低下等问题。为了维护林场生态安全，维护主要保护树种的生长，提高林场生态系统生态稳定性和景观美学价值，通过生态更替、修复、改造与构建，改善主要保护树种的生存环境，实现森林景观生态系统生态与资源的可持续性。</w:t>
      </w:r>
    </w:p>
    <w:p w14:paraId="7F4F8021">
      <w:pPr>
        <w:ind w:firstLine="480"/>
        <w:rPr>
          <w:lang w:eastAsia="zh-CN"/>
        </w:rPr>
      </w:pPr>
      <w:r>
        <w:rPr>
          <w:rFonts w:hint="eastAsia"/>
          <w:lang w:eastAsia="zh-CN"/>
        </w:rPr>
        <w:t>②改变项目地林相单一、质量不高、景观效果差、病虫害发生严重的不良状况。通过针叶林更替优化、灌木林修复优化、杂竹林改造优化，有效的使森林植物群落的结构趋向自然发展。培育和保护了符合自然发育规律的天然林，将促进接近自然的森林景观生态系统的形成，增强系统的生态稳定性。</w:t>
      </w:r>
    </w:p>
    <w:p w14:paraId="27F36A54">
      <w:pPr>
        <w:ind w:firstLine="480"/>
        <w:rPr>
          <w:lang w:eastAsia="zh-CN"/>
        </w:rPr>
      </w:pPr>
      <w:r>
        <w:rPr>
          <w:rFonts w:hint="eastAsia"/>
          <w:lang w:eastAsia="zh-CN"/>
        </w:rPr>
        <w:t>③提高森林的美学价值，构建观景带，提升森林景观质量。</w:t>
      </w:r>
    </w:p>
    <w:p w14:paraId="4042D821">
      <w:pPr>
        <w:ind w:firstLine="480"/>
        <w:rPr>
          <w:lang w:eastAsia="zh-CN"/>
        </w:rPr>
      </w:pPr>
      <w:r>
        <w:rPr>
          <w:rFonts w:hint="eastAsia"/>
          <w:lang w:eastAsia="zh-CN"/>
        </w:rPr>
        <w:t>④提高森林景观生态系统的服务功能，增强了项目地森林生态系统的稳定性与抗御自然灾害的能力，使其在涵养水源、保持水土、滞尘、减弱噪声、调节局地气候、降低大气污染等方面的生态效益显著提升。</w:t>
      </w:r>
    </w:p>
    <w:p w14:paraId="5F6A4BFE">
      <w:pPr>
        <w:ind w:firstLine="480"/>
        <w:rPr>
          <w:lang w:eastAsia="zh-CN"/>
        </w:rPr>
      </w:pPr>
      <w:r>
        <w:rPr>
          <w:rFonts w:hint="eastAsia"/>
          <w:lang w:eastAsia="zh-CN"/>
        </w:rPr>
        <w:t>(2)作业面积</w:t>
      </w:r>
    </w:p>
    <w:p w14:paraId="0BF23F98">
      <w:pPr>
        <w:ind w:firstLine="480"/>
        <w:rPr>
          <w:lang w:eastAsia="zh-CN"/>
        </w:rPr>
      </w:pPr>
      <w:r>
        <w:rPr>
          <w:rFonts w:hint="eastAsia"/>
          <w:lang w:eastAsia="zh-CN"/>
        </w:rPr>
        <w:t>本经营期只针对实验区内的自然保护林进行作业规划，规划总面积</w:t>
      </w:r>
      <w:r>
        <w:rPr>
          <w:rFonts w:hint="eastAsia"/>
          <w:lang w:val="en-US" w:eastAsia="zh-CN"/>
        </w:rPr>
        <w:t>6</w:t>
      </w:r>
      <w:r>
        <w:rPr>
          <w:rFonts w:hint="eastAsia"/>
          <w:lang w:eastAsia="zh-CN"/>
        </w:rPr>
        <w:t>00</w:t>
      </w:r>
      <w:r>
        <w:rPr>
          <w:rFonts w:hint="eastAsia"/>
          <w:lang w:val="zh-CN" w:eastAsia="zh-CN"/>
        </w:rPr>
        <w:t>hm</w:t>
      </w:r>
      <w:r>
        <w:rPr>
          <w:rFonts w:hint="eastAsia"/>
          <w:vertAlign w:val="superscript"/>
          <w:lang w:val="zh-CN" w:eastAsia="zh-CN"/>
        </w:rPr>
        <w:t>2</w:t>
      </w:r>
      <w:r>
        <w:rPr>
          <w:rFonts w:hint="eastAsia"/>
          <w:lang w:eastAsia="zh-CN"/>
        </w:rPr>
        <w:t>，前期规划面积</w:t>
      </w:r>
      <w:r>
        <w:rPr>
          <w:rFonts w:hint="eastAsia"/>
          <w:lang w:val="en-US" w:eastAsia="zh-CN"/>
        </w:rPr>
        <w:t>4</w:t>
      </w:r>
      <w:r>
        <w:rPr>
          <w:rFonts w:hint="eastAsia"/>
          <w:lang w:eastAsia="zh-CN"/>
        </w:rPr>
        <w:t>00</w:t>
      </w:r>
      <w:r>
        <w:rPr>
          <w:rFonts w:hint="eastAsia"/>
          <w:lang w:val="zh-CN" w:eastAsia="zh-CN"/>
        </w:rPr>
        <w:t>hm</w:t>
      </w:r>
      <w:r>
        <w:rPr>
          <w:rFonts w:hint="eastAsia"/>
          <w:vertAlign w:val="superscript"/>
          <w:lang w:val="zh-CN" w:eastAsia="zh-CN"/>
        </w:rPr>
        <w:t>2</w:t>
      </w:r>
      <w:r>
        <w:rPr>
          <w:rFonts w:hint="eastAsia"/>
          <w:lang w:eastAsia="zh-CN"/>
        </w:rPr>
        <w:t>，后期规划</w:t>
      </w:r>
      <w:r>
        <w:rPr>
          <w:rFonts w:hint="eastAsia"/>
          <w:lang w:val="en-US" w:eastAsia="zh-CN"/>
        </w:rPr>
        <w:t>2</w:t>
      </w:r>
      <w:r>
        <w:rPr>
          <w:rFonts w:hint="eastAsia"/>
          <w:lang w:eastAsia="zh-CN"/>
        </w:rPr>
        <w:t>00</w:t>
      </w:r>
      <w:r>
        <w:rPr>
          <w:rFonts w:hint="eastAsia"/>
          <w:lang w:val="zh-CN" w:eastAsia="zh-CN"/>
        </w:rPr>
        <w:t>hm</w:t>
      </w:r>
      <w:r>
        <w:rPr>
          <w:rFonts w:hint="eastAsia"/>
          <w:vertAlign w:val="superscript"/>
          <w:lang w:val="zh-CN" w:eastAsia="zh-CN"/>
        </w:rPr>
        <w:t>2</w:t>
      </w:r>
      <w:r>
        <w:rPr>
          <w:rFonts w:hint="eastAsia"/>
          <w:lang w:eastAsia="zh-CN"/>
        </w:rPr>
        <w:t>。建设内容主要为低效针阔叶林、低效灌木林和杂竹林的结构更替优化建设。依据森林垂直布局优化要求选择树种变更为混交林，选择的树种包括南方红豆杉、云锦杜鹃、鹿角杜鹃、映山红、满山红、猴头杜鹃等。具体实施时再作专项规划设计。</w:t>
      </w:r>
    </w:p>
    <w:p w14:paraId="677E6868">
      <w:pPr>
        <w:ind w:firstLine="480"/>
        <w:rPr>
          <w:lang w:eastAsia="zh-CN"/>
        </w:rPr>
      </w:pPr>
      <w:r>
        <w:rPr>
          <w:rFonts w:hint="eastAsia"/>
          <w:lang w:eastAsia="zh-CN"/>
        </w:rPr>
        <w:t>③主要技术措施设计</w:t>
      </w:r>
    </w:p>
    <w:p w14:paraId="777854D7">
      <w:pPr>
        <w:ind w:firstLine="480"/>
        <w:rPr>
          <w:lang w:eastAsia="zh-CN"/>
        </w:rPr>
      </w:pPr>
      <w:r>
        <w:rPr>
          <w:rFonts w:hint="eastAsia"/>
          <w:lang w:eastAsia="zh-CN"/>
        </w:rPr>
        <w:t>因地制宜，充分利用自然力，通过人工措施促进森林景观恢复，坚持谨慎规划和避免造林风险的原则，将树种单一、结构简单、功能局限、景观效果较差的柳杉林、马尾松林通过优化途径，培育成多树种、多层次、多季相的针阔叶林景观生态系统；对阔叶林进行抚育补植，促进森林植物群落的顺向演替，将其培育成亚顶级和顶级群落，使其成为一种稳态的阔叶林景观生态系统；对杂竹林和杂灌林通过封育补种，丰富景观多样性，提高林地生态功能。根据林场不同树种和不同海拔采用不同的恢复途径与技术模式，因地制宜，分段实施，分类管理。</w:t>
      </w:r>
    </w:p>
    <w:p w14:paraId="5E5BADFF">
      <w:pPr>
        <w:pStyle w:val="4"/>
      </w:pPr>
      <w:r>
        <w:rPr>
          <w:rFonts w:hint="eastAsia"/>
        </w:rPr>
        <w:t>5.6.</w:t>
      </w:r>
      <w:r>
        <w:rPr>
          <w:rFonts w:hint="eastAsia"/>
          <w:lang w:val="en-US" w:eastAsia="zh-CN"/>
        </w:rPr>
        <w:t>5</w:t>
      </w:r>
      <w:r>
        <w:rPr>
          <w:rFonts w:hint="eastAsia"/>
        </w:rPr>
        <w:t>封山育林工程</w:t>
      </w:r>
    </w:p>
    <w:p w14:paraId="7E2EED12">
      <w:pPr>
        <w:ind w:firstLine="480"/>
        <w:rPr>
          <w:lang w:eastAsia="zh-CN"/>
        </w:rPr>
      </w:pPr>
      <w:r>
        <w:rPr>
          <w:rFonts w:hint="eastAsia"/>
          <w:lang w:eastAsia="zh-CN"/>
        </w:rPr>
        <w:t>(1)</w:t>
      </w:r>
      <w:r>
        <w:rPr>
          <w:lang w:eastAsia="zh-CN"/>
        </w:rPr>
        <w:t>封山育林</w:t>
      </w:r>
      <w:r>
        <w:rPr>
          <w:rFonts w:hint="eastAsia"/>
          <w:lang w:eastAsia="zh-CN"/>
        </w:rPr>
        <w:t>面积</w:t>
      </w:r>
    </w:p>
    <w:p w14:paraId="6949B8C8">
      <w:pPr>
        <w:ind w:firstLine="480"/>
        <w:rPr>
          <w:lang w:eastAsia="zh-CN"/>
        </w:rPr>
      </w:pPr>
      <w:r>
        <w:rPr>
          <w:lang w:eastAsia="zh-CN"/>
        </w:rPr>
        <w:t>对林场内疏林、一般灌木林、迹地、低郁闭度等级乔木林采取封山育林措施</w:t>
      </w:r>
      <w:r>
        <w:rPr>
          <w:rFonts w:hint="eastAsia"/>
          <w:lang w:eastAsia="zh-CN"/>
        </w:rPr>
        <w:t>，规划面积739.32</w:t>
      </w:r>
      <w:r>
        <w:rPr>
          <w:rFonts w:hint="eastAsia"/>
          <w:lang w:val="zh-CN" w:eastAsia="zh-CN"/>
        </w:rPr>
        <w:t>hm</w:t>
      </w:r>
      <w:r>
        <w:rPr>
          <w:rFonts w:hint="eastAsia"/>
          <w:vertAlign w:val="superscript"/>
          <w:lang w:val="zh-CN" w:eastAsia="zh-CN"/>
        </w:rPr>
        <w:t>2</w:t>
      </w:r>
      <w:r>
        <w:rPr>
          <w:lang w:eastAsia="zh-CN"/>
        </w:rPr>
        <w:t>。</w:t>
      </w:r>
    </w:p>
    <w:p w14:paraId="4C42CA90">
      <w:pPr>
        <w:ind w:firstLine="480"/>
        <w:rPr>
          <w:lang w:eastAsia="zh-CN"/>
        </w:rPr>
      </w:pPr>
      <w:r>
        <w:rPr>
          <w:rFonts w:hint="eastAsia"/>
          <w:lang w:eastAsia="zh-CN"/>
        </w:rPr>
        <w:t>(2)</w:t>
      </w:r>
      <w:r>
        <w:rPr>
          <w:lang w:eastAsia="zh-CN"/>
        </w:rPr>
        <w:t>封山育林方式</w:t>
      </w:r>
    </w:p>
    <w:p w14:paraId="3961E475">
      <w:pPr>
        <w:ind w:firstLine="480"/>
        <w:rPr>
          <w:lang w:eastAsia="zh-CN"/>
        </w:rPr>
      </w:pPr>
      <w:r>
        <w:rPr>
          <w:rFonts w:hint="eastAsia"/>
          <w:lang w:eastAsia="zh-CN"/>
        </w:rPr>
        <w:t>①</w:t>
      </w:r>
      <w:r>
        <w:rPr>
          <w:lang w:eastAsia="zh-CN"/>
        </w:rPr>
        <w:t>全封式封山育林</w:t>
      </w:r>
    </w:p>
    <w:p w14:paraId="7B8636CA">
      <w:pPr>
        <w:ind w:firstLine="480"/>
        <w:rPr>
          <w:lang w:eastAsia="zh-CN"/>
        </w:rPr>
      </w:pPr>
      <w:r>
        <w:rPr>
          <w:lang w:eastAsia="zh-CN"/>
        </w:rPr>
        <w:t>全封式封山育林是一种极为严格的自然保护措施，旨在为林地提供一个完全自然的恢复期。在实施全封式封山育林期间，所有形式的林业开发活动如伐木、放牧等都将被禁止，以确保林地得到最大程度的休养生息。这种方法多适用于生态环境敏感且重要的区域，特别是那些生物多样性丰富，但已经遭受严重破坏的森林生态系统。该措施的实质是让森林生态系统在没有人为干预的情况下，通过自然演替过程恢复其原有的物种组成和生态结构。这一过程包含原生种群的自然增长，入侵物种的自然抑制，土壤质量的逐渐改善以及水循环的稳定。长期来看，这有助于提升森林的碳吸存能力，增强其对气候变化的适应能力，同时也为野生动植物提供了更稳定和可持续的栖息地</w:t>
      </w:r>
    </w:p>
    <w:p w14:paraId="66F0DEDD">
      <w:pPr>
        <w:ind w:firstLine="480"/>
        <w:rPr>
          <w:lang w:eastAsia="zh-CN"/>
        </w:rPr>
      </w:pPr>
      <w:r>
        <w:rPr>
          <w:rFonts w:hint="eastAsia"/>
          <w:lang w:eastAsia="zh-CN"/>
        </w:rPr>
        <w:t>②</w:t>
      </w:r>
      <w:r>
        <w:rPr>
          <w:lang w:eastAsia="zh-CN"/>
        </w:rPr>
        <w:t>半封式封山育林</w:t>
      </w:r>
    </w:p>
    <w:p w14:paraId="41A2AB50">
      <w:pPr>
        <w:ind w:firstLine="480"/>
        <w:rPr>
          <w:lang w:eastAsia="zh-CN"/>
        </w:rPr>
      </w:pPr>
      <w:r>
        <w:rPr>
          <w:lang w:eastAsia="zh-CN"/>
        </w:rPr>
        <w:t>半封式封山育林是一种森林管理方式，其在严格的自然保护和社区森林利用之间找到了一个均衡点。与全封式封山育林完全禁止人为干预不同，半封式封山育林允许在规定的时间和条件下进行有限度的林下产品采集和森林利用活动，旨在保护森林生态环境的同时，满足当地居民的基本生活需求，促进经济发展。在半封式封山育林的实践中，对森林资源的采集和利用是受到控制的。例如，在生态敏感期或动植物繁殖季节，可能实行完全封山；而在其他时段，可以根据森林恢复情况和科学评估，允许有序采伐、采集林下产品或发展生态旅游等活动。半封式封山育林的优点是在促进森林生态系统自我恢复的同时，为当地居民提供经济利益，提高他们对森林可持续管理的积极性。</w:t>
      </w:r>
    </w:p>
    <w:p w14:paraId="1892EC8A">
      <w:pPr>
        <w:ind w:firstLine="480"/>
        <w:rPr>
          <w:lang w:eastAsia="zh-CN"/>
        </w:rPr>
      </w:pPr>
      <w:r>
        <w:rPr>
          <w:rFonts w:hint="eastAsia"/>
          <w:lang w:eastAsia="zh-CN"/>
        </w:rPr>
        <w:t>③</w:t>
      </w:r>
      <w:r>
        <w:rPr>
          <w:lang w:eastAsia="zh-CN"/>
        </w:rPr>
        <w:t>轮封式封山育林</w:t>
      </w:r>
    </w:p>
    <w:p w14:paraId="578920C1">
      <w:pPr>
        <w:ind w:firstLine="480"/>
        <w:rPr>
          <w:lang w:eastAsia="zh-CN"/>
        </w:rPr>
      </w:pPr>
      <w:r>
        <w:rPr>
          <w:lang w:eastAsia="zh-CN"/>
        </w:rPr>
        <w:t>轮封式封山育林是一种动态管理的林业恢复方法，其将林地划分为若干个区块，每个区块在不同的年份进行轮流封山。此方法不仅可以平衡生态保护与合理利用的需求，还可以保持森林生态系统的稳定性与生物多样性。在轮封式封山育林中，管理者会依据林地的具体条件和生态恢复目标，制定出一套详细的轮封计划，通常包括封山的时序、封山的周期以及在非封山期间可进行的活动类型和强度。例如，某个区块可能在前5年内完全封山以恢复生态系统，接下来的5年内实行有限度的林下产品采集或者生态旅游活动，之后再次进入封山期。</w:t>
      </w:r>
    </w:p>
    <w:p w14:paraId="42BA75EA">
      <w:pPr>
        <w:ind w:firstLine="480"/>
        <w:rPr>
          <w:lang w:eastAsia="zh-CN"/>
        </w:rPr>
      </w:pPr>
      <w:r>
        <w:rPr>
          <w:lang w:eastAsia="zh-CN"/>
        </w:rPr>
        <w:t>轮封式封山育林的主要优点：一是保持生态系统的连续性和稳定性，通过定期轮换封山区块，可以确保森林生态系统得到持续的休养生息，维持生物多样性和生态平衡。二是合理安排封山和开放的时间，使当地居民可以在不破坏森林生态的前提下，利用林地资源获得经济收益。三是灵活</w:t>
      </w:r>
      <w:r>
        <w:rPr>
          <w:rFonts w:hint="eastAsia"/>
          <w:lang w:eastAsia="zh-CN"/>
        </w:rPr>
        <w:t>地</w:t>
      </w:r>
      <w:r>
        <w:rPr>
          <w:lang w:eastAsia="zh-CN"/>
        </w:rPr>
        <w:t>管理，根据林地的实际恢复情况和外界环境的变化，管理者可以调整封山的时间和策略，进行适应性管理。</w:t>
      </w:r>
    </w:p>
    <w:p w14:paraId="064A57C5">
      <w:pPr>
        <w:ind w:firstLine="480"/>
        <w:rPr>
          <w:lang w:eastAsia="zh-CN"/>
        </w:rPr>
      </w:pPr>
      <w:r>
        <w:rPr>
          <w:lang w:eastAsia="zh-CN"/>
        </w:rPr>
        <w:t>故本次经理期封山育林采用轮封式封山育林。</w:t>
      </w:r>
    </w:p>
    <w:p w14:paraId="37049D37">
      <w:pPr>
        <w:spacing w:before="51"/>
        <w:ind w:firstLine="480"/>
        <w:rPr>
          <w:rFonts w:cs="Times New Roman"/>
          <w:szCs w:val="24"/>
          <w:lang w:eastAsia="zh-CN"/>
        </w:rPr>
        <w:sectPr>
          <w:footerReference r:id="rId35" w:type="default"/>
          <w:pgSz w:w="11905" w:h="16843"/>
          <w:pgMar w:top="1440" w:right="1406" w:bottom="1440" w:left="1803" w:header="873" w:footer="1276" w:gutter="0"/>
          <w:cols w:space="0" w:num="1"/>
          <w:rtlGutter w:val="0"/>
          <w:docGrid w:linePitch="326" w:charSpace="0"/>
        </w:sectPr>
      </w:pPr>
    </w:p>
    <w:p w14:paraId="7A12948D">
      <w:pPr>
        <w:pStyle w:val="2"/>
        <w:spacing w:before="120" w:after="120"/>
        <w:rPr>
          <w:lang w:eastAsia="zh-CN"/>
        </w:rPr>
      </w:pPr>
      <w:bookmarkStart w:id="86" w:name="bookmark54"/>
      <w:bookmarkEnd w:id="86"/>
      <w:bookmarkStart w:id="87" w:name="_Toc27610"/>
      <w:r>
        <w:rPr>
          <w:lang w:eastAsia="zh-CN"/>
        </w:rPr>
        <w:t>第六章</w:t>
      </w:r>
      <w:r>
        <w:rPr>
          <w:rFonts w:hint="eastAsia"/>
          <w:lang w:eastAsia="zh-CN"/>
        </w:rPr>
        <w:t xml:space="preserve"> </w:t>
      </w:r>
      <w:r>
        <w:rPr>
          <w:lang w:eastAsia="zh-CN"/>
        </w:rPr>
        <w:t>森林采伐</w:t>
      </w:r>
      <w:bookmarkEnd w:id="87"/>
    </w:p>
    <w:p w14:paraId="35D9E893">
      <w:pPr>
        <w:ind w:firstLine="480"/>
        <w:rPr>
          <w:lang w:eastAsia="zh-CN"/>
        </w:rPr>
      </w:pPr>
      <w:r>
        <w:rPr>
          <w:lang w:eastAsia="zh-CN"/>
        </w:rPr>
        <w:t>森林采伐规划设计是实现森林可持续利用、促进林业生产力发展的前提，是森林培育和合理调整森林结构、提高森林资源质量的重要手段，也是制定年森林采伐限额的主要依据。在森林采伐规划设计中，坚持森林分类经营，坚持用材林“年消耗量小于生长量”的原则，并考虑林场职工正常生产生活的需要，结合林场及森林公园的发展要求，综合多种因素，分别主伐、抚育采伐、更新采伐确定主要采伐数量，最终确定本经理期内的合理森林年伐量。</w:t>
      </w:r>
    </w:p>
    <w:p w14:paraId="03BC12EB">
      <w:pPr>
        <w:pStyle w:val="3"/>
        <w:rPr>
          <w:lang w:eastAsia="zh-CN"/>
        </w:rPr>
      </w:pPr>
      <w:bookmarkStart w:id="88" w:name="bookmark56"/>
      <w:bookmarkEnd w:id="88"/>
      <w:bookmarkStart w:id="89" w:name="_Toc26637"/>
      <w:r>
        <w:rPr>
          <w:lang w:eastAsia="zh-CN"/>
        </w:rPr>
        <w:t>6.1采伐原则</w:t>
      </w:r>
      <w:bookmarkEnd w:id="89"/>
    </w:p>
    <w:p w14:paraId="612E67BC">
      <w:pPr>
        <w:ind w:firstLine="480"/>
        <w:rPr>
          <w:lang w:eastAsia="zh-CN"/>
        </w:rPr>
      </w:pPr>
      <w:r>
        <w:rPr>
          <w:rFonts w:hint="eastAsia"/>
          <w:lang w:eastAsia="zh-CN"/>
        </w:rPr>
        <w:t>(</w:t>
      </w:r>
      <w:r>
        <w:rPr>
          <w:lang w:eastAsia="zh-CN"/>
        </w:rPr>
        <w:t>1</w:t>
      </w:r>
      <w:r>
        <w:rPr>
          <w:rFonts w:hint="eastAsia"/>
          <w:lang w:eastAsia="zh-CN"/>
        </w:rPr>
        <w:t>)</w:t>
      </w:r>
      <w:r>
        <w:rPr>
          <w:lang w:eastAsia="zh-CN"/>
        </w:rPr>
        <w:t>用材林年采伐消耗量应低于年生长量。</w:t>
      </w:r>
    </w:p>
    <w:p w14:paraId="4C4E7123">
      <w:pPr>
        <w:ind w:firstLine="480"/>
        <w:rPr>
          <w:lang w:eastAsia="zh-CN"/>
        </w:rPr>
      </w:pPr>
      <w:r>
        <w:rPr>
          <w:rFonts w:hint="eastAsia"/>
          <w:lang w:eastAsia="zh-CN"/>
        </w:rPr>
        <w:t>(</w:t>
      </w:r>
      <w:r>
        <w:rPr>
          <w:lang w:eastAsia="zh-CN"/>
        </w:rPr>
        <w:t>2</w:t>
      </w:r>
      <w:r>
        <w:rPr>
          <w:rFonts w:hint="eastAsia"/>
          <w:lang w:eastAsia="zh-CN"/>
        </w:rPr>
        <w:t>)</w:t>
      </w:r>
      <w:r>
        <w:rPr>
          <w:lang w:eastAsia="zh-CN"/>
        </w:rPr>
        <w:t>经理期末林分单位面积蓄积量应高于经理期开始时的林分单位面积蓄积量。</w:t>
      </w:r>
    </w:p>
    <w:p w14:paraId="78571D62">
      <w:pPr>
        <w:ind w:firstLine="480"/>
        <w:rPr>
          <w:lang w:eastAsia="zh-CN"/>
        </w:rPr>
      </w:pPr>
      <w:r>
        <w:rPr>
          <w:rFonts w:hint="eastAsia"/>
          <w:lang w:eastAsia="zh-CN"/>
        </w:rPr>
        <w:t>(</w:t>
      </w:r>
      <w:r>
        <w:rPr>
          <w:lang w:eastAsia="zh-CN"/>
        </w:rPr>
        <w:t>3</w:t>
      </w:r>
      <w:r>
        <w:rPr>
          <w:rFonts w:hint="eastAsia"/>
          <w:lang w:eastAsia="zh-CN"/>
        </w:rPr>
        <w:t>)</w:t>
      </w:r>
      <w:r>
        <w:rPr>
          <w:lang w:eastAsia="zh-CN"/>
        </w:rPr>
        <w:t>回归年或择伐周期不应少于1个龄级期。</w:t>
      </w:r>
    </w:p>
    <w:p w14:paraId="410F385B">
      <w:pPr>
        <w:ind w:firstLine="480"/>
      </w:pPr>
      <w:r>
        <w:rPr>
          <w:rFonts w:hint="eastAsia"/>
          <w:lang w:eastAsia="zh-CN"/>
        </w:rPr>
        <w:t>(</w:t>
      </w:r>
      <w:r>
        <w:t>4</w:t>
      </w:r>
      <w:r>
        <w:rPr>
          <w:rFonts w:hint="eastAsia"/>
          <w:lang w:eastAsia="zh-CN"/>
        </w:rPr>
        <w:t>)</w:t>
      </w:r>
      <w:r>
        <w:t>不提前主伐未成熟森林。</w:t>
      </w:r>
    </w:p>
    <w:p w14:paraId="7FF1C95B">
      <w:pPr>
        <w:ind w:firstLine="480"/>
        <w:rPr>
          <w:lang w:eastAsia="zh-CN"/>
        </w:rPr>
      </w:pPr>
      <w:r>
        <w:rPr>
          <w:rFonts w:hint="eastAsia"/>
          <w:lang w:eastAsia="zh-CN"/>
        </w:rPr>
        <w:t>(</w:t>
      </w:r>
      <w:r>
        <w:rPr>
          <w:lang w:eastAsia="zh-CN"/>
        </w:rPr>
        <w:t>5</w:t>
      </w:r>
      <w:r>
        <w:rPr>
          <w:rFonts w:hint="eastAsia"/>
          <w:lang w:eastAsia="zh-CN"/>
        </w:rPr>
        <w:t>)</w:t>
      </w:r>
      <w:r>
        <w:rPr>
          <w:lang w:eastAsia="zh-CN"/>
        </w:rPr>
        <w:t>年采伐量保持适当稳定，使森林资源得到可持续利用</w:t>
      </w:r>
    </w:p>
    <w:p w14:paraId="79C6A124">
      <w:pPr>
        <w:ind w:firstLine="480"/>
        <w:rPr>
          <w:lang w:eastAsia="zh-CN"/>
        </w:rPr>
      </w:pPr>
      <w:r>
        <w:rPr>
          <w:rFonts w:hint="eastAsia"/>
          <w:lang w:eastAsia="zh-CN"/>
        </w:rPr>
        <w:t>(</w:t>
      </w:r>
      <w:r>
        <w:rPr>
          <w:lang w:eastAsia="zh-CN"/>
        </w:rPr>
        <w:t>6</w:t>
      </w:r>
      <w:r>
        <w:rPr>
          <w:rFonts w:hint="eastAsia"/>
          <w:lang w:eastAsia="zh-CN"/>
        </w:rPr>
        <w:t>)</w:t>
      </w:r>
      <w:r>
        <w:rPr>
          <w:lang w:eastAsia="zh-CN"/>
        </w:rPr>
        <w:t>将森林采伐对生态环境的影响降到最低程度。</w:t>
      </w:r>
    </w:p>
    <w:p w14:paraId="5420D04C">
      <w:pPr>
        <w:pStyle w:val="3"/>
        <w:rPr>
          <w:lang w:eastAsia="zh-CN"/>
        </w:rPr>
      </w:pPr>
      <w:bookmarkStart w:id="90" w:name="bookmark58"/>
      <w:bookmarkEnd w:id="90"/>
      <w:bookmarkStart w:id="91" w:name="_Toc14046"/>
      <w:r>
        <w:rPr>
          <w:lang w:eastAsia="zh-CN"/>
        </w:rPr>
        <w:t>6.2采伐类型</w:t>
      </w:r>
      <w:bookmarkEnd w:id="91"/>
    </w:p>
    <w:p w14:paraId="09E3D4F2">
      <w:pPr>
        <w:ind w:firstLine="480"/>
        <w:rPr>
          <w:lang w:eastAsia="zh-CN"/>
        </w:rPr>
      </w:pPr>
      <w:bookmarkStart w:id="92" w:name="bookmark60"/>
      <w:bookmarkEnd w:id="92"/>
      <w:bookmarkStart w:id="93" w:name="bookmark63"/>
      <w:bookmarkEnd w:id="93"/>
      <w:r>
        <w:rPr>
          <w:rFonts w:hint="eastAsia"/>
          <w:lang w:eastAsia="zh-CN"/>
        </w:rPr>
        <w:t>林场全部位于阳明山国家森林公园内，本经理期不做主伐设计，只开展幼林抚育。</w:t>
      </w:r>
    </w:p>
    <w:p w14:paraId="046CF985">
      <w:pPr>
        <w:pStyle w:val="3"/>
        <w:rPr>
          <w:lang w:eastAsia="zh-CN"/>
        </w:rPr>
      </w:pPr>
      <w:bookmarkStart w:id="94" w:name="_Toc24348"/>
      <w:r>
        <w:rPr>
          <w:lang w:eastAsia="zh-CN"/>
        </w:rPr>
        <w:t>6.3测算参数</w:t>
      </w:r>
      <w:bookmarkEnd w:id="94"/>
    </w:p>
    <w:p w14:paraId="63AD203B">
      <w:pPr>
        <w:pStyle w:val="4"/>
      </w:pPr>
      <w:r>
        <w:t>6.3.1测算单位</w:t>
      </w:r>
    </w:p>
    <w:p w14:paraId="03BA6B20">
      <w:pPr>
        <w:ind w:firstLine="480"/>
        <w:rPr>
          <w:lang w:eastAsia="zh-CN"/>
        </w:rPr>
      </w:pPr>
      <w:r>
        <w:rPr>
          <w:lang w:eastAsia="zh-CN"/>
        </w:rPr>
        <w:t>以林场为总体测算和确定年森林合理采伐量，作为编制年森林采伐限额的依据。</w:t>
      </w:r>
    </w:p>
    <w:p w14:paraId="21AC6F7C">
      <w:pPr>
        <w:pStyle w:val="4"/>
      </w:pPr>
      <w:r>
        <w:t>6.3.2测算分类</w:t>
      </w:r>
    </w:p>
    <w:p w14:paraId="6F3DBF1C">
      <w:pPr>
        <w:ind w:firstLine="480"/>
        <w:rPr>
          <w:lang w:eastAsia="zh-CN"/>
        </w:rPr>
      </w:pPr>
      <w:r>
        <w:rPr>
          <w:lang w:eastAsia="zh-CN"/>
        </w:rPr>
        <w:t>根据国家林业局和湖南省林业局关于编制年森林采伐限额的分类要求，年森林合理采伐量按以下采伐类型进行测算。</w:t>
      </w:r>
    </w:p>
    <w:p w14:paraId="2ED997EC">
      <w:pPr>
        <w:ind w:firstLine="480"/>
      </w:pPr>
      <w:r>
        <w:rPr>
          <w:rFonts w:hint="eastAsia"/>
          <w:lang w:eastAsia="zh-CN"/>
        </w:rPr>
        <w:t>(</w:t>
      </w:r>
      <w:r>
        <w:t>1</w:t>
      </w:r>
      <w:r>
        <w:rPr>
          <w:rFonts w:hint="eastAsia"/>
          <w:lang w:eastAsia="zh-CN"/>
        </w:rPr>
        <w:t>)</w:t>
      </w:r>
      <w:r>
        <w:t>杉木商品林皆伐采伐量。</w:t>
      </w:r>
    </w:p>
    <w:p w14:paraId="6CA61139">
      <w:pPr>
        <w:ind w:firstLine="480"/>
        <w:rPr>
          <w:lang w:eastAsia="zh-CN"/>
        </w:rPr>
      </w:pPr>
      <w:r>
        <w:rPr>
          <w:rFonts w:hint="eastAsia"/>
          <w:lang w:eastAsia="zh-CN"/>
        </w:rPr>
        <w:t>(</w:t>
      </w:r>
      <w:r>
        <w:rPr>
          <w:lang w:eastAsia="zh-CN"/>
        </w:rPr>
        <w:t>2</w:t>
      </w:r>
      <w:r>
        <w:rPr>
          <w:rFonts w:hint="eastAsia"/>
          <w:lang w:eastAsia="zh-CN"/>
        </w:rPr>
        <w:t>)</w:t>
      </w:r>
      <w:r>
        <w:rPr>
          <w:lang w:eastAsia="zh-CN"/>
        </w:rPr>
        <w:t>杉木商品林抚育</w:t>
      </w:r>
      <w:r>
        <w:rPr>
          <w:rFonts w:hint="eastAsia"/>
          <w:lang w:eastAsia="zh-CN"/>
        </w:rPr>
        <w:t>采伐</w:t>
      </w:r>
      <w:r>
        <w:rPr>
          <w:lang w:eastAsia="zh-CN"/>
        </w:rPr>
        <w:t>量。</w:t>
      </w:r>
    </w:p>
    <w:p w14:paraId="39EFA567">
      <w:pPr>
        <w:pStyle w:val="4"/>
      </w:pPr>
      <w:r>
        <w:t>6.3.3测算期限</w:t>
      </w:r>
    </w:p>
    <w:p w14:paraId="39A93743">
      <w:pPr>
        <w:ind w:firstLine="480"/>
        <w:rPr>
          <w:lang w:eastAsia="zh-CN"/>
        </w:rPr>
      </w:pPr>
      <w:r>
        <w:rPr>
          <w:lang w:eastAsia="zh-CN"/>
        </w:rPr>
        <w:t>根据湖南省林业局关于《森林经营方案编制》有关规定，本经营期内的采伐对象为杉木商品，测算期限如下：</w:t>
      </w:r>
    </w:p>
    <w:p w14:paraId="2BB9CCD3">
      <w:pPr>
        <w:ind w:firstLine="480"/>
        <w:rPr>
          <w:lang w:eastAsia="zh-CN"/>
        </w:rPr>
      </w:pPr>
      <w:r>
        <w:rPr>
          <w:rFonts w:hint="eastAsia"/>
          <w:lang w:eastAsia="zh-CN"/>
        </w:rPr>
        <w:t>(</w:t>
      </w:r>
      <w:r>
        <w:rPr>
          <w:lang w:eastAsia="zh-CN"/>
        </w:rPr>
        <w:t>1</w:t>
      </w:r>
      <w:r>
        <w:rPr>
          <w:rFonts w:hint="eastAsia"/>
          <w:lang w:eastAsia="zh-CN"/>
        </w:rPr>
        <w:t>)</w:t>
      </w:r>
      <w:r>
        <w:rPr>
          <w:lang w:eastAsia="zh-CN"/>
        </w:rPr>
        <w:t>杉木商品林皆伐采伐，分别测算第一个五年的年合理采伐量，第二个五年的测算不细分到各年度。</w:t>
      </w:r>
    </w:p>
    <w:p w14:paraId="11F37912">
      <w:pPr>
        <w:ind w:firstLine="480"/>
        <w:rPr>
          <w:lang w:eastAsia="zh-CN"/>
        </w:rPr>
      </w:pPr>
      <w:r>
        <w:rPr>
          <w:rFonts w:hint="eastAsia"/>
          <w:lang w:eastAsia="zh-CN"/>
        </w:rPr>
        <w:t>(</w:t>
      </w:r>
      <w:r>
        <w:rPr>
          <w:lang w:eastAsia="zh-CN"/>
        </w:rPr>
        <w:t>2</w:t>
      </w:r>
      <w:r>
        <w:rPr>
          <w:rFonts w:hint="eastAsia"/>
          <w:lang w:eastAsia="zh-CN"/>
        </w:rPr>
        <w:t>)</w:t>
      </w:r>
      <w:r>
        <w:rPr>
          <w:lang w:eastAsia="zh-CN"/>
        </w:rPr>
        <w:t>杉木公益林过熟林更新采伐。</w:t>
      </w:r>
    </w:p>
    <w:p w14:paraId="447866C7">
      <w:pPr>
        <w:pStyle w:val="4"/>
      </w:pPr>
      <w:r>
        <w:t>6.3.4出材率</w:t>
      </w:r>
    </w:p>
    <w:p w14:paraId="5A0BC5D2">
      <w:pPr>
        <w:ind w:firstLine="480"/>
        <w:rPr>
          <w:lang w:eastAsia="zh-CN"/>
        </w:rPr>
      </w:pPr>
      <w:r>
        <w:rPr>
          <w:lang w:eastAsia="zh-CN"/>
        </w:rPr>
        <w:t>杉木主伐、更新采伐出材率按65%，马尾松更新采伐出材率按60%计算。抚育采伐出</w:t>
      </w:r>
      <w:r>
        <w:rPr>
          <w:rFonts w:hint="eastAsia"/>
          <w:lang w:eastAsia="zh-CN"/>
        </w:rPr>
        <w:t>材</w:t>
      </w:r>
      <w:r>
        <w:rPr>
          <w:lang w:eastAsia="zh-CN"/>
        </w:rPr>
        <w:t>率按45%计算。</w:t>
      </w:r>
    </w:p>
    <w:p w14:paraId="10B0E7DA">
      <w:pPr>
        <w:pStyle w:val="4"/>
      </w:pPr>
      <w:r>
        <w:t>6.3.5测算参数和测算公式</w:t>
      </w:r>
    </w:p>
    <w:p w14:paraId="6DBB5283">
      <w:pPr>
        <w:spacing w:line="240" w:lineRule="auto"/>
        <w:ind w:firstLine="0" w:firstLineChars="0"/>
        <w:jc w:val="center"/>
        <w:rPr>
          <w:rFonts w:eastAsia="黑体" w:cs="Times New Roman"/>
          <w:b/>
          <w:bCs/>
          <w:szCs w:val="24"/>
          <w:lang w:eastAsia="zh-CN"/>
        </w:rPr>
      </w:pPr>
      <w:r>
        <w:rPr>
          <w:rFonts w:eastAsia="黑体" w:cs="Times New Roman"/>
          <w:b/>
          <w:bCs/>
          <w:szCs w:val="24"/>
          <w:lang w:eastAsia="zh-CN"/>
        </w:rPr>
        <w:t>表6-1不同森林经营类型采伐主要参数表</w:t>
      </w:r>
    </w:p>
    <w:p w14:paraId="46594DE5">
      <w:pPr>
        <w:spacing w:line="240" w:lineRule="auto"/>
        <w:ind w:left="130" w:firstLine="0" w:firstLineChars="0"/>
        <w:jc w:val="right"/>
        <w:rPr>
          <w:rFonts w:cs="Times New Roman"/>
          <w:sz w:val="21"/>
        </w:rPr>
      </w:pPr>
      <w:r>
        <w:rPr>
          <w:rFonts w:cs="Times New Roman"/>
          <w:sz w:val="21"/>
        </w:rPr>
        <w:t>单位：年、%</w:t>
      </w:r>
    </w:p>
    <w:tbl>
      <w:tblPr>
        <w:tblStyle w:val="21"/>
        <w:tblW w:w="499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447"/>
        <w:gridCol w:w="1445"/>
        <w:gridCol w:w="1443"/>
        <w:gridCol w:w="1445"/>
        <w:gridCol w:w="1445"/>
        <w:gridCol w:w="1472"/>
      </w:tblGrid>
      <w:tr w14:paraId="2FDCD4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32" w:type="pct"/>
            <w:vAlign w:val="center"/>
          </w:tcPr>
          <w:p w14:paraId="6B0E3004">
            <w:pPr>
              <w:spacing w:line="240" w:lineRule="auto"/>
              <w:ind w:firstLine="0" w:firstLineChars="0"/>
              <w:jc w:val="center"/>
              <w:rPr>
                <w:rFonts w:cs="Times New Roman"/>
                <w:sz w:val="21"/>
                <w:szCs w:val="19"/>
              </w:rPr>
            </w:pPr>
            <w:r>
              <w:rPr>
                <w:rFonts w:cs="Times New Roman"/>
                <w:sz w:val="21"/>
                <w:szCs w:val="19"/>
              </w:rPr>
              <w:t>森林类别</w:t>
            </w:r>
          </w:p>
        </w:tc>
        <w:tc>
          <w:tcPr>
            <w:tcW w:w="830" w:type="pct"/>
            <w:vAlign w:val="center"/>
          </w:tcPr>
          <w:p w14:paraId="1A5503E3">
            <w:pPr>
              <w:spacing w:line="240" w:lineRule="auto"/>
              <w:ind w:firstLine="0" w:firstLineChars="0"/>
              <w:jc w:val="center"/>
              <w:rPr>
                <w:rFonts w:cs="Times New Roman"/>
                <w:sz w:val="21"/>
                <w:szCs w:val="19"/>
              </w:rPr>
            </w:pPr>
            <w:r>
              <w:rPr>
                <w:rFonts w:cs="Times New Roman"/>
                <w:sz w:val="21"/>
                <w:szCs w:val="19"/>
              </w:rPr>
              <w:t>经营类型</w:t>
            </w:r>
          </w:p>
        </w:tc>
        <w:tc>
          <w:tcPr>
            <w:tcW w:w="829" w:type="pct"/>
            <w:vAlign w:val="center"/>
          </w:tcPr>
          <w:p w14:paraId="4A82EDD0">
            <w:pPr>
              <w:spacing w:line="240" w:lineRule="auto"/>
              <w:ind w:firstLine="0" w:firstLineChars="0"/>
              <w:jc w:val="center"/>
              <w:rPr>
                <w:rFonts w:cs="Times New Roman"/>
                <w:sz w:val="21"/>
                <w:szCs w:val="19"/>
              </w:rPr>
            </w:pPr>
            <w:r>
              <w:rPr>
                <w:rFonts w:cs="Times New Roman"/>
                <w:sz w:val="21"/>
                <w:szCs w:val="19"/>
              </w:rPr>
              <w:t>龄级期限</w:t>
            </w:r>
          </w:p>
        </w:tc>
        <w:tc>
          <w:tcPr>
            <w:tcW w:w="830" w:type="pct"/>
            <w:vAlign w:val="center"/>
          </w:tcPr>
          <w:p w14:paraId="1BEA0FF1">
            <w:pPr>
              <w:spacing w:line="240" w:lineRule="auto"/>
              <w:ind w:firstLine="0" w:firstLineChars="0"/>
              <w:jc w:val="center"/>
              <w:rPr>
                <w:rFonts w:cs="Times New Roman"/>
                <w:sz w:val="21"/>
                <w:szCs w:val="19"/>
              </w:rPr>
            </w:pPr>
            <w:r>
              <w:rPr>
                <w:rFonts w:cs="Times New Roman"/>
                <w:sz w:val="21"/>
                <w:szCs w:val="19"/>
              </w:rPr>
              <w:t>主伐年龄</w:t>
            </w:r>
          </w:p>
        </w:tc>
        <w:tc>
          <w:tcPr>
            <w:tcW w:w="830" w:type="pct"/>
            <w:vAlign w:val="center"/>
          </w:tcPr>
          <w:p w14:paraId="7D72600C">
            <w:pPr>
              <w:spacing w:line="240" w:lineRule="auto"/>
              <w:ind w:firstLine="0" w:firstLineChars="0"/>
              <w:jc w:val="center"/>
              <w:rPr>
                <w:rFonts w:cs="Times New Roman"/>
                <w:sz w:val="21"/>
                <w:szCs w:val="19"/>
              </w:rPr>
            </w:pPr>
            <w:r>
              <w:rPr>
                <w:rFonts w:cs="Times New Roman"/>
                <w:sz w:val="21"/>
                <w:szCs w:val="19"/>
              </w:rPr>
              <w:t>轮伐期</w:t>
            </w:r>
          </w:p>
        </w:tc>
        <w:tc>
          <w:tcPr>
            <w:tcW w:w="846" w:type="pct"/>
            <w:vAlign w:val="center"/>
          </w:tcPr>
          <w:p w14:paraId="27DBA1D9">
            <w:pPr>
              <w:spacing w:line="240" w:lineRule="auto"/>
              <w:ind w:firstLine="0" w:firstLineChars="0"/>
              <w:jc w:val="center"/>
              <w:rPr>
                <w:rFonts w:cs="Times New Roman"/>
                <w:sz w:val="21"/>
                <w:szCs w:val="19"/>
              </w:rPr>
            </w:pPr>
            <w:r>
              <w:rPr>
                <w:rFonts w:cs="Times New Roman"/>
                <w:sz w:val="21"/>
                <w:szCs w:val="19"/>
              </w:rPr>
              <w:t>说明</w:t>
            </w:r>
          </w:p>
        </w:tc>
      </w:tr>
      <w:tr w14:paraId="2AFD2D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32" w:type="pct"/>
            <w:vAlign w:val="center"/>
          </w:tcPr>
          <w:p w14:paraId="45D03392">
            <w:pPr>
              <w:spacing w:line="240" w:lineRule="auto"/>
              <w:ind w:firstLine="0" w:firstLineChars="0"/>
              <w:jc w:val="center"/>
              <w:rPr>
                <w:rFonts w:cs="Times New Roman"/>
                <w:sz w:val="21"/>
                <w:szCs w:val="19"/>
              </w:rPr>
            </w:pPr>
            <w:r>
              <w:rPr>
                <w:rFonts w:cs="Times New Roman"/>
                <w:sz w:val="21"/>
                <w:szCs w:val="19"/>
              </w:rPr>
              <w:t>商品林</w:t>
            </w:r>
          </w:p>
        </w:tc>
        <w:tc>
          <w:tcPr>
            <w:tcW w:w="830" w:type="pct"/>
            <w:vAlign w:val="center"/>
          </w:tcPr>
          <w:p w14:paraId="5F574D6A">
            <w:pPr>
              <w:spacing w:line="240" w:lineRule="auto"/>
              <w:ind w:firstLine="0" w:firstLineChars="0"/>
              <w:jc w:val="center"/>
              <w:rPr>
                <w:rFonts w:cs="Times New Roman"/>
                <w:sz w:val="21"/>
                <w:szCs w:val="19"/>
                <w:lang w:eastAsia="zh-CN"/>
              </w:rPr>
            </w:pPr>
            <w:r>
              <w:rPr>
                <w:rFonts w:cs="Times New Roman"/>
                <w:sz w:val="21"/>
                <w:szCs w:val="19"/>
                <w:lang w:eastAsia="zh-CN"/>
              </w:rPr>
              <w:t>杉木大径材保护经营型</w:t>
            </w:r>
          </w:p>
        </w:tc>
        <w:tc>
          <w:tcPr>
            <w:tcW w:w="829" w:type="pct"/>
            <w:vAlign w:val="center"/>
          </w:tcPr>
          <w:p w14:paraId="3341D27F">
            <w:pPr>
              <w:spacing w:line="240" w:lineRule="auto"/>
              <w:ind w:firstLine="0" w:firstLineChars="0"/>
              <w:jc w:val="center"/>
              <w:rPr>
                <w:rFonts w:cs="Times New Roman"/>
                <w:sz w:val="21"/>
                <w:szCs w:val="19"/>
              </w:rPr>
            </w:pPr>
            <w:r>
              <w:rPr>
                <w:rFonts w:cs="Times New Roman"/>
                <w:sz w:val="21"/>
                <w:szCs w:val="19"/>
              </w:rPr>
              <w:t>5</w:t>
            </w:r>
          </w:p>
        </w:tc>
        <w:tc>
          <w:tcPr>
            <w:tcW w:w="830" w:type="pct"/>
            <w:vAlign w:val="center"/>
          </w:tcPr>
          <w:p w14:paraId="7F3516B1">
            <w:pPr>
              <w:spacing w:line="240" w:lineRule="auto"/>
              <w:ind w:firstLine="0" w:firstLineChars="0"/>
              <w:jc w:val="center"/>
              <w:rPr>
                <w:rFonts w:cs="Times New Roman"/>
                <w:sz w:val="21"/>
                <w:szCs w:val="19"/>
              </w:rPr>
            </w:pPr>
            <w:r>
              <w:rPr>
                <w:rFonts w:cs="Times New Roman"/>
                <w:sz w:val="21"/>
                <w:szCs w:val="19"/>
              </w:rPr>
              <w:t>26</w:t>
            </w:r>
          </w:p>
        </w:tc>
        <w:tc>
          <w:tcPr>
            <w:tcW w:w="830" w:type="pct"/>
            <w:vAlign w:val="center"/>
          </w:tcPr>
          <w:p w14:paraId="32B48C39">
            <w:pPr>
              <w:spacing w:line="240" w:lineRule="auto"/>
              <w:ind w:firstLine="0" w:firstLineChars="0"/>
              <w:jc w:val="center"/>
              <w:rPr>
                <w:rFonts w:cs="Times New Roman"/>
                <w:sz w:val="21"/>
                <w:szCs w:val="19"/>
              </w:rPr>
            </w:pPr>
            <w:r>
              <w:rPr>
                <w:rFonts w:cs="Times New Roman"/>
                <w:sz w:val="21"/>
                <w:szCs w:val="19"/>
              </w:rPr>
              <w:t>27</w:t>
            </w:r>
          </w:p>
        </w:tc>
        <w:tc>
          <w:tcPr>
            <w:tcW w:w="846" w:type="pct"/>
            <w:vAlign w:val="center"/>
          </w:tcPr>
          <w:p w14:paraId="53742D5D">
            <w:pPr>
              <w:spacing w:line="240" w:lineRule="auto"/>
              <w:ind w:firstLine="0" w:firstLineChars="0"/>
              <w:jc w:val="center"/>
              <w:rPr>
                <w:rFonts w:cs="Times New Roman"/>
                <w:sz w:val="21"/>
              </w:rPr>
            </w:pPr>
          </w:p>
        </w:tc>
      </w:tr>
    </w:tbl>
    <w:p w14:paraId="4DCCB2C9">
      <w:pPr>
        <w:ind w:firstLine="562"/>
        <w:rPr>
          <w:rFonts w:eastAsia="仿宋" w:cs="Times New Roman"/>
          <w:b/>
          <w:bCs/>
          <w:sz w:val="28"/>
          <w:szCs w:val="28"/>
        </w:rPr>
      </w:pPr>
      <w:r>
        <w:rPr>
          <w:rFonts w:eastAsia="仿宋" w:cs="Times New Roman"/>
          <w:b/>
          <w:bCs/>
          <w:sz w:val="28"/>
          <w:szCs w:val="28"/>
        </w:rPr>
        <w:br w:type="page"/>
      </w:r>
    </w:p>
    <w:p w14:paraId="40F3AA6D">
      <w:pPr>
        <w:spacing w:line="240" w:lineRule="auto"/>
        <w:ind w:firstLine="0" w:firstLineChars="0"/>
        <w:jc w:val="center"/>
        <w:rPr>
          <w:rFonts w:eastAsia="黑体" w:cs="Times New Roman"/>
          <w:b/>
          <w:bCs/>
          <w:szCs w:val="24"/>
          <w:lang w:eastAsia="zh-CN"/>
        </w:rPr>
      </w:pPr>
      <w:r>
        <w:rPr>
          <w:rFonts w:eastAsia="黑体" w:cs="Times New Roman"/>
          <w:b/>
          <w:bCs/>
          <w:szCs w:val="24"/>
          <w:lang w:eastAsia="zh-CN"/>
        </w:rPr>
        <w:t>表6-2采伐测算公式表</w:t>
      </w:r>
    </w:p>
    <w:tbl>
      <w:tblPr>
        <w:tblStyle w:val="21"/>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721"/>
        <w:gridCol w:w="3403"/>
        <w:gridCol w:w="3576"/>
      </w:tblGrid>
      <w:tr w14:paraId="34B7C0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blHeader/>
          <w:jc w:val="center"/>
        </w:trPr>
        <w:tc>
          <w:tcPr>
            <w:tcW w:w="989" w:type="pct"/>
            <w:vAlign w:val="center"/>
          </w:tcPr>
          <w:p w14:paraId="5EDDF688">
            <w:pPr>
              <w:spacing w:line="240" w:lineRule="auto"/>
              <w:ind w:firstLine="0" w:firstLineChars="0"/>
              <w:jc w:val="center"/>
              <w:rPr>
                <w:rFonts w:cs="Times New Roman"/>
                <w:sz w:val="21"/>
                <w:szCs w:val="19"/>
              </w:rPr>
            </w:pPr>
            <w:r>
              <w:rPr>
                <w:rFonts w:cs="Times New Roman"/>
                <w:bCs/>
                <w:sz w:val="21"/>
                <w:szCs w:val="19"/>
              </w:rPr>
              <w:t>计算方法</w:t>
            </w:r>
          </w:p>
        </w:tc>
        <w:tc>
          <w:tcPr>
            <w:tcW w:w="1955" w:type="pct"/>
            <w:vAlign w:val="center"/>
          </w:tcPr>
          <w:p w14:paraId="04479E92">
            <w:pPr>
              <w:spacing w:line="240" w:lineRule="auto"/>
              <w:ind w:firstLine="0" w:firstLineChars="0"/>
              <w:jc w:val="center"/>
              <w:rPr>
                <w:rFonts w:cs="Times New Roman"/>
                <w:sz w:val="21"/>
                <w:szCs w:val="19"/>
              </w:rPr>
            </w:pPr>
            <w:r>
              <w:rPr>
                <w:rFonts w:cs="Times New Roman"/>
                <w:bCs/>
                <w:sz w:val="21"/>
                <w:szCs w:val="19"/>
              </w:rPr>
              <w:t>公式</w:t>
            </w:r>
          </w:p>
        </w:tc>
        <w:tc>
          <w:tcPr>
            <w:tcW w:w="2054" w:type="pct"/>
            <w:vAlign w:val="center"/>
          </w:tcPr>
          <w:p w14:paraId="4A9AEE60">
            <w:pPr>
              <w:spacing w:line="240" w:lineRule="auto"/>
              <w:ind w:firstLine="0" w:firstLineChars="0"/>
              <w:jc w:val="center"/>
              <w:rPr>
                <w:rFonts w:cs="Times New Roman"/>
                <w:sz w:val="21"/>
                <w:szCs w:val="19"/>
              </w:rPr>
            </w:pPr>
            <w:r>
              <w:rPr>
                <w:rFonts w:cs="Times New Roman"/>
                <w:bCs/>
                <w:sz w:val="21"/>
                <w:szCs w:val="19"/>
              </w:rPr>
              <w:t>公式说明</w:t>
            </w:r>
          </w:p>
        </w:tc>
      </w:tr>
      <w:tr w14:paraId="264746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89" w:type="pct"/>
            <w:vAlign w:val="center"/>
          </w:tcPr>
          <w:p w14:paraId="0863B03B">
            <w:pPr>
              <w:spacing w:line="240" w:lineRule="auto"/>
              <w:ind w:firstLine="0" w:firstLineChars="0"/>
              <w:jc w:val="center"/>
              <w:rPr>
                <w:rFonts w:cs="Times New Roman"/>
                <w:sz w:val="21"/>
                <w:szCs w:val="19"/>
              </w:rPr>
            </w:pPr>
            <w:r>
              <w:rPr>
                <w:rFonts w:cs="Times New Roman"/>
                <w:sz w:val="21"/>
                <w:szCs w:val="19"/>
              </w:rPr>
              <w:t>区划轮伐法</w:t>
            </w:r>
          </w:p>
        </w:tc>
        <w:tc>
          <w:tcPr>
            <w:tcW w:w="1955" w:type="pct"/>
            <w:vAlign w:val="center"/>
          </w:tcPr>
          <w:p w14:paraId="736C7F54">
            <w:pPr>
              <w:spacing w:line="240" w:lineRule="auto"/>
              <w:ind w:left="138" w:firstLine="0" w:firstLineChars="0"/>
              <w:jc w:val="left"/>
              <w:rPr>
                <w:rFonts w:cs="Times New Roman"/>
                <w:sz w:val="21"/>
                <w:lang w:eastAsia="zh-CN"/>
              </w:rPr>
            </w:pPr>
            <w:r>
              <w:rPr>
                <w:rFonts w:cs="Times New Roman"/>
                <w:iCs/>
                <w:w w:val="104"/>
                <w:position w:val="1"/>
                <w:sz w:val="21"/>
                <w:lang w:eastAsia="zh-CN"/>
              </w:rPr>
              <w:t>L</w:t>
            </w:r>
            <w:r>
              <w:rPr>
                <w:rFonts w:cs="Times New Roman"/>
                <w:iCs/>
                <w:w w:val="104"/>
                <w:position w:val="-4"/>
                <w:sz w:val="21"/>
                <w:szCs w:val="12"/>
                <w:lang w:eastAsia="zh-CN"/>
              </w:rPr>
              <w:t>A</w:t>
            </w:r>
            <w:r>
              <w:rPr>
                <w:rFonts w:hint="eastAsia" w:cs="宋体"/>
                <w:w w:val="104"/>
                <w:position w:val="1"/>
                <w:sz w:val="21"/>
                <w:lang w:eastAsia="zh-CN"/>
              </w:rPr>
              <w:t>(</w:t>
            </w:r>
            <w:r>
              <w:rPr>
                <w:rFonts w:cs="Times New Roman"/>
                <w:w w:val="104"/>
                <w:position w:val="1"/>
                <w:sz w:val="21"/>
                <w:lang w:eastAsia="zh-CN"/>
              </w:rPr>
              <w:t>轮伐</w:t>
            </w:r>
            <w:r>
              <w:rPr>
                <w:rFonts w:hint="eastAsia" w:cs="宋体"/>
                <w:w w:val="104"/>
                <w:position w:val="1"/>
                <w:sz w:val="21"/>
                <w:lang w:eastAsia="zh-CN"/>
              </w:rPr>
              <w:t>)</w:t>
            </w:r>
            <w:r>
              <w:rPr>
                <w:rFonts w:cs="Times New Roman"/>
                <w:w w:val="104"/>
                <w:position w:val="1"/>
                <w:sz w:val="21"/>
                <w:lang w:eastAsia="zh-CN"/>
              </w:rPr>
              <w:t>=</w:t>
            </w:r>
            <w:r>
              <w:rPr>
                <w:rFonts w:cs="Times New Roman"/>
                <w:w w:val="104"/>
                <w:position w:val="-3"/>
                <w:sz w:val="21"/>
                <w:szCs w:val="32"/>
              </w:rPr>
              <w:t>Σ</w:t>
            </w:r>
            <w:r>
              <w:rPr>
                <w:rFonts w:cs="Times New Roman"/>
                <w:iCs/>
                <w:w w:val="104"/>
                <w:position w:val="1"/>
                <w:sz w:val="21"/>
                <w:lang w:eastAsia="zh-CN"/>
              </w:rPr>
              <w:t>f</w:t>
            </w:r>
            <w:r>
              <w:rPr>
                <w:rFonts w:cs="Times New Roman"/>
                <w:w w:val="104"/>
                <w:position w:val="1"/>
                <w:sz w:val="21"/>
                <w:lang w:eastAsia="zh-CN"/>
              </w:rPr>
              <w:t>/</w:t>
            </w:r>
            <w:r>
              <w:rPr>
                <w:rFonts w:cs="Times New Roman"/>
                <w:iCs/>
                <w:w w:val="104"/>
                <w:position w:val="1"/>
                <w:sz w:val="21"/>
                <w:lang w:eastAsia="zh-CN"/>
              </w:rPr>
              <w:t>U</w:t>
            </w:r>
          </w:p>
          <w:p w14:paraId="245DA6B0">
            <w:pPr>
              <w:spacing w:line="240" w:lineRule="auto"/>
              <w:ind w:left="138" w:firstLine="0" w:firstLineChars="0"/>
              <w:jc w:val="left"/>
              <w:rPr>
                <w:rFonts w:cs="Times New Roman"/>
                <w:sz w:val="21"/>
                <w:szCs w:val="23"/>
                <w:lang w:eastAsia="zh-CN"/>
              </w:rPr>
            </w:pPr>
            <w:r>
              <w:rPr>
                <w:rFonts w:cs="Times New Roman"/>
                <w:iCs/>
                <w:sz w:val="21"/>
                <w:szCs w:val="23"/>
                <w:lang w:eastAsia="zh-CN"/>
              </w:rPr>
              <w:t>L</w:t>
            </w:r>
            <w:r>
              <w:rPr>
                <w:rFonts w:cs="Times New Roman"/>
                <w:iCs/>
                <w:position w:val="-5"/>
                <w:sz w:val="21"/>
                <w:szCs w:val="13"/>
                <w:lang w:eastAsia="zh-CN"/>
              </w:rPr>
              <w:t>V</w:t>
            </w:r>
            <w:r>
              <w:rPr>
                <w:rFonts w:hint="eastAsia" w:cs="宋体"/>
                <w:sz w:val="21"/>
                <w:szCs w:val="23"/>
                <w:lang w:eastAsia="zh-CN"/>
              </w:rPr>
              <w:t>(</w:t>
            </w:r>
            <w:r>
              <w:rPr>
                <w:rFonts w:cs="Times New Roman"/>
                <w:sz w:val="21"/>
                <w:szCs w:val="23"/>
                <w:lang w:eastAsia="zh-CN"/>
              </w:rPr>
              <w:t>轮伐</w:t>
            </w:r>
            <w:r>
              <w:rPr>
                <w:rFonts w:hint="eastAsia" w:cs="宋体"/>
                <w:sz w:val="21"/>
                <w:szCs w:val="23"/>
                <w:lang w:eastAsia="zh-CN"/>
              </w:rPr>
              <w:t>)</w:t>
            </w:r>
            <w:r>
              <w:rPr>
                <w:rFonts w:cs="Times New Roman"/>
                <w:sz w:val="21"/>
                <w:szCs w:val="23"/>
                <w:lang w:eastAsia="zh-CN"/>
              </w:rPr>
              <w:t>=</w:t>
            </w:r>
            <w:r>
              <w:rPr>
                <w:rFonts w:cs="Times New Roman"/>
                <w:iCs/>
                <w:sz w:val="21"/>
                <w:szCs w:val="23"/>
                <w:lang w:eastAsia="zh-CN"/>
              </w:rPr>
              <w:t>L</w:t>
            </w:r>
            <w:r>
              <w:rPr>
                <w:rFonts w:cs="Times New Roman"/>
                <w:iCs/>
                <w:position w:val="-5"/>
                <w:sz w:val="21"/>
                <w:szCs w:val="13"/>
                <w:lang w:eastAsia="zh-CN"/>
              </w:rPr>
              <w:t>A</w:t>
            </w:r>
            <w:r>
              <w:rPr>
                <w:rFonts w:hint="eastAsia" w:cs="宋体"/>
                <w:sz w:val="21"/>
                <w:szCs w:val="23"/>
                <w:lang w:eastAsia="zh-CN"/>
              </w:rPr>
              <w:t>(</w:t>
            </w:r>
            <w:r>
              <w:rPr>
                <w:rFonts w:cs="Times New Roman"/>
                <w:sz w:val="21"/>
                <w:szCs w:val="23"/>
                <w:lang w:eastAsia="zh-CN"/>
              </w:rPr>
              <w:t>轮伐</w:t>
            </w:r>
            <w:r>
              <w:rPr>
                <w:rFonts w:hint="eastAsia" w:cs="宋体"/>
                <w:sz w:val="21"/>
                <w:szCs w:val="23"/>
                <w:lang w:eastAsia="zh-CN"/>
              </w:rPr>
              <w:t>)</w:t>
            </w:r>
            <w:r>
              <w:rPr>
                <w:rFonts w:cs="Times New Roman"/>
                <w:sz w:val="21"/>
                <w:szCs w:val="23"/>
                <w:lang w:eastAsia="zh-CN"/>
              </w:rPr>
              <w:t>×</w:t>
            </w:r>
            <w:r>
              <w:rPr>
                <w:rFonts w:cs="Times New Roman"/>
                <w:iCs/>
                <w:sz w:val="21"/>
                <w:szCs w:val="23"/>
                <w:lang w:eastAsia="zh-CN"/>
              </w:rPr>
              <w:t>V</w:t>
            </w:r>
          </w:p>
        </w:tc>
        <w:tc>
          <w:tcPr>
            <w:tcW w:w="2054" w:type="pct"/>
            <w:vAlign w:val="center"/>
          </w:tcPr>
          <w:p w14:paraId="37D07A71">
            <w:pPr>
              <w:spacing w:line="240" w:lineRule="auto"/>
              <w:ind w:left="137" w:firstLine="0" w:firstLineChars="0"/>
              <w:jc w:val="left"/>
              <w:rPr>
                <w:rFonts w:cs="Times New Roman"/>
                <w:sz w:val="21"/>
                <w:szCs w:val="19"/>
                <w:lang w:eastAsia="zh-CN"/>
              </w:rPr>
            </w:pPr>
            <w:r>
              <w:rPr>
                <w:rFonts w:cs="Times New Roman"/>
                <w:iCs/>
                <w:sz w:val="21"/>
                <w:szCs w:val="25"/>
                <w:lang w:eastAsia="zh-CN"/>
              </w:rPr>
              <w:t>L</w:t>
            </w:r>
            <w:r>
              <w:rPr>
                <w:rFonts w:cs="Times New Roman"/>
                <w:iCs/>
                <w:position w:val="-6"/>
                <w:sz w:val="21"/>
                <w:szCs w:val="14"/>
                <w:lang w:eastAsia="zh-CN"/>
              </w:rPr>
              <w:t>A</w:t>
            </w:r>
            <w:r>
              <w:rPr>
                <w:rFonts w:hint="eastAsia" w:cs="宋体"/>
                <w:sz w:val="21"/>
                <w:szCs w:val="25"/>
                <w:lang w:eastAsia="zh-CN"/>
              </w:rPr>
              <w:t>(</w:t>
            </w:r>
            <w:r>
              <w:rPr>
                <w:rFonts w:cs="Times New Roman"/>
                <w:sz w:val="21"/>
                <w:szCs w:val="25"/>
                <w:lang w:eastAsia="zh-CN"/>
              </w:rPr>
              <w:t>轮伐</w:t>
            </w:r>
            <w:r>
              <w:rPr>
                <w:rFonts w:hint="eastAsia" w:cs="宋体"/>
                <w:sz w:val="21"/>
                <w:szCs w:val="25"/>
                <w:lang w:eastAsia="zh-CN"/>
              </w:rPr>
              <w:t>)</w:t>
            </w:r>
            <w:r>
              <w:rPr>
                <w:rFonts w:cs="Times New Roman"/>
                <w:sz w:val="21"/>
                <w:szCs w:val="19"/>
                <w:lang w:eastAsia="zh-CN"/>
              </w:rPr>
              <w:t>----年伐面积</w:t>
            </w:r>
          </w:p>
          <w:p w14:paraId="53F605FC">
            <w:pPr>
              <w:spacing w:line="240" w:lineRule="auto"/>
              <w:ind w:left="149" w:firstLine="0" w:firstLineChars="0"/>
              <w:jc w:val="left"/>
              <w:rPr>
                <w:rFonts w:cs="Times New Roman"/>
                <w:sz w:val="21"/>
                <w:szCs w:val="19"/>
                <w:lang w:eastAsia="zh-CN"/>
              </w:rPr>
            </w:pPr>
            <w:r>
              <w:rPr>
                <w:rFonts w:cs="Times New Roman"/>
                <w:position w:val="-5"/>
                <w:sz w:val="21"/>
                <w:szCs w:val="32"/>
              </w:rPr>
              <w:t>Σ</w:t>
            </w:r>
            <w:r>
              <w:rPr>
                <w:rFonts w:cs="Times New Roman"/>
                <w:iCs/>
                <w:sz w:val="21"/>
                <w:lang w:eastAsia="zh-CN"/>
              </w:rPr>
              <w:t>f</w:t>
            </w:r>
            <w:r>
              <w:rPr>
                <w:rFonts w:cs="Times New Roman"/>
                <w:position w:val="1"/>
                <w:sz w:val="21"/>
                <w:szCs w:val="19"/>
                <w:lang w:eastAsia="zh-CN"/>
              </w:rPr>
              <w:t>-----------经营范围总面积</w:t>
            </w:r>
          </w:p>
          <w:p w14:paraId="20507296">
            <w:pPr>
              <w:spacing w:line="240" w:lineRule="auto"/>
              <w:ind w:left="137" w:firstLine="0" w:firstLineChars="0"/>
              <w:jc w:val="left"/>
              <w:rPr>
                <w:rFonts w:cs="Times New Roman"/>
                <w:sz w:val="21"/>
                <w:szCs w:val="19"/>
                <w:lang w:eastAsia="zh-CN"/>
              </w:rPr>
            </w:pPr>
            <w:r>
              <w:rPr>
                <w:rFonts w:cs="Times New Roman"/>
                <w:iCs/>
                <w:sz w:val="21"/>
                <w:szCs w:val="23"/>
                <w:lang w:eastAsia="zh-CN"/>
              </w:rPr>
              <w:t>L</w:t>
            </w:r>
            <w:r>
              <w:rPr>
                <w:rFonts w:cs="Times New Roman"/>
                <w:iCs/>
                <w:position w:val="-5"/>
                <w:sz w:val="21"/>
                <w:szCs w:val="13"/>
                <w:lang w:eastAsia="zh-CN"/>
              </w:rPr>
              <w:t>V</w:t>
            </w:r>
            <w:r>
              <w:rPr>
                <w:rFonts w:hint="eastAsia" w:cs="宋体"/>
                <w:sz w:val="21"/>
                <w:szCs w:val="23"/>
                <w:lang w:eastAsia="zh-CN"/>
              </w:rPr>
              <w:t>(</w:t>
            </w:r>
            <w:r>
              <w:rPr>
                <w:rFonts w:cs="Times New Roman"/>
                <w:sz w:val="21"/>
                <w:szCs w:val="23"/>
                <w:lang w:eastAsia="zh-CN"/>
              </w:rPr>
              <w:t>轮伐</w:t>
            </w:r>
            <w:r>
              <w:rPr>
                <w:rFonts w:hint="eastAsia" w:cs="宋体"/>
                <w:sz w:val="21"/>
                <w:szCs w:val="23"/>
                <w:lang w:eastAsia="zh-CN"/>
              </w:rPr>
              <w:t>)</w:t>
            </w:r>
            <w:r>
              <w:rPr>
                <w:rFonts w:cs="Times New Roman"/>
                <w:sz w:val="21"/>
                <w:szCs w:val="19"/>
                <w:lang w:eastAsia="zh-CN"/>
              </w:rPr>
              <w:t>----年伐蓄积</w:t>
            </w:r>
          </w:p>
          <w:p w14:paraId="49489665">
            <w:pPr>
              <w:spacing w:line="240" w:lineRule="auto"/>
              <w:ind w:left="138" w:firstLine="0" w:firstLineChars="0"/>
              <w:jc w:val="left"/>
              <w:rPr>
                <w:rFonts w:cs="Times New Roman"/>
                <w:sz w:val="21"/>
                <w:szCs w:val="19"/>
                <w:lang w:eastAsia="zh-CN"/>
              </w:rPr>
            </w:pPr>
            <w:r>
              <w:rPr>
                <w:rFonts w:cs="Times New Roman"/>
                <w:iCs/>
                <w:sz w:val="21"/>
                <w:szCs w:val="20"/>
                <w:lang w:eastAsia="zh-CN"/>
              </w:rPr>
              <w:t>U</w:t>
            </w:r>
            <w:r>
              <w:rPr>
                <w:rFonts w:cs="Times New Roman"/>
                <w:sz w:val="21"/>
                <w:szCs w:val="19"/>
                <w:lang w:eastAsia="zh-CN"/>
              </w:rPr>
              <w:t>----------轮伐期</w:t>
            </w:r>
          </w:p>
          <w:p w14:paraId="00BE797C">
            <w:pPr>
              <w:spacing w:line="240" w:lineRule="auto"/>
              <w:ind w:left="146" w:firstLine="0" w:firstLineChars="0"/>
              <w:jc w:val="left"/>
              <w:rPr>
                <w:rFonts w:cs="Times New Roman"/>
                <w:sz w:val="21"/>
                <w:szCs w:val="19"/>
                <w:lang w:eastAsia="zh-CN"/>
              </w:rPr>
            </w:pPr>
            <w:r>
              <w:rPr>
                <w:rFonts w:cs="Times New Roman"/>
                <w:iCs/>
                <w:sz w:val="21"/>
                <w:szCs w:val="20"/>
                <w:lang w:eastAsia="zh-CN"/>
              </w:rPr>
              <w:t>V</w:t>
            </w:r>
            <w:r>
              <w:rPr>
                <w:rFonts w:cs="Times New Roman"/>
                <w:sz w:val="21"/>
                <w:szCs w:val="19"/>
                <w:lang w:eastAsia="zh-CN"/>
              </w:rPr>
              <w:t>-----------成、过熟林平均蓄积量</w:t>
            </w:r>
            <w:r>
              <w:rPr>
                <w:rFonts w:hint="eastAsia" w:cs="Times New Roman"/>
                <w:sz w:val="21"/>
                <w:szCs w:val="19"/>
                <w:lang w:eastAsia="zh-CN"/>
              </w:rPr>
              <w:t>/</w:t>
            </w:r>
            <w:r>
              <w:rPr>
                <w:rFonts w:cs="Times New Roman"/>
                <w:sz w:val="21"/>
                <w:szCs w:val="19"/>
                <w:lang w:eastAsia="zh-CN"/>
              </w:rPr>
              <w:t>hm</w:t>
            </w:r>
            <w:r>
              <w:rPr>
                <w:rFonts w:cs="Times New Roman"/>
                <w:sz w:val="21"/>
                <w:szCs w:val="19"/>
                <w:vertAlign w:val="superscript"/>
                <w:lang w:eastAsia="zh-CN"/>
              </w:rPr>
              <w:t>2</w:t>
            </w:r>
          </w:p>
        </w:tc>
      </w:tr>
      <w:tr w14:paraId="69C01A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89" w:type="pct"/>
            <w:vAlign w:val="center"/>
          </w:tcPr>
          <w:p w14:paraId="17775F31">
            <w:pPr>
              <w:spacing w:line="240" w:lineRule="auto"/>
              <w:ind w:left="115" w:right="111" w:firstLine="0" w:firstLineChars="0"/>
              <w:jc w:val="center"/>
              <w:rPr>
                <w:rFonts w:cs="Times New Roman"/>
                <w:sz w:val="21"/>
                <w:szCs w:val="19"/>
              </w:rPr>
            </w:pPr>
            <w:r>
              <w:rPr>
                <w:rFonts w:cs="Times New Roman"/>
                <w:sz w:val="21"/>
                <w:szCs w:val="19"/>
              </w:rPr>
              <w:t>按成熟度计算年伐量</w:t>
            </w:r>
          </w:p>
        </w:tc>
        <w:tc>
          <w:tcPr>
            <w:tcW w:w="1955" w:type="pct"/>
            <w:vAlign w:val="center"/>
          </w:tcPr>
          <w:p w14:paraId="598B88EB">
            <w:pPr>
              <w:spacing w:line="240" w:lineRule="auto"/>
              <w:ind w:left="137" w:right="336" w:firstLine="0" w:firstLineChars="0"/>
              <w:jc w:val="left"/>
              <w:rPr>
                <w:rFonts w:cs="Times New Roman"/>
                <w:sz w:val="21"/>
                <w:szCs w:val="23"/>
              </w:rPr>
            </w:pPr>
            <w:r>
              <w:rPr>
                <w:rFonts w:cs="Times New Roman"/>
                <w:iCs/>
                <w:sz w:val="21"/>
                <w:szCs w:val="25"/>
              </w:rPr>
              <w:t>L</w:t>
            </w:r>
            <w:r>
              <w:rPr>
                <w:rFonts w:cs="Times New Roman"/>
                <w:iCs/>
                <w:position w:val="-6"/>
                <w:sz w:val="21"/>
                <w:szCs w:val="14"/>
              </w:rPr>
              <w:t>A</w:t>
            </w:r>
            <w:r>
              <w:rPr>
                <w:rFonts w:hint="eastAsia" w:cs="宋体"/>
                <w:sz w:val="21"/>
                <w:szCs w:val="25"/>
                <w:lang w:eastAsia="zh-CN"/>
              </w:rPr>
              <w:t>(</w:t>
            </w:r>
            <w:r>
              <w:rPr>
                <w:rFonts w:cs="Times New Roman"/>
                <w:sz w:val="21"/>
                <w:szCs w:val="25"/>
              </w:rPr>
              <w:t>成熟度</w:t>
            </w:r>
            <w:r>
              <w:rPr>
                <w:rFonts w:hint="eastAsia" w:cs="宋体"/>
                <w:sz w:val="21"/>
                <w:szCs w:val="25"/>
                <w:lang w:eastAsia="zh-CN"/>
              </w:rPr>
              <w:t>)</w:t>
            </w:r>
            <w:r>
              <w:rPr>
                <w:rFonts w:cs="Times New Roman"/>
                <w:sz w:val="21"/>
                <w:szCs w:val="25"/>
              </w:rPr>
              <w:t>=[</w:t>
            </w:r>
            <w:r>
              <w:rPr>
                <w:rFonts w:cs="Times New Roman"/>
                <w:iCs/>
                <w:sz w:val="21"/>
                <w:szCs w:val="25"/>
              </w:rPr>
              <w:t>f</w:t>
            </w:r>
            <w:r>
              <w:rPr>
                <w:rFonts w:hint="eastAsia" w:cs="宋体"/>
                <w:sz w:val="21"/>
                <w:szCs w:val="25"/>
                <w:lang w:eastAsia="zh-CN"/>
              </w:rPr>
              <w:t>(</w:t>
            </w:r>
            <w:r>
              <w:rPr>
                <w:rFonts w:cs="Times New Roman"/>
                <w:sz w:val="21"/>
                <w:szCs w:val="25"/>
              </w:rPr>
              <w:t>成</w:t>
            </w:r>
            <w:r>
              <w:rPr>
                <w:rFonts w:hint="eastAsia" w:cs="宋体"/>
                <w:sz w:val="21"/>
                <w:szCs w:val="25"/>
                <w:lang w:eastAsia="zh-CN"/>
              </w:rPr>
              <w:t>)</w:t>
            </w:r>
            <w:r>
              <w:rPr>
                <w:rFonts w:cs="Times New Roman"/>
                <w:sz w:val="21"/>
                <w:szCs w:val="25"/>
              </w:rPr>
              <w:t>+</w:t>
            </w:r>
            <w:r>
              <w:rPr>
                <w:rFonts w:cs="Times New Roman"/>
                <w:iCs/>
                <w:sz w:val="21"/>
                <w:szCs w:val="25"/>
              </w:rPr>
              <w:t>f</w:t>
            </w:r>
            <w:r>
              <w:rPr>
                <w:rFonts w:hint="eastAsia" w:cs="宋体"/>
                <w:sz w:val="21"/>
                <w:szCs w:val="25"/>
                <w:lang w:eastAsia="zh-CN"/>
              </w:rPr>
              <w:t>(</w:t>
            </w:r>
            <w:r>
              <w:rPr>
                <w:rFonts w:cs="Times New Roman"/>
                <w:sz w:val="21"/>
                <w:szCs w:val="25"/>
              </w:rPr>
              <w:t>过</w:t>
            </w:r>
            <w:r>
              <w:rPr>
                <w:rFonts w:hint="eastAsia" w:cs="宋体"/>
                <w:sz w:val="21"/>
                <w:szCs w:val="25"/>
                <w:lang w:eastAsia="zh-CN"/>
              </w:rPr>
              <w:t>)</w:t>
            </w:r>
            <w:r>
              <w:rPr>
                <w:rFonts w:cs="Times New Roman"/>
                <w:sz w:val="21"/>
                <w:szCs w:val="25"/>
              </w:rPr>
              <w:t>]/</w:t>
            </w:r>
            <w:r>
              <w:rPr>
                <w:rFonts w:cs="Times New Roman"/>
                <w:iCs/>
                <w:sz w:val="21"/>
                <w:szCs w:val="25"/>
              </w:rPr>
              <w:t>a</w:t>
            </w:r>
            <w:r>
              <w:rPr>
                <w:rFonts w:cs="Times New Roman"/>
                <w:iCs/>
                <w:sz w:val="21"/>
                <w:szCs w:val="23"/>
              </w:rPr>
              <w:t>L</w:t>
            </w:r>
            <w:r>
              <w:rPr>
                <w:rFonts w:cs="Times New Roman"/>
                <w:iCs/>
                <w:position w:val="-5"/>
                <w:sz w:val="21"/>
                <w:szCs w:val="13"/>
              </w:rPr>
              <w:t>V</w:t>
            </w:r>
            <w:r>
              <w:rPr>
                <w:rFonts w:hint="eastAsia" w:cs="宋体"/>
                <w:sz w:val="21"/>
                <w:szCs w:val="23"/>
                <w:lang w:eastAsia="zh-CN"/>
              </w:rPr>
              <w:t>(</w:t>
            </w:r>
            <w:r>
              <w:rPr>
                <w:rFonts w:cs="Times New Roman"/>
                <w:sz w:val="21"/>
                <w:szCs w:val="23"/>
              </w:rPr>
              <w:t>成熟度</w:t>
            </w:r>
            <w:r>
              <w:rPr>
                <w:rFonts w:hint="eastAsia" w:cs="宋体"/>
                <w:sz w:val="21"/>
                <w:szCs w:val="23"/>
                <w:lang w:eastAsia="zh-CN"/>
              </w:rPr>
              <w:t>)</w:t>
            </w:r>
            <w:r>
              <w:rPr>
                <w:rFonts w:cs="Times New Roman"/>
                <w:sz w:val="21"/>
                <w:szCs w:val="23"/>
              </w:rPr>
              <w:t>=[</w:t>
            </w:r>
            <w:r>
              <w:rPr>
                <w:rFonts w:cs="Times New Roman"/>
                <w:iCs/>
                <w:sz w:val="21"/>
                <w:szCs w:val="23"/>
              </w:rPr>
              <w:t>V</w:t>
            </w:r>
            <w:r>
              <w:rPr>
                <w:rFonts w:hint="eastAsia" w:cs="宋体"/>
                <w:sz w:val="21"/>
                <w:szCs w:val="23"/>
                <w:lang w:eastAsia="zh-CN"/>
              </w:rPr>
              <w:t>(</w:t>
            </w:r>
            <w:r>
              <w:rPr>
                <w:rFonts w:cs="Times New Roman"/>
                <w:sz w:val="21"/>
                <w:szCs w:val="23"/>
              </w:rPr>
              <w:t>成</w:t>
            </w:r>
            <w:r>
              <w:rPr>
                <w:rFonts w:hint="eastAsia" w:cs="宋体"/>
                <w:sz w:val="21"/>
                <w:szCs w:val="23"/>
                <w:lang w:eastAsia="zh-CN"/>
              </w:rPr>
              <w:t>)</w:t>
            </w:r>
            <w:r>
              <w:rPr>
                <w:rFonts w:cs="Times New Roman"/>
                <w:sz w:val="21"/>
                <w:szCs w:val="23"/>
              </w:rPr>
              <w:t>×</w:t>
            </w:r>
            <w:r>
              <w:rPr>
                <w:rFonts w:cs="Times New Roman"/>
                <w:iCs/>
                <w:sz w:val="21"/>
                <w:szCs w:val="23"/>
              </w:rPr>
              <w:t>V</w:t>
            </w:r>
            <w:r>
              <w:rPr>
                <w:rFonts w:hint="eastAsia" w:cs="宋体"/>
                <w:sz w:val="21"/>
                <w:szCs w:val="23"/>
                <w:lang w:eastAsia="zh-CN"/>
              </w:rPr>
              <w:t>(</w:t>
            </w:r>
            <w:r>
              <w:rPr>
                <w:rFonts w:cs="Times New Roman"/>
                <w:sz w:val="21"/>
                <w:szCs w:val="23"/>
              </w:rPr>
              <w:t>过</w:t>
            </w:r>
            <w:r>
              <w:rPr>
                <w:rFonts w:hint="eastAsia" w:cs="宋体"/>
                <w:sz w:val="21"/>
                <w:szCs w:val="23"/>
                <w:lang w:eastAsia="zh-CN"/>
              </w:rPr>
              <w:t>)</w:t>
            </w:r>
            <w:r>
              <w:rPr>
                <w:rFonts w:cs="Times New Roman"/>
                <w:sz w:val="21"/>
                <w:szCs w:val="23"/>
              </w:rPr>
              <w:t>]/</w:t>
            </w:r>
            <w:r>
              <w:rPr>
                <w:rFonts w:cs="Times New Roman"/>
                <w:iCs/>
                <w:sz w:val="21"/>
                <w:szCs w:val="23"/>
              </w:rPr>
              <w:t>a</w:t>
            </w:r>
          </w:p>
        </w:tc>
        <w:tc>
          <w:tcPr>
            <w:tcW w:w="2054" w:type="pct"/>
            <w:vAlign w:val="center"/>
          </w:tcPr>
          <w:p w14:paraId="591084B6">
            <w:pPr>
              <w:spacing w:line="240" w:lineRule="auto"/>
              <w:ind w:left="147" w:right="124" w:firstLine="0" w:firstLineChars="0"/>
              <w:jc w:val="left"/>
              <w:rPr>
                <w:rFonts w:cs="Times New Roman"/>
                <w:sz w:val="21"/>
                <w:szCs w:val="19"/>
                <w:lang w:eastAsia="zh-CN"/>
              </w:rPr>
            </w:pPr>
            <w:r>
              <w:rPr>
                <w:rFonts w:cs="Times New Roman"/>
                <w:iCs/>
                <w:sz w:val="21"/>
                <w:szCs w:val="25"/>
                <w:lang w:eastAsia="zh-CN"/>
              </w:rPr>
              <w:t>f</w:t>
            </w:r>
            <w:r>
              <w:rPr>
                <w:rFonts w:hint="eastAsia" w:cs="宋体"/>
                <w:sz w:val="21"/>
                <w:szCs w:val="25"/>
                <w:lang w:eastAsia="zh-CN"/>
              </w:rPr>
              <w:t>(</w:t>
            </w:r>
            <w:r>
              <w:rPr>
                <w:rFonts w:cs="Times New Roman"/>
                <w:sz w:val="21"/>
                <w:szCs w:val="25"/>
                <w:lang w:eastAsia="zh-CN"/>
              </w:rPr>
              <w:t>成</w:t>
            </w:r>
            <w:r>
              <w:rPr>
                <w:rFonts w:hint="eastAsia" w:cs="宋体"/>
                <w:sz w:val="21"/>
                <w:szCs w:val="25"/>
                <w:lang w:eastAsia="zh-CN"/>
              </w:rPr>
              <w:t>)</w:t>
            </w:r>
            <w:r>
              <w:rPr>
                <w:rFonts w:cs="Times New Roman"/>
                <w:sz w:val="21"/>
                <w:szCs w:val="19"/>
                <w:lang w:eastAsia="zh-CN"/>
              </w:rPr>
              <w:t>、</w:t>
            </w:r>
            <w:r>
              <w:rPr>
                <w:rFonts w:cs="Times New Roman"/>
                <w:iCs/>
                <w:sz w:val="21"/>
                <w:szCs w:val="25"/>
                <w:lang w:eastAsia="zh-CN"/>
              </w:rPr>
              <w:t>f</w:t>
            </w:r>
            <w:r>
              <w:rPr>
                <w:rFonts w:hint="eastAsia" w:cs="宋体"/>
                <w:sz w:val="21"/>
                <w:szCs w:val="25"/>
                <w:lang w:eastAsia="zh-CN"/>
              </w:rPr>
              <w:t>(</w:t>
            </w:r>
            <w:r>
              <w:rPr>
                <w:rFonts w:cs="Times New Roman"/>
                <w:sz w:val="21"/>
                <w:szCs w:val="25"/>
                <w:lang w:eastAsia="zh-CN"/>
              </w:rPr>
              <w:t>过</w:t>
            </w:r>
            <w:r>
              <w:rPr>
                <w:rFonts w:hint="eastAsia" w:cs="宋体"/>
                <w:sz w:val="21"/>
                <w:szCs w:val="25"/>
                <w:lang w:eastAsia="zh-CN"/>
              </w:rPr>
              <w:t>)</w:t>
            </w:r>
            <w:r>
              <w:rPr>
                <w:rFonts w:cs="Times New Roman"/>
                <w:sz w:val="21"/>
                <w:szCs w:val="19"/>
                <w:lang w:eastAsia="zh-CN"/>
              </w:rPr>
              <w:t>分别为成、过熟林面积；</w:t>
            </w:r>
            <w:r>
              <w:rPr>
                <w:rFonts w:cs="Times New Roman"/>
                <w:iCs/>
                <w:sz w:val="21"/>
                <w:szCs w:val="25"/>
                <w:lang w:eastAsia="zh-CN"/>
              </w:rPr>
              <w:t>V</w:t>
            </w:r>
            <w:r>
              <w:rPr>
                <w:rFonts w:hint="eastAsia" w:cs="宋体"/>
                <w:sz w:val="21"/>
                <w:szCs w:val="25"/>
                <w:lang w:eastAsia="zh-CN"/>
              </w:rPr>
              <w:t>(</w:t>
            </w:r>
            <w:r>
              <w:rPr>
                <w:rFonts w:cs="Times New Roman"/>
                <w:sz w:val="21"/>
                <w:szCs w:val="25"/>
                <w:lang w:eastAsia="zh-CN"/>
              </w:rPr>
              <w:t>成</w:t>
            </w:r>
            <w:r>
              <w:rPr>
                <w:rFonts w:hint="eastAsia" w:cs="宋体"/>
                <w:sz w:val="21"/>
                <w:szCs w:val="25"/>
                <w:lang w:eastAsia="zh-CN"/>
              </w:rPr>
              <w:t>)</w:t>
            </w:r>
            <w:r>
              <w:rPr>
                <w:rFonts w:cs="Times New Roman"/>
                <w:sz w:val="21"/>
                <w:szCs w:val="25"/>
                <w:lang w:eastAsia="zh-CN"/>
              </w:rPr>
              <w:t>、</w:t>
            </w:r>
            <w:r>
              <w:rPr>
                <w:rFonts w:cs="Times New Roman"/>
                <w:iCs/>
                <w:sz w:val="21"/>
                <w:szCs w:val="25"/>
                <w:lang w:eastAsia="zh-CN"/>
              </w:rPr>
              <w:t>V</w:t>
            </w:r>
            <w:r>
              <w:rPr>
                <w:rFonts w:hint="eastAsia" w:cs="宋体"/>
                <w:sz w:val="21"/>
                <w:szCs w:val="25"/>
                <w:lang w:eastAsia="zh-CN"/>
              </w:rPr>
              <w:t>(</w:t>
            </w:r>
            <w:r>
              <w:rPr>
                <w:rFonts w:cs="Times New Roman"/>
                <w:sz w:val="21"/>
                <w:szCs w:val="25"/>
                <w:lang w:eastAsia="zh-CN"/>
              </w:rPr>
              <w:t>过</w:t>
            </w:r>
            <w:r>
              <w:rPr>
                <w:rFonts w:hint="eastAsia" w:cs="宋体"/>
                <w:sz w:val="21"/>
                <w:szCs w:val="25"/>
                <w:lang w:eastAsia="zh-CN"/>
              </w:rPr>
              <w:t>)</w:t>
            </w:r>
            <w:r>
              <w:rPr>
                <w:rFonts w:cs="Times New Roman"/>
                <w:sz w:val="21"/>
                <w:szCs w:val="19"/>
                <w:lang w:eastAsia="zh-CN"/>
              </w:rPr>
              <w:t>分别为成、过熟林蓄积；</w:t>
            </w:r>
            <w:r>
              <w:rPr>
                <w:rFonts w:cs="Times New Roman"/>
                <w:iCs/>
                <w:sz w:val="21"/>
                <w:szCs w:val="25"/>
                <w:lang w:eastAsia="zh-CN"/>
              </w:rPr>
              <w:t>a</w:t>
            </w:r>
            <w:r>
              <w:rPr>
                <w:rFonts w:cs="Times New Roman"/>
                <w:sz w:val="21"/>
                <w:szCs w:val="19"/>
                <w:lang w:eastAsia="zh-CN"/>
              </w:rPr>
              <w:t>为龄级期限</w:t>
            </w:r>
          </w:p>
        </w:tc>
      </w:tr>
      <w:tr w14:paraId="06B10F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89" w:type="pct"/>
            <w:vAlign w:val="center"/>
          </w:tcPr>
          <w:p w14:paraId="09C4846E">
            <w:pPr>
              <w:spacing w:line="240" w:lineRule="auto"/>
              <w:ind w:left="115" w:firstLine="0" w:firstLineChars="0"/>
              <w:jc w:val="center"/>
              <w:rPr>
                <w:rFonts w:cs="Times New Roman"/>
                <w:sz w:val="21"/>
                <w:szCs w:val="19"/>
              </w:rPr>
            </w:pPr>
            <w:r>
              <w:rPr>
                <w:rFonts w:cs="Times New Roman"/>
                <w:sz w:val="21"/>
                <w:szCs w:val="19"/>
              </w:rPr>
              <w:t>第一林龄公式</w:t>
            </w:r>
          </w:p>
        </w:tc>
        <w:tc>
          <w:tcPr>
            <w:tcW w:w="1955" w:type="pct"/>
            <w:vAlign w:val="center"/>
          </w:tcPr>
          <w:p w14:paraId="531915B9">
            <w:pPr>
              <w:spacing w:line="240" w:lineRule="auto"/>
              <w:ind w:left="137" w:firstLine="0" w:firstLineChars="0"/>
              <w:jc w:val="left"/>
              <w:rPr>
                <w:rFonts w:cs="Times New Roman"/>
                <w:sz w:val="21"/>
                <w:szCs w:val="24"/>
              </w:rPr>
            </w:pPr>
            <w:r>
              <w:rPr>
                <w:rFonts w:cs="Times New Roman"/>
                <w:iCs/>
                <w:sz w:val="21"/>
                <w:szCs w:val="24"/>
              </w:rPr>
              <w:t>L</w:t>
            </w:r>
            <w:r>
              <w:rPr>
                <w:rFonts w:cs="Times New Roman"/>
                <w:iCs/>
                <w:position w:val="-6"/>
                <w:sz w:val="21"/>
                <w:szCs w:val="14"/>
              </w:rPr>
              <w:t>A</w:t>
            </w:r>
            <w:r>
              <w:rPr>
                <w:rFonts w:hint="eastAsia" w:cs="宋体"/>
                <w:sz w:val="21"/>
                <w:szCs w:val="24"/>
                <w:lang w:eastAsia="zh-CN"/>
              </w:rPr>
              <w:t>(</w:t>
            </w:r>
            <w:r>
              <w:rPr>
                <w:rFonts w:cs="Times New Roman"/>
                <w:sz w:val="21"/>
                <w:szCs w:val="24"/>
              </w:rPr>
              <w:t>林龄Ⅰ</w:t>
            </w:r>
            <w:r>
              <w:rPr>
                <w:rFonts w:hint="eastAsia" w:cs="宋体"/>
                <w:sz w:val="21"/>
                <w:szCs w:val="24"/>
                <w:lang w:eastAsia="zh-CN"/>
              </w:rPr>
              <w:t>)</w:t>
            </w:r>
            <w:r>
              <w:rPr>
                <w:rFonts w:cs="Times New Roman"/>
                <w:sz w:val="21"/>
                <w:szCs w:val="24"/>
              </w:rPr>
              <w:t>=[</w:t>
            </w:r>
            <w:r>
              <w:rPr>
                <w:rFonts w:cs="Times New Roman"/>
                <w:iCs/>
                <w:sz w:val="21"/>
                <w:szCs w:val="24"/>
              </w:rPr>
              <w:t>f</w:t>
            </w:r>
            <w:r>
              <w:rPr>
                <w:rFonts w:hint="eastAsia" w:cs="宋体"/>
                <w:sz w:val="21"/>
                <w:szCs w:val="24"/>
                <w:lang w:eastAsia="zh-CN"/>
              </w:rPr>
              <w:t>(</w:t>
            </w:r>
            <w:r>
              <w:rPr>
                <w:rFonts w:cs="Times New Roman"/>
                <w:sz w:val="21"/>
                <w:szCs w:val="24"/>
              </w:rPr>
              <w:t>近</w:t>
            </w:r>
            <w:r>
              <w:rPr>
                <w:rFonts w:hint="eastAsia" w:cs="宋体"/>
                <w:sz w:val="21"/>
                <w:szCs w:val="24"/>
                <w:lang w:eastAsia="zh-CN"/>
              </w:rPr>
              <w:t>)</w:t>
            </w:r>
            <w:r>
              <w:rPr>
                <w:rFonts w:cs="Times New Roman"/>
                <w:sz w:val="21"/>
                <w:szCs w:val="24"/>
              </w:rPr>
              <w:t>+</w:t>
            </w:r>
            <w:r>
              <w:rPr>
                <w:rFonts w:cs="Times New Roman"/>
                <w:iCs/>
                <w:sz w:val="21"/>
                <w:szCs w:val="24"/>
              </w:rPr>
              <w:t>f</w:t>
            </w:r>
            <w:r>
              <w:rPr>
                <w:rFonts w:hint="eastAsia" w:cs="宋体"/>
                <w:sz w:val="21"/>
                <w:szCs w:val="24"/>
                <w:lang w:eastAsia="zh-CN"/>
              </w:rPr>
              <w:t>(</w:t>
            </w:r>
            <w:r>
              <w:rPr>
                <w:rFonts w:cs="Times New Roman"/>
                <w:sz w:val="21"/>
                <w:szCs w:val="24"/>
              </w:rPr>
              <w:t>成</w:t>
            </w:r>
            <w:r>
              <w:rPr>
                <w:rFonts w:hint="eastAsia" w:cs="宋体"/>
                <w:sz w:val="21"/>
                <w:szCs w:val="24"/>
                <w:lang w:eastAsia="zh-CN"/>
              </w:rPr>
              <w:t>)</w:t>
            </w:r>
            <w:r>
              <w:rPr>
                <w:rFonts w:cs="Times New Roman"/>
                <w:sz w:val="21"/>
                <w:szCs w:val="24"/>
              </w:rPr>
              <w:t>+</w:t>
            </w:r>
            <w:r>
              <w:rPr>
                <w:rFonts w:cs="Times New Roman"/>
                <w:iCs/>
                <w:sz w:val="21"/>
                <w:szCs w:val="24"/>
              </w:rPr>
              <w:t>f</w:t>
            </w:r>
            <w:r>
              <w:rPr>
                <w:rFonts w:hint="eastAsia" w:cs="宋体"/>
                <w:sz w:val="21"/>
                <w:szCs w:val="24"/>
                <w:lang w:eastAsia="zh-CN"/>
              </w:rPr>
              <w:t>(</w:t>
            </w:r>
            <w:r>
              <w:rPr>
                <w:rFonts w:cs="Times New Roman"/>
                <w:sz w:val="21"/>
                <w:szCs w:val="24"/>
              </w:rPr>
              <w:t>过</w:t>
            </w:r>
            <w:r>
              <w:rPr>
                <w:rFonts w:hint="eastAsia" w:cs="宋体"/>
                <w:sz w:val="21"/>
                <w:szCs w:val="24"/>
                <w:lang w:eastAsia="zh-CN"/>
              </w:rPr>
              <w:t>)</w:t>
            </w:r>
            <w:r>
              <w:rPr>
                <w:rFonts w:cs="Times New Roman"/>
                <w:sz w:val="21"/>
                <w:szCs w:val="24"/>
              </w:rPr>
              <w:t>]/2</w:t>
            </w:r>
            <w:r>
              <w:rPr>
                <w:rFonts w:cs="Times New Roman"/>
                <w:iCs/>
                <w:sz w:val="21"/>
                <w:szCs w:val="24"/>
              </w:rPr>
              <w:t>a</w:t>
            </w:r>
          </w:p>
          <w:p w14:paraId="04634908">
            <w:pPr>
              <w:spacing w:line="240" w:lineRule="auto"/>
              <w:ind w:left="137" w:firstLine="0" w:firstLineChars="0"/>
              <w:jc w:val="left"/>
              <w:rPr>
                <w:rFonts w:cs="Times New Roman"/>
                <w:sz w:val="21"/>
                <w:szCs w:val="23"/>
                <w:lang w:eastAsia="zh-CN"/>
              </w:rPr>
            </w:pPr>
            <w:r>
              <w:rPr>
                <w:rFonts w:cs="Times New Roman"/>
                <w:iCs/>
                <w:sz w:val="21"/>
                <w:szCs w:val="23"/>
                <w:lang w:eastAsia="zh-CN"/>
              </w:rPr>
              <w:t>L</w:t>
            </w:r>
            <w:r>
              <w:rPr>
                <w:rFonts w:cs="Times New Roman"/>
                <w:iCs/>
                <w:position w:val="-5"/>
                <w:sz w:val="21"/>
                <w:szCs w:val="13"/>
                <w:lang w:eastAsia="zh-CN"/>
              </w:rPr>
              <w:t>V</w:t>
            </w:r>
            <w:r>
              <w:rPr>
                <w:rFonts w:hint="eastAsia" w:cs="宋体"/>
                <w:sz w:val="21"/>
                <w:szCs w:val="23"/>
                <w:lang w:eastAsia="zh-CN"/>
              </w:rPr>
              <w:t>(</w:t>
            </w:r>
            <w:r>
              <w:rPr>
                <w:rFonts w:cs="Times New Roman"/>
                <w:sz w:val="21"/>
                <w:szCs w:val="23"/>
                <w:lang w:eastAsia="zh-CN"/>
              </w:rPr>
              <w:t>林龄Ⅰ</w:t>
            </w:r>
            <w:r>
              <w:rPr>
                <w:rFonts w:hint="eastAsia" w:cs="宋体"/>
                <w:sz w:val="21"/>
                <w:szCs w:val="23"/>
                <w:lang w:eastAsia="zh-CN"/>
              </w:rPr>
              <w:t>)</w:t>
            </w:r>
            <w:r>
              <w:rPr>
                <w:rFonts w:cs="Times New Roman"/>
                <w:sz w:val="21"/>
                <w:szCs w:val="23"/>
                <w:lang w:eastAsia="zh-CN"/>
              </w:rPr>
              <w:t>=</w:t>
            </w:r>
            <w:r>
              <w:rPr>
                <w:rFonts w:cs="Times New Roman"/>
                <w:iCs/>
                <w:sz w:val="21"/>
                <w:szCs w:val="23"/>
                <w:lang w:eastAsia="zh-CN"/>
              </w:rPr>
              <w:t>L</w:t>
            </w:r>
            <w:r>
              <w:rPr>
                <w:rFonts w:cs="Times New Roman"/>
                <w:iCs/>
                <w:position w:val="-5"/>
                <w:sz w:val="21"/>
                <w:szCs w:val="13"/>
                <w:lang w:eastAsia="zh-CN"/>
              </w:rPr>
              <w:t>A</w:t>
            </w:r>
            <w:r>
              <w:rPr>
                <w:rFonts w:hint="eastAsia" w:cs="宋体"/>
                <w:sz w:val="21"/>
                <w:szCs w:val="23"/>
                <w:lang w:eastAsia="zh-CN"/>
              </w:rPr>
              <w:t>(</w:t>
            </w:r>
            <w:r>
              <w:rPr>
                <w:rFonts w:cs="Times New Roman"/>
                <w:sz w:val="21"/>
                <w:szCs w:val="23"/>
                <w:lang w:eastAsia="zh-CN"/>
              </w:rPr>
              <w:t>林龄Ⅰ</w:t>
            </w:r>
            <w:r>
              <w:rPr>
                <w:rFonts w:hint="eastAsia" w:cs="宋体"/>
                <w:sz w:val="21"/>
                <w:szCs w:val="23"/>
                <w:lang w:eastAsia="zh-CN"/>
              </w:rPr>
              <w:t>)</w:t>
            </w:r>
            <w:r>
              <w:rPr>
                <w:rFonts w:cs="Times New Roman"/>
                <w:sz w:val="21"/>
                <w:szCs w:val="23"/>
                <w:lang w:eastAsia="zh-CN"/>
              </w:rPr>
              <w:t>×</w:t>
            </w:r>
            <w:r>
              <w:rPr>
                <w:rFonts w:cs="Times New Roman"/>
                <w:iCs/>
                <w:sz w:val="21"/>
                <w:szCs w:val="23"/>
                <w:lang w:eastAsia="zh-CN"/>
              </w:rPr>
              <w:t>V</w:t>
            </w:r>
          </w:p>
        </w:tc>
        <w:tc>
          <w:tcPr>
            <w:tcW w:w="2054" w:type="pct"/>
            <w:vAlign w:val="center"/>
          </w:tcPr>
          <w:p w14:paraId="6FF55DD1">
            <w:pPr>
              <w:spacing w:line="240" w:lineRule="auto"/>
              <w:ind w:left="111" w:right="141" w:firstLine="0" w:firstLineChars="0"/>
              <w:jc w:val="left"/>
              <w:rPr>
                <w:rFonts w:cs="Times New Roman"/>
                <w:sz w:val="21"/>
                <w:szCs w:val="19"/>
                <w:lang w:eastAsia="zh-CN"/>
              </w:rPr>
            </w:pPr>
            <w:r>
              <w:rPr>
                <w:rFonts w:cs="Times New Roman"/>
                <w:iCs/>
                <w:sz w:val="21"/>
                <w:szCs w:val="25"/>
                <w:lang w:eastAsia="zh-CN"/>
              </w:rPr>
              <w:t>f</w:t>
            </w:r>
            <w:r>
              <w:rPr>
                <w:rFonts w:hint="eastAsia" w:cs="宋体"/>
                <w:sz w:val="21"/>
                <w:szCs w:val="25"/>
                <w:lang w:eastAsia="zh-CN"/>
              </w:rPr>
              <w:t>(</w:t>
            </w:r>
            <w:r>
              <w:rPr>
                <w:rFonts w:cs="Times New Roman"/>
                <w:sz w:val="21"/>
                <w:szCs w:val="25"/>
                <w:lang w:eastAsia="zh-CN"/>
              </w:rPr>
              <w:t>近</w:t>
            </w:r>
            <w:r>
              <w:rPr>
                <w:rFonts w:hint="eastAsia" w:cs="宋体"/>
                <w:sz w:val="21"/>
                <w:szCs w:val="25"/>
                <w:lang w:eastAsia="zh-CN"/>
              </w:rPr>
              <w:t>)</w:t>
            </w:r>
            <w:r>
              <w:rPr>
                <w:rFonts w:cs="Times New Roman"/>
                <w:sz w:val="21"/>
                <w:szCs w:val="25"/>
                <w:lang w:eastAsia="zh-CN"/>
              </w:rPr>
              <w:t>、</w:t>
            </w:r>
            <w:r>
              <w:rPr>
                <w:rFonts w:cs="Times New Roman"/>
                <w:iCs/>
                <w:sz w:val="21"/>
                <w:szCs w:val="25"/>
                <w:lang w:eastAsia="zh-CN"/>
              </w:rPr>
              <w:t>f</w:t>
            </w:r>
            <w:r>
              <w:rPr>
                <w:rFonts w:hint="eastAsia" w:cs="宋体"/>
                <w:sz w:val="21"/>
                <w:szCs w:val="25"/>
                <w:lang w:eastAsia="zh-CN"/>
              </w:rPr>
              <w:t>(</w:t>
            </w:r>
            <w:r>
              <w:rPr>
                <w:rFonts w:cs="Times New Roman"/>
                <w:sz w:val="21"/>
                <w:szCs w:val="25"/>
                <w:lang w:eastAsia="zh-CN"/>
              </w:rPr>
              <w:t>成</w:t>
            </w:r>
            <w:r>
              <w:rPr>
                <w:rFonts w:hint="eastAsia" w:cs="宋体"/>
                <w:sz w:val="21"/>
                <w:szCs w:val="25"/>
                <w:lang w:eastAsia="zh-CN"/>
              </w:rPr>
              <w:t>)</w:t>
            </w:r>
            <w:r>
              <w:rPr>
                <w:rFonts w:cs="Times New Roman"/>
                <w:sz w:val="21"/>
                <w:szCs w:val="25"/>
                <w:lang w:eastAsia="zh-CN"/>
              </w:rPr>
              <w:t>、</w:t>
            </w:r>
            <w:r>
              <w:rPr>
                <w:rFonts w:cs="Times New Roman"/>
                <w:iCs/>
                <w:sz w:val="21"/>
                <w:szCs w:val="25"/>
                <w:lang w:eastAsia="zh-CN"/>
              </w:rPr>
              <w:t>f</w:t>
            </w:r>
            <w:r>
              <w:rPr>
                <w:rFonts w:hint="eastAsia" w:cs="宋体"/>
                <w:sz w:val="21"/>
                <w:szCs w:val="25"/>
                <w:lang w:eastAsia="zh-CN"/>
              </w:rPr>
              <w:t>(</w:t>
            </w:r>
            <w:r>
              <w:rPr>
                <w:rFonts w:cs="Times New Roman"/>
                <w:sz w:val="21"/>
                <w:szCs w:val="25"/>
                <w:lang w:eastAsia="zh-CN"/>
              </w:rPr>
              <w:t>过</w:t>
            </w:r>
            <w:r>
              <w:rPr>
                <w:rFonts w:hint="eastAsia" w:cs="宋体"/>
                <w:sz w:val="21"/>
                <w:szCs w:val="25"/>
                <w:lang w:eastAsia="zh-CN"/>
              </w:rPr>
              <w:t>)</w:t>
            </w:r>
            <w:r>
              <w:rPr>
                <w:rFonts w:cs="Times New Roman"/>
                <w:sz w:val="21"/>
                <w:szCs w:val="19"/>
                <w:lang w:eastAsia="zh-CN"/>
              </w:rPr>
              <w:t>分别为近、成、过熟林面积；</w:t>
            </w:r>
          </w:p>
          <w:p w14:paraId="331D17AF">
            <w:pPr>
              <w:spacing w:line="240" w:lineRule="auto"/>
              <w:ind w:left="153" w:firstLine="0" w:firstLineChars="0"/>
              <w:jc w:val="left"/>
              <w:rPr>
                <w:rFonts w:cs="Times New Roman"/>
                <w:sz w:val="21"/>
                <w:szCs w:val="19"/>
                <w:lang w:eastAsia="zh-CN"/>
              </w:rPr>
            </w:pPr>
            <w:r>
              <w:rPr>
                <w:rFonts w:cs="Times New Roman"/>
                <w:iCs/>
                <w:sz w:val="21"/>
                <w:szCs w:val="25"/>
                <w:lang w:eastAsia="zh-CN"/>
              </w:rPr>
              <w:t>a</w:t>
            </w:r>
            <w:r>
              <w:rPr>
                <w:rFonts w:cs="Times New Roman"/>
                <w:sz w:val="21"/>
                <w:szCs w:val="19"/>
                <w:lang w:eastAsia="zh-CN"/>
              </w:rPr>
              <w:t>为龄级期限；</w:t>
            </w:r>
          </w:p>
          <w:p w14:paraId="7E2258AE">
            <w:pPr>
              <w:spacing w:line="240" w:lineRule="auto"/>
              <w:ind w:left="146" w:firstLine="0" w:firstLineChars="0"/>
              <w:jc w:val="left"/>
              <w:rPr>
                <w:rFonts w:cs="Times New Roman"/>
                <w:sz w:val="21"/>
                <w:szCs w:val="19"/>
                <w:lang w:eastAsia="zh-CN"/>
              </w:rPr>
            </w:pPr>
            <w:r>
              <w:rPr>
                <w:rFonts w:cs="Times New Roman"/>
                <w:iCs/>
                <w:sz w:val="21"/>
                <w:szCs w:val="20"/>
                <w:lang w:eastAsia="zh-CN"/>
              </w:rPr>
              <w:t>V</w:t>
            </w:r>
            <w:r>
              <w:rPr>
                <w:rFonts w:cs="Times New Roman"/>
                <w:sz w:val="21"/>
                <w:szCs w:val="19"/>
                <w:lang w:eastAsia="zh-CN"/>
              </w:rPr>
              <w:t>为成、过熟林平均蓄积量</w:t>
            </w:r>
            <w:r>
              <w:rPr>
                <w:rFonts w:hint="eastAsia" w:cs="Times New Roman"/>
                <w:sz w:val="21"/>
                <w:szCs w:val="19"/>
                <w:lang w:eastAsia="zh-CN"/>
              </w:rPr>
              <w:t>/</w:t>
            </w:r>
            <w:r>
              <w:rPr>
                <w:rFonts w:cs="Times New Roman"/>
                <w:sz w:val="21"/>
                <w:szCs w:val="19"/>
                <w:lang w:eastAsia="zh-CN"/>
              </w:rPr>
              <w:t>hm</w:t>
            </w:r>
            <w:r>
              <w:rPr>
                <w:rFonts w:cs="Times New Roman"/>
                <w:sz w:val="21"/>
                <w:szCs w:val="19"/>
                <w:vertAlign w:val="superscript"/>
                <w:lang w:eastAsia="zh-CN"/>
              </w:rPr>
              <w:t>2</w:t>
            </w:r>
          </w:p>
        </w:tc>
      </w:tr>
      <w:tr w14:paraId="71C5A3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89" w:type="pct"/>
            <w:vAlign w:val="center"/>
          </w:tcPr>
          <w:p w14:paraId="51B38BCF">
            <w:pPr>
              <w:spacing w:line="240" w:lineRule="auto"/>
              <w:ind w:left="115" w:firstLine="0" w:firstLineChars="0"/>
              <w:jc w:val="center"/>
              <w:rPr>
                <w:rFonts w:cs="Times New Roman"/>
                <w:sz w:val="21"/>
                <w:szCs w:val="19"/>
              </w:rPr>
            </w:pPr>
            <w:r>
              <w:rPr>
                <w:rFonts w:cs="Times New Roman"/>
                <w:sz w:val="21"/>
                <w:szCs w:val="19"/>
              </w:rPr>
              <w:t>第二林龄公式</w:t>
            </w:r>
          </w:p>
        </w:tc>
        <w:tc>
          <w:tcPr>
            <w:tcW w:w="1955" w:type="pct"/>
            <w:vAlign w:val="center"/>
          </w:tcPr>
          <w:p w14:paraId="700758DE">
            <w:pPr>
              <w:spacing w:line="240" w:lineRule="auto"/>
              <w:ind w:left="137" w:firstLine="0" w:firstLineChars="0"/>
              <w:jc w:val="left"/>
              <w:rPr>
                <w:rFonts w:cs="Times New Roman"/>
                <w:sz w:val="21"/>
                <w:szCs w:val="24"/>
              </w:rPr>
            </w:pPr>
            <w:r>
              <w:rPr>
                <w:rFonts w:cs="Times New Roman"/>
                <w:iCs/>
                <w:sz w:val="21"/>
                <w:szCs w:val="24"/>
              </w:rPr>
              <w:t>L</w:t>
            </w:r>
            <w:r>
              <w:rPr>
                <w:rFonts w:cs="Times New Roman"/>
                <w:iCs/>
                <w:position w:val="-6"/>
                <w:sz w:val="21"/>
                <w:szCs w:val="14"/>
              </w:rPr>
              <w:t>A</w:t>
            </w:r>
            <w:r>
              <w:rPr>
                <w:rFonts w:hint="eastAsia" w:cs="宋体"/>
                <w:sz w:val="21"/>
                <w:szCs w:val="24"/>
                <w:lang w:eastAsia="zh-CN"/>
              </w:rPr>
              <w:t>(</w:t>
            </w:r>
            <w:r>
              <w:rPr>
                <w:rFonts w:cs="Times New Roman"/>
                <w:sz w:val="21"/>
                <w:szCs w:val="24"/>
              </w:rPr>
              <w:t>林龄Ⅱ</w:t>
            </w:r>
            <w:r>
              <w:rPr>
                <w:rFonts w:hint="eastAsia" w:cs="宋体"/>
                <w:sz w:val="21"/>
                <w:szCs w:val="24"/>
                <w:lang w:eastAsia="zh-CN"/>
              </w:rPr>
              <w:t>)</w:t>
            </w:r>
            <w:r>
              <w:rPr>
                <w:rFonts w:cs="Times New Roman"/>
                <w:sz w:val="21"/>
                <w:szCs w:val="24"/>
              </w:rPr>
              <w:t>=[</w:t>
            </w:r>
            <w:r>
              <w:rPr>
                <w:rFonts w:cs="Times New Roman"/>
                <w:iCs/>
                <w:sz w:val="21"/>
                <w:szCs w:val="24"/>
              </w:rPr>
              <w:t>f</w:t>
            </w:r>
            <w:r>
              <w:rPr>
                <w:rFonts w:hint="eastAsia" w:cs="宋体"/>
                <w:sz w:val="21"/>
                <w:szCs w:val="24"/>
                <w:lang w:eastAsia="zh-CN"/>
              </w:rPr>
              <w:t>(</w:t>
            </w:r>
            <w:r>
              <w:rPr>
                <w:rFonts w:cs="Times New Roman"/>
                <w:sz w:val="21"/>
                <w:szCs w:val="24"/>
              </w:rPr>
              <w:t>中</w:t>
            </w:r>
            <w:r>
              <w:rPr>
                <w:rFonts w:hint="eastAsia" w:cs="宋体"/>
                <w:sz w:val="21"/>
                <w:szCs w:val="24"/>
                <w:lang w:eastAsia="zh-CN"/>
              </w:rPr>
              <w:t>)</w:t>
            </w:r>
            <w:r>
              <w:rPr>
                <w:rFonts w:cs="Times New Roman"/>
                <w:sz w:val="21"/>
                <w:szCs w:val="24"/>
              </w:rPr>
              <w:t>+</w:t>
            </w:r>
            <w:r>
              <w:rPr>
                <w:rFonts w:cs="Times New Roman"/>
                <w:iCs/>
                <w:sz w:val="21"/>
                <w:szCs w:val="24"/>
              </w:rPr>
              <w:t>f</w:t>
            </w:r>
            <w:r>
              <w:rPr>
                <w:rFonts w:hint="eastAsia" w:cs="宋体"/>
                <w:sz w:val="21"/>
                <w:szCs w:val="24"/>
                <w:lang w:eastAsia="zh-CN"/>
              </w:rPr>
              <w:t>(</w:t>
            </w:r>
            <w:r>
              <w:rPr>
                <w:rFonts w:cs="Times New Roman"/>
                <w:sz w:val="21"/>
                <w:szCs w:val="24"/>
              </w:rPr>
              <w:t>近</w:t>
            </w:r>
            <w:r>
              <w:rPr>
                <w:rFonts w:hint="eastAsia" w:cs="宋体"/>
                <w:sz w:val="21"/>
                <w:szCs w:val="24"/>
                <w:lang w:eastAsia="zh-CN"/>
              </w:rPr>
              <w:t>)</w:t>
            </w:r>
            <w:r>
              <w:rPr>
                <w:rFonts w:cs="Times New Roman"/>
                <w:sz w:val="21"/>
                <w:szCs w:val="24"/>
              </w:rPr>
              <w:t>+</w:t>
            </w:r>
            <w:r>
              <w:rPr>
                <w:rFonts w:cs="Times New Roman"/>
                <w:iCs/>
                <w:sz w:val="21"/>
                <w:szCs w:val="24"/>
              </w:rPr>
              <w:t>f</w:t>
            </w:r>
            <w:r>
              <w:rPr>
                <w:rFonts w:hint="eastAsia" w:cs="宋体"/>
                <w:sz w:val="21"/>
                <w:szCs w:val="24"/>
                <w:lang w:eastAsia="zh-CN"/>
              </w:rPr>
              <w:t>(</w:t>
            </w:r>
            <w:r>
              <w:rPr>
                <w:rFonts w:cs="Times New Roman"/>
                <w:sz w:val="21"/>
                <w:szCs w:val="24"/>
              </w:rPr>
              <w:t>成</w:t>
            </w:r>
            <w:r>
              <w:rPr>
                <w:rFonts w:hint="eastAsia" w:cs="宋体"/>
                <w:sz w:val="21"/>
                <w:szCs w:val="24"/>
                <w:lang w:eastAsia="zh-CN"/>
              </w:rPr>
              <w:t>)</w:t>
            </w:r>
            <w:r>
              <w:rPr>
                <w:rFonts w:cs="Times New Roman"/>
                <w:sz w:val="21"/>
                <w:szCs w:val="24"/>
              </w:rPr>
              <w:t>+</w:t>
            </w:r>
            <w:r>
              <w:rPr>
                <w:rFonts w:cs="Times New Roman"/>
                <w:iCs/>
                <w:sz w:val="21"/>
                <w:szCs w:val="24"/>
              </w:rPr>
              <w:t>f</w:t>
            </w:r>
            <w:r>
              <w:rPr>
                <w:rFonts w:hint="eastAsia" w:cs="宋体"/>
                <w:sz w:val="21"/>
                <w:szCs w:val="24"/>
                <w:lang w:eastAsia="zh-CN"/>
              </w:rPr>
              <w:t>(</w:t>
            </w:r>
            <w:r>
              <w:rPr>
                <w:rFonts w:cs="Times New Roman"/>
                <w:sz w:val="21"/>
                <w:szCs w:val="24"/>
              </w:rPr>
              <w:t>过</w:t>
            </w:r>
            <w:r>
              <w:rPr>
                <w:rFonts w:hint="eastAsia" w:cs="宋体"/>
                <w:sz w:val="21"/>
                <w:szCs w:val="24"/>
                <w:lang w:eastAsia="zh-CN"/>
              </w:rPr>
              <w:t>)</w:t>
            </w:r>
            <w:r>
              <w:rPr>
                <w:rFonts w:cs="Times New Roman"/>
                <w:sz w:val="21"/>
                <w:szCs w:val="24"/>
              </w:rPr>
              <w:t>]/3</w:t>
            </w:r>
            <w:r>
              <w:rPr>
                <w:rFonts w:cs="Times New Roman"/>
                <w:iCs/>
                <w:sz w:val="21"/>
                <w:szCs w:val="24"/>
              </w:rPr>
              <w:t>a</w:t>
            </w:r>
          </w:p>
          <w:p w14:paraId="64E9203A">
            <w:pPr>
              <w:spacing w:line="240" w:lineRule="auto"/>
              <w:ind w:left="138" w:firstLine="0" w:firstLineChars="0"/>
              <w:jc w:val="left"/>
              <w:rPr>
                <w:rFonts w:cs="Times New Roman"/>
                <w:sz w:val="21"/>
                <w:szCs w:val="23"/>
                <w:lang w:eastAsia="zh-CN"/>
              </w:rPr>
            </w:pPr>
            <w:r>
              <w:rPr>
                <w:rFonts w:cs="Times New Roman"/>
                <w:iCs/>
                <w:sz w:val="21"/>
                <w:szCs w:val="23"/>
                <w:lang w:eastAsia="zh-CN"/>
              </w:rPr>
              <w:t>L</w:t>
            </w:r>
            <w:r>
              <w:rPr>
                <w:rFonts w:cs="Times New Roman"/>
                <w:iCs/>
                <w:position w:val="-5"/>
                <w:sz w:val="21"/>
                <w:szCs w:val="13"/>
                <w:lang w:eastAsia="zh-CN"/>
              </w:rPr>
              <w:t>V</w:t>
            </w:r>
            <w:r>
              <w:rPr>
                <w:rFonts w:hint="eastAsia" w:cs="宋体"/>
                <w:sz w:val="21"/>
                <w:szCs w:val="23"/>
                <w:lang w:eastAsia="zh-CN"/>
              </w:rPr>
              <w:t>(</w:t>
            </w:r>
            <w:r>
              <w:rPr>
                <w:rFonts w:cs="Times New Roman"/>
                <w:sz w:val="21"/>
                <w:szCs w:val="23"/>
                <w:lang w:eastAsia="zh-CN"/>
              </w:rPr>
              <w:t>林龄Ⅱ</w:t>
            </w:r>
            <w:r>
              <w:rPr>
                <w:rFonts w:hint="eastAsia" w:cs="宋体"/>
                <w:sz w:val="21"/>
                <w:szCs w:val="23"/>
                <w:lang w:eastAsia="zh-CN"/>
              </w:rPr>
              <w:t>)</w:t>
            </w:r>
            <w:r>
              <w:rPr>
                <w:rFonts w:cs="Times New Roman"/>
                <w:sz w:val="21"/>
                <w:szCs w:val="23"/>
                <w:lang w:eastAsia="zh-CN"/>
              </w:rPr>
              <w:t>=</w:t>
            </w:r>
            <w:r>
              <w:rPr>
                <w:rFonts w:cs="Times New Roman"/>
                <w:iCs/>
                <w:sz w:val="21"/>
                <w:szCs w:val="23"/>
                <w:lang w:eastAsia="zh-CN"/>
              </w:rPr>
              <w:t>L</w:t>
            </w:r>
            <w:r>
              <w:rPr>
                <w:rFonts w:cs="Times New Roman"/>
                <w:iCs/>
                <w:position w:val="-5"/>
                <w:sz w:val="21"/>
                <w:szCs w:val="13"/>
                <w:lang w:eastAsia="zh-CN"/>
              </w:rPr>
              <w:t>A</w:t>
            </w:r>
            <w:r>
              <w:rPr>
                <w:rFonts w:hint="eastAsia" w:cs="宋体"/>
                <w:sz w:val="21"/>
                <w:szCs w:val="23"/>
                <w:lang w:eastAsia="zh-CN"/>
              </w:rPr>
              <w:t>(</w:t>
            </w:r>
            <w:r>
              <w:rPr>
                <w:rFonts w:cs="Times New Roman"/>
                <w:sz w:val="21"/>
                <w:szCs w:val="23"/>
                <w:lang w:eastAsia="zh-CN"/>
              </w:rPr>
              <w:t>林龄Ⅱ</w:t>
            </w:r>
            <w:r>
              <w:rPr>
                <w:rFonts w:hint="eastAsia" w:cs="宋体"/>
                <w:sz w:val="21"/>
                <w:szCs w:val="23"/>
                <w:lang w:eastAsia="zh-CN"/>
              </w:rPr>
              <w:t>)</w:t>
            </w:r>
            <w:r>
              <w:rPr>
                <w:rFonts w:cs="Times New Roman"/>
                <w:sz w:val="21"/>
                <w:szCs w:val="23"/>
                <w:lang w:eastAsia="zh-CN"/>
              </w:rPr>
              <w:t>×</w:t>
            </w:r>
            <w:r>
              <w:rPr>
                <w:rFonts w:cs="Times New Roman"/>
                <w:iCs/>
                <w:sz w:val="21"/>
                <w:szCs w:val="23"/>
                <w:lang w:eastAsia="zh-CN"/>
              </w:rPr>
              <w:t>V</w:t>
            </w:r>
          </w:p>
        </w:tc>
        <w:tc>
          <w:tcPr>
            <w:tcW w:w="2054" w:type="pct"/>
            <w:vAlign w:val="center"/>
          </w:tcPr>
          <w:p w14:paraId="5E863A58">
            <w:pPr>
              <w:spacing w:line="240" w:lineRule="auto"/>
              <w:ind w:left="110" w:right="64" w:firstLine="0" w:firstLineChars="0"/>
              <w:jc w:val="left"/>
              <w:rPr>
                <w:rFonts w:cs="Times New Roman"/>
                <w:sz w:val="21"/>
                <w:szCs w:val="19"/>
                <w:lang w:eastAsia="zh-CN"/>
              </w:rPr>
            </w:pPr>
            <w:r>
              <w:rPr>
                <w:rFonts w:cs="Times New Roman"/>
                <w:iCs/>
                <w:sz w:val="21"/>
                <w:szCs w:val="25"/>
                <w:lang w:eastAsia="zh-CN"/>
              </w:rPr>
              <w:t>f</w:t>
            </w:r>
            <w:r>
              <w:rPr>
                <w:rFonts w:hint="eastAsia" w:cs="宋体"/>
                <w:sz w:val="21"/>
                <w:szCs w:val="25"/>
                <w:lang w:eastAsia="zh-CN"/>
              </w:rPr>
              <w:t>(</w:t>
            </w:r>
            <w:r>
              <w:rPr>
                <w:rFonts w:cs="Times New Roman"/>
                <w:sz w:val="21"/>
                <w:szCs w:val="25"/>
                <w:lang w:eastAsia="zh-CN"/>
              </w:rPr>
              <w:t>中</w:t>
            </w:r>
            <w:r>
              <w:rPr>
                <w:rFonts w:hint="eastAsia" w:cs="宋体"/>
                <w:sz w:val="21"/>
                <w:szCs w:val="25"/>
                <w:lang w:eastAsia="zh-CN"/>
              </w:rPr>
              <w:t>)</w:t>
            </w:r>
            <w:r>
              <w:rPr>
                <w:rFonts w:cs="Times New Roman"/>
                <w:sz w:val="21"/>
                <w:szCs w:val="25"/>
                <w:lang w:eastAsia="zh-CN"/>
              </w:rPr>
              <w:t>、</w:t>
            </w:r>
            <w:r>
              <w:rPr>
                <w:rFonts w:cs="Times New Roman"/>
                <w:iCs/>
                <w:sz w:val="21"/>
                <w:szCs w:val="25"/>
                <w:lang w:eastAsia="zh-CN"/>
              </w:rPr>
              <w:t>f</w:t>
            </w:r>
            <w:r>
              <w:rPr>
                <w:rFonts w:hint="eastAsia" w:cs="宋体"/>
                <w:sz w:val="21"/>
                <w:szCs w:val="25"/>
                <w:lang w:eastAsia="zh-CN"/>
              </w:rPr>
              <w:t>(</w:t>
            </w:r>
            <w:r>
              <w:rPr>
                <w:rFonts w:cs="Times New Roman"/>
                <w:sz w:val="21"/>
                <w:szCs w:val="25"/>
                <w:lang w:eastAsia="zh-CN"/>
              </w:rPr>
              <w:t>近</w:t>
            </w:r>
            <w:r>
              <w:rPr>
                <w:rFonts w:hint="eastAsia" w:cs="宋体"/>
                <w:sz w:val="21"/>
                <w:szCs w:val="25"/>
                <w:lang w:eastAsia="zh-CN"/>
              </w:rPr>
              <w:t>)</w:t>
            </w:r>
            <w:r>
              <w:rPr>
                <w:rFonts w:cs="Times New Roman"/>
                <w:sz w:val="21"/>
                <w:szCs w:val="25"/>
                <w:lang w:eastAsia="zh-CN"/>
              </w:rPr>
              <w:t>、</w:t>
            </w:r>
            <w:r>
              <w:rPr>
                <w:rFonts w:cs="Times New Roman"/>
                <w:iCs/>
                <w:sz w:val="21"/>
                <w:szCs w:val="25"/>
                <w:lang w:eastAsia="zh-CN"/>
              </w:rPr>
              <w:t>f</w:t>
            </w:r>
            <w:r>
              <w:rPr>
                <w:rFonts w:hint="eastAsia" w:cs="宋体"/>
                <w:sz w:val="21"/>
                <w:szCs w:val="25"/>
                <w:lang w:eastAsia="zh-CN"/>
              </w:rPr>
              <w:t>(</w:t>
            </w:r>
            <w:r>
              <w:rPr>
                <w:rFonts w:cs="Times New Roman"/>
                <w:sz w:val="21"/>
                <w:szCs w:val="25"/>
                <w:lang w:eastAsia="zh-CN"/>
              </w:rPr>
              <w:t>成</w:t>
            </w:r>
            <w:r>
              <w:rPr>
                <w:rFonts w:hint="eastAsia" w:cs="宋体"/>
                <w:sz w:val="21"/>
                <w:szCs w:val="25"/>
                <w:lang w:eastAsia="zh-CN"/>
              </w:rPr>
              <w:t>)</w:t>
            </w:r>
            <w:r>
              <w:rPr>
                <w:rFonts w:cs="Times New Roman"/>
                <w:sz w:val="21"/>
                <w:szCs w:val="25"/>
                <w:lang w:eastAsia="zh-CN"/>
              </w:rPr>
              <w:t>、</w:t>
            </w:r>
            <w:r>
              <w:rPr>
                <w:rFonts w:cs="Times New Roman"/>
                <w:iCs/>
                <w:sz w:val="21"/>
                <w:szCs w:val="25"/>
                <w:lang w:eastAsia="zh-CN"/>
              </w:rPr>
              <w:t>f</w:t>
            </w:r>
            <w:r>
              <w:rPr>
                <w:rFonts w:hint="eastAsia" w:cs="宋体"/>
                <w:sz w:val="21"/>
                <w:szCs w:val="25"/>
                <w:lang w:eastAsia="zh-CN"/>
              </w:rPr>
              <w:t>(</w:t>
            </w:r>
            <w:r>
              <w:rPr>
                <w:rFonts w:cs="Times New Roman"/>
                <w:sz w:val="21"/>
                <w:szCs w:val="25"/>
                <w:lang w:eastAsia="zh-CN"/>
              </w:rPr>
              <w:t>过</w:t>
            </w:r>
            <w:r>
              <w:rPr>
                <w:rFonts w:hint="eastAsia" w:cs="宋体"/>
                <w:sz w:val="21"/>
                <w:szCs w:val="25"/>
                <w:lang w:eastAsia="zh-CN"/>
              </w:rPr>
              <w:t>)</w:t>
            </w:r>
            <w:r>
              <w:rPr>
                <w:rFonts w:cs="Times New Roman"/>
                <w:sz w:val="21"/>
                <w:szCs w:val="19"/>
                <w:lang w:eastAsia="zh-CN"/>
              </w:rPr>
              <w:t>分别中、近、成、过熟林面积；</w:t>
            </w:r>
          </w:p>
          <w:p w14:paraId="5E7923AC">
            <w:pPr>
              <w:spacing w:line="240" w:lineRule="auto"/>
              <w:ind w:left="153" w:firstLine="0" w:firstLineChars="0"/>
              <w:jc w:val="left"/>
              <w:rPr>
                <w:rFonts w:cs="Times New Roman"/>
                <w:sz w:val="21"/>
                <w:szCs w:val="19"/>
                <w:lang w:eastAsia="zh-CN"/>
              </w:rPr>
            </w:pPr>
            <w:r>
              <w:rPr>
                <w:rFonts w:cs="Times New Roman"/>
                <w:iCs/>
                <w:sz w:val="21"/>
                <w:szCs w:val="25"/>
                <w:lang w:eastAsia="zh-CN"/>
              </w:rPr>
              <w:t>a</w:t>
            </w:r>
            <w:r>
              <w:rPr>
                <w:rFonts w:cs="Times New Roman"/>
                <w:sz w:val="21"/>
                <w:szCs w:val="19"/>
                <w:lang w:eastAsia="zh-CN"/>
              </w:rPr>
              <w:t>为龄级期限；</w:t>
            </w:r>
          </w:p>
          <w:p w14:paraId="685A784A">
            <w:pPr>
              <w:spacing w:line="240" w:lineRule="auto"/>
              <w:ind w:left="146" w:firstLine="0" w:firstLineChars="0"/>
              <w:jc w:val="left"/>
              <w:rPr>
                <w:rFonts w:cs="Times New Roman"/>
                <w:sz w:val="21"/>
                <w:szCs w:val="19"/>
                <w:lang w:eastAsia="zh-CN"/>
              </w:rPr>
            </w:pPr>
            <w:r>
              <w:rPr>
                <w:rFonts w:cs="Times New Roman"/>
                <w:iCs/>
                <w:sz w:val="21"/>
                <w:szCs w:val="20"/>
                <w:lang w:eastAsia="zh-CN"/>
              </w:rPr>
              <w:t>V</w:t>
            </w:r>
            <w:r>
              <w:rPr>
                <w:rFonts w:cs="Times New Roman"/>
                <w:sz w:val="21"/>
                <w:szCs w:val="19"/>
                <w:lang w:eastAsia="zh-CN"/>
              </w:rPr>
              <w:t>为成、过熟林平均蓄积量</w:t>
            </w:r>
            <w:r>
              <w:rPr>
                <w:rFonts w:hint="eastAsia" w:cs="Times New Roman"/>
                <w:sz w:val="21"/>
                <w:szCs w:val="19"/>
                <w:lang w:eastAsia="zh-CN"/>
              </w:rPr>
              <w:t>/</w:t>
            </w:r>
            <w:r>
              <w:rPr>
                <w:rFonts w:cs="Times New Roman"/>
                <w:sz w:val="21"/>
                <w:szCs w:val="19"/>
                <w:lang w:eastAsia="zh-CN"/>
              </w:rPr>
              <w:t>hm</w:t>
            </w:r>
            <w:r>
              <w:rPr>
                <w:rFonts w:cs="Times New Roman"/>
                <w:sz w:val="21"/>
                <w:szCs w:val="19"/>
                <w:vertAlign w:val="superscript"/>
                <w:lang w:eastAsia="zh-CN"/>
              </w:rPr>
              <w:t>2</w:t>
            </w:r>
          </w:p>
        </w:tc>
      </w:tr>
      <w:tr w14:paraId="55615B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89" w:type="pct"/>
            <w:vAlign w:val="center"/>
          </w:tcPr>
          <w:p w14:paraId="462E63EF">
            <w:pPr>
              <w:spacing w:line="240" w:lineRule="auto"/>
              <w:ind w:left="113" w:firstLine="0" w:firstLineChars="0"/>
              <w:jc w:val="center"/>
              <w:rPr>
                <w:rFonts w:cs="Times New Roman"/>
                <w:sz w:val="21"/>
                <w:szCs w:val="19"/>
              </w:rPr>
            </w:pPr>
            <w:r>
              <w:rPr>
                <w:rFonts w:cs="Times New Roman"/>
                <w:sz w:val="21"/>
                <w:szCs w:val="19"/>
              </w:rPr>
              <w:t>抚育采伐量计算</w:t>
            </w:r>
          </w:p>
        </w:tc>
        <w:tc>
          <w:tcPr>
            <w:tcW w:w="1955" w:type="pct"/>
            <w:vAlign w:val="center"/>
          </w:tcPr>
          <w:p w14:paraId="7CBCA183">
            <w:pPr>
              <w:spacing w:line="240" w:lineRule="auto"/>
              <w:ind w:left="140" w:firstLine="0" w:firstLineChars="0"/>
              <w:jc w:val="left"/>
              <w:rPr>
                <w:rFonts w:cs="Times New Roman"/>
                <w:sz w:val="21"/>
                <w:szCs w:val="25"/>
                <w:lang w:val="es-ES"/>
              </w:rPr>
            </w:pPr>
            <w:r>
              <w:rPr>
                <w:rFonts w:cs="Times New Roman"/>
                <w:iCs/>
                <w:sz w:val="21"/>
                <w:szCs w:val="25"/>
                <w:lang w:val="es-ES"/>
              </w:rPr>
              <w:t>L</w:t>
            </w:r>
            <w:r>
              <w:rPr>
                <w:rFonts w:cs="Times New Roman"/>
                <w:iCs/>
                <w:position w:val="-6"/>
                <w:sz w:val="21"/>
                <w:szCs w:val="14"/>
                <w:lang w:val="es-ES"/>
              </w:rPr>
              <w:t>A</w:t>
            </w:r>
            <w:r>
              <w:rPr>
                <w:rFonts w:cs="Times New Roman"/>
                <w:sz w:val="21"/>
                <w:szCs w:val="25"/>
                <w:lang w:val="es-ES"/>
              </w:rPr>
              <w:t>=</w:t>
            </w:r>
            <w:r>
              <w:rPr>
                <w:rFonts w:cs="Times New Roman"/>
                <w:iCs/>
                <w:sz w:val="21"/>
                <w:szCs w:val="25"/>
                <w:lang w:val="es-ES"/>
              </w:rPr>
              <w:t>F</w:t>
            </w:r>
            <w:r>
              <w:rPr>
                <w:rFonts w:cs="Times New Roman"/>
                <w:sz w:val="21"/>
                <w:szCs w:val="25"/>
                <w:lang w:val="es-ES"/>
              </w:rPr>
              <w:t>/</w:t>
            </w:r>
            <w:r>
              <w:rPr>
                <w:rFonts w:cs="Times New Roman"/>
                <w:iCs/>
                <w:sz w:val="21"/>
                <w:szCs w:val="25"/>
                <w:lang w:val="es-ES"/>
              </w:rPr>
              <w:t>a</w:t>
            </w:r>
          </w:p>
          <w:p w14:paraId="6B8D08B0">
            <w:pPr>
              <w:spacing w:line="240" w:lineRule="auto"/>
              <w:ind w:left="137" w:firstLine="0" w:firstLineChars="0"/>
              <w:jc w:val="left"/>
              <w:rPr>
                <w:rFonts w:cs="Times New Roman"/>
                <w:sz w:val="21"/>
                <w:szCs w:val="23"/>
                <w:lang w:val="es-ES"/>
              </w:rPr>
            </w:pPr>
            <w:r>
              <w:rPr>
                <w:rFonts w:cs="Times New Roman"/>
                <w:iCs/>
                <w:sz w:val="21"/>
                <w:szCs w:val="23"/>
                <w:lang w:val="es-ES"/>
              </w:rPr>
              <w:t>L</w:t>
            </w:r>
            <w:r>
              <w:rPr>
                <w:rFonts w:cs="Times New Roman"/>
                <w:iCs/>
                <w:position w:val="-5"/>
                <w:sz w:val="21"/>
                <w:szCs w:val="13"/>
                <w:lang w:val="es-ES"/>
              </w:rPr>
              <w:t>V</w:t>
            </w:r>
            <w:r>
              <w:rPr>
                <w:rFonts w:cs="Times New Roman"/>
                <w:sz w:val="21"/>
                <w:szCs w:val="23"/>
                <w:lang w:val="es-ES"/>
              </w:rPr>
              <w:t>=</w:t>
            </w:r>
            <w:r>
              <w:rPr>
                <w:rFonts w:cs="Times New Roman"/>
                <w:iCs/>
                <w:sz w:val="21"/>
                <w:szCs w:val="23"/>
                <w:lang w:val="es-ES"/>
              </w:rPr>
              <w:t>L</w:t>
            </w:r>
            <w:r>
              <w:rPr>
                <w:rFonts w:cs="Times New Roman"/>
                <w:iCs/>
                <w:position w:val="-5"/>
                <w:sz w:val="21"/>
                <w:szCs w:val="13"/>
                <w:lang w:val="es-ES"/>
              </w:rPr>
              <w:t>A</w:t>
            </w:r>
            <w:r>
              <w:rPr>
                <w:rFonts w:cs="Times New Roman"/>
                <w:sz w:val="21"/>
                <w:szCs w:val="23"/>
                <w:lang w:val="es-ES"/>
              </w:rPr>
              <w:t>×</w:t>
            </w:r>
            <w:r>
              <w:rPr>
                <w:rFonts w:cs="Times New Roman"/>
                <w:iCs/>
                <w:sz w:val="21"/>
                <w:szCs w:val="23"/>
                <w:lang w:val="es-ES"/>
              </w:rPr>
              <w:t>V</w:t>
            </w:r>
            <w:r>
              <w:rPr>
                <w:rFonts w:cs="Times New Roman"/>
                <w:sz w:val="21"/>
                <w:szCs w:val="23"/>
                <w:lang w:val="es-ES"/>
              </w:rPr>
              <w:t>×</w:t>
            </w:r>
            <w:r>
              <w:rPr>
                <w:rFonts w:cs="Times New Roman"/>
                <w:iCs/>
                <w:sz w:val="21"/>
                <w:szCs w:val="23"/>
                <w:lang w:val="es-ES"/>
              </w:rPr>
              <w:t>P</w:t>
            </w:r>
            <w:r>
              <w:rPr>
                <w:rFonts w:cs="Times New Roman"/>
                <w:sz w:val="21"/>
                <w:szCs w:val="23"/>
                <w:lang w:val="es-ES"/>
              </w:rPr>
              <w:t>=</w:t>
            </w:r>
            <w:r>
              <w:rPr>
                <w:rFonts w:hint="eastAsia" w:cs="宋体"/>
                <w:sz w:val="21"/>
                <w:szCs w:val="23"/>
                <w:lang w:val="es-ES" w:eastAsia="zh-CN"/>
              </w:rPr>
              <w:t>(</w:t>
            </w:r>
            <w:r>
              <w:rPr>
                <w:rFonts w:cs="Times New Roman"/>
                <w:iCs/>
                <w:sz w:val="21"/>
                <w:szCs w:val="23"/>
                <w:lang w:val="es-ES"/>
              </w:rPr>
              <w:t>M</w:t>
            </w:r>
            <w:r>
              <w:rPr>
                <w:rFonts w:cs="Times New Roman"/>
                <w:sz w:val="21"/>
                <w:szCs w:val="23"/>
                <w:lang w:val="es-ES"/>
              </w:rPr>
              <w:t>/</w:t>
            </w:r>
            <w:r>
              <w:rPr>
                <w:rFonts w:cs="Times New Roman"/>
                <w:iCs/>
                <w:sz w:val="21"/>
                <w:szCs w:val="23"/>
                <w:lang w:val="es-ES"/>
              </w:rPr>
              <w:t>a</w:t>
            </w:r>
            <w:r>
              <w:rPr>
                <w:rFonts w:hint="eastAsia" w:cs="宋体"/>
                <w:sz w:val="21"/>
                <w:szCs w:val="23"/>
                <w:lang w:val="es-ES" w:eastAsia="zh-CN"/>
              </w:rPr>
              <w:t>)</w:t>
            </w:r>
            <w:r>
              <w:rPr>
                <w:rFonts w:cs="Times New Roman"/>
                <w:sz w:val="21"/>
                <w:szCs w:val="23"/>
                <w:lang w:val="es-ES"/>
              </w:rPr>
              <w:t>×</w:t>
            </w:r>
            <w:r>
              <w:rPr>
                <w:rFonts w:cs="Times New Roman"/>
                <w:iCs/>
                <w:sz w:val="21"/>
                <w:szCs w:val="23"/>
                <w:lang w:val="es-ES"/>
              </w:rPr>
              <w:t>P</w:t>
            </w:r>
          </w:p>
        </w:tc>
        <w:tc>
          <w:tcPr>
            <w:tcW w:w="2054" w:type="pct"/>
            <w:vAlign w:val="center"/>
          </w:tcPr>
          <w:p w14:paraId="1C932992">
            <w:pPr>
              <w:spacing w:line="240" w:lineRule="auto"/>
              <w:ind w:left="139" w:right="353" w:firstLine="0" w:firstLineChars="0"/>
              <w:jc w:val="left"/>
              <w:rPr>
                <w:rFonts w:cs="Times New Roman"/>
                <w:sz w:val="21"/>
                <w:szCs w:val="19"/>
                <w:lang w:eastAsia="zh-CN"/>
              </w:rPr>
            </w:pPr>
            <w:r>
              <w:rPr>
                <w:rFonts w:cs="Times New Roman"/>
                <w:sz w:val="21"/>
                <w:szCs w:val="19"/>
                <w:lang w:eastAsia="zh-CN"/>
              </w:rPr>
              <w:t>LV-------抚育年伐蓄积</w:t>
            </w:r>
          </w:p>
          <w:p w14:paraId="54AE9397">
            <w:pPr>
              <w:spacing w:line="240" w:lineRule="auto"/>
              <w:ind w:left="139" w:right="353" w:firstLine="0" w:firstLineChars="0"/>
              <w:jc w:val="left"/>
              <w:rPr>
                <w:rFonts w:cs="Times New Roman"/>
                <w:sz w:val="21"/>
                <w:szCs w:val="19"/>
                <w:lang w:eastAsia="zh-CN"/>
              </w:rPr>
            </w:pPr>
            <w:r>
              <w:rPr>
                <w:rFonts w:cs="Times New Roman"/>
                <w:sz w:val="21"/>
                <w:szCs w:val="19"/>
                <w:lang w:eastAsia="zh-CN"/>
              </w:rPr>
              <w:t>LA-------抚育年伐面积</w:t>
            </w:r>
          </w:p>
          <w:p w14:paraId="4860E19F">
            <w:pPr>
              <w:spacing w:line="240" w:lineRule="auto"/>
              <w:ind w:left="139" w:right="353" w:firstLine="0" w:firstLineChars="0"/>
              <w:jc w:val="left"/>
              <w:rPr>
                <w:rFonts w:cs="Times New Roman"/>
                <w:sz w:val="21"/>
                <w:szCs w:val="19"/>
                <w:lang w:eastAsia="zh-CN"/>
              </w:rPr>
            </w:pPr>
            <w:r>
              <w:rPr>
                <w:rFonts w:cs="Times New Roman"/>
                <w:sz w:val="21"/>
                <w:szCs w:val="19"/>
                <w:lang w:eastAsia="zh-CN"/>
              </w:rPr>
              <w:t>F-----需要进行抚育间伐林分的面积</w:t>
            </w:r>
          </w:p>
          <w:p w14:paraId="47BC5B77">
            <w:pPr>
              <w:spacing w:line="240" w:lineRule="auto"/>
              <w:ind w:left="139" w:right="353" w:firstLine="0" w:firstLineChars="0"/>
              <w:jc w:val="left"/>
              <w:rPr>
                <w:rFonts w:cs="Times New Roman"/>
                <w:sz w:val="21"/>
                <w:szCs w:val="19"/>
                <w:lang w:eastAsia="zh-CN"/>
              </w:rPr>
            </w:pPr>
            <w:r>
              <w:rPr>
                <w:rFonts w:cs="Times New Roman"/>
                <w:sz w:val="21"/>
                <w:szCs w:val="19"/>
                <w:lang w:eastAsia="zh-CN"/>
              </w:rPr>
              <w:t>M-----需要进行抚育间伐林分的蓄积</w:t>
            </w:r>
          </w:p>
          <w:p w14:paraId="200DC1BE">
            <w:pPr>
              <w:spacing w:line="240" w:lineRule="auto"/>
              <w:ind w:left="139" w:right="353" w:firstLine="0" w:firstLineChars="0"/>
              <w:jc w:val="left"/>
              <w:rPr>
                <w:rFonts w:cs="Times New Roman"/>
                <w:sz w:val="21"/>
                <w:szCs w:val="19"/>
                <w:lang w:eastAsia="zh-CN"/>
              </w:rPr>
            </w:pPr>
            <w:r>
              <w:rPr>
                <w:rFonts w:cs="Times New Roman"/>
                <w:sz w:val="21"/>
                <w:szCs w:val="19"/>
                <w:lang w:eastAsia="zh-CN"/>
              </w:rPr>
              <w:t>V--------平均蓄积量</w:t>
            </w:r>
            <w:r>
              <w:rPr>
                <w:rFonts w:hint="eastAsia" w:cs="Times New Roman"/>
                <w:sz w:val="21"/>
                <w:szCs w:val="19"/>
                <w:lang w:eastAsia="zh-CN"/>
              </w:rPr>
              <w:t>/</w:t>
            </w:r>
            <w:r>
              <w:rPr>
                <w:rFonts w:cs="Times New Roman"/>
                <w:sz w:val="21"/>
                <w:szCs w:val="19"/>
                <w:lang w:eastAsia="zh-CN"/>
              </w:rPr>
              <w:t>hm2</w:t>
            </w:r>
          </w:p>
          <w:p w14:paraId="4ACE63E0">
            <w:pPr>
              <w:spacing w:line="240" w:lineRule="auto"/>
              <w:ind w:left="139" w:right="353" w:firstLine="0" w:firstLineChars="0"/>
              <w:jc w:val="left"/>
              <w:rPr>
                <w:rFonts w:cs="Times New Roman"/>
                <w:sz w:val="21"/>
                <w:szCs w:val="19"/>
                <w:lang w:eastAsia="zh-CN"/>
              </w:rPr>
            </w:pPr>
            <w:r>
              <w:rPr>
                <w:rFonts w:cs="Times New Roman"/>
                <w:sz w:val="21"/>
                <w:szCs w:val="19"/>
                <w:lang w:eastAsia="zh-CN"/>
              </w:rPr>
              <w:t>a--------重复期</w:t>
            </w:r>
          </w:p>
          <w:p w14:paraId="6ADA57A6">
            <w:pPr>
              <w:spacing w:line="240" w:lineRule="auto"/>
              <w:ind w:firstLine="105" w:firstLineChars="50"/>
              <w:jc w:val="left"/>
              <w:rPr>
                <w:rFonts w:cs="Times New Roman"/>
                <w:sz w:val="21"/>
                <w:szCs w:val="19"/>
                <w:lang w:eastAsia="zh-CN"/>
              </w:rPr>
            </w:pPr>
            <w:r>
              <w:rPr>
                <w:rFonts w:cs="Times New Roman"/>
                <w:sz w:val="21"/>
                <w:szCs w:val="19"/>
                <w:lang w:eastAsia="zh-CN"/>
              </w:rPr>
              <w:t>P-------采伐强度</w:t>
            </w:r>
          </w:p>
        </w:tc>
      </w:tr>
      <w:tr w14:paraId="1E2CA8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89" w:type="pct"/>
            <w:vAlign w:val="center"/>
          </w:tcPr>
          <w:p w14:paraId="130EF28D">
            <w:pPr>
              <w:spacing w:line="240" w:lineRule="auto"/>
              <w:ind w:left="117" w:firstLine="0" w:firstLineChars="0"/>
              <w:jc w:val="center"/>
              <w:rPr>
                <w:rFonts w:cs="Times New Roman"/>
                <w:sz w:val="21"/>
                <w:szCs w:val="19"/>
              </w:rPr>
            </w:pPr>
            <w:r>
              <w:rPr>
                <w:rFonts w:cs="Times New Roman"/>
                <w:sz w:val="21"/>
                <w:szCs w:val="19"/>
              </w:rPr>
              <w:t>卫生伐采伐量计算</w:t>
            </w:r>
          </w:p>
        </w:tc>
        <w:tc>
          <w:tcPr>
            <w:tcW w:w="1955" w:type="pct"/>
            <w:vAlign w:val="center"/>
          </w:tcPr>
          <w:p w14:paraId="3F7BD1F5">
            <w:pPr>
              <w:spacing w:line="240" w:lineRule="auto"/>
              <w:ind w:left="140" w:firstLine="0" w:firstLineChars="0"/>
              <w:jc w:val="left"/>
              <w:rPr>
                <w:rFonts w:cs="Times New Roman"/>
                <w:sz w:val="21"/>
                <w:szCs w:val="25"/>
              </w:rPr>
            </w:pPr>
            <w:r>
              <w:rPr>
                <w:rFonts w:cs="Times New Roman"/>
                <w:iCs/>
                <w:sz w:val="21"/>
                <w:szCs w:val="25"/>
              </w:rPr>
              <w:t>L</w:t>
            </w:r>
            <w:r>
              <w:rPr>
                <w:rFonts w:cs="Times New Roman"/>
                <w:iCs/>
                <w:position w:val="-6"/>
                <w:sz w:val="21"/>
                <w:szCs w:val="14"/>
              </w:rPr>
              <w:t>A</w:t>
            </w:r>
            <w:r>
              <w:rPr>
                <w:rFonts w:cs="Times New Roman"/>
                <w:sz w:val="21"/>
                <w:szCs w:val="25"/>
              </w:rPr>
              <w:t>=</w:t>
            </w:r>
            <w:r>
              <w:rPr>
                <w:rFonts w:cs="Times New Roman"/>
                <w:iCs/>
                <w:sz w:val="21"/>
                <w:szCs w:val="25"/>
              </w:rPr>
              <w:t>F</w:t>
            </w:r>
            <w:r>
              <w:rPr>
                <w:rFonts w:cs="Times New Roman"/>
                <w:sz w:val="21"/>
                <w:szCs w:val="25"/>
              </w:rPr>
              <w:t>/</w:t>
            </w:r>
            <w:r>
              <w:rPr>
                <w:rFonts w:cs="Times New Roman"/>
                <w:iCs/>
                <w:sz w:val="21"/>
                <w:szCs w:val="25"/>
              </w:rPr>
              <w:t>a</w:t>
            </w:r>
          </w:p>
          <w:p w14:paraId="0C326977">
            <w:pPr>
              <w:spacing w:line="240" w:lineRule="auto"/>
              <w:ind w:left="138" w:firstLine="0" w:firstLineChars="0"/>
              <w:jc w:val="left"/>
              <w:rPr>
                <w:rFonts w:cs="Times New Roman"/>
                <w:sz w:val="21"/>
                <w:szCs w:val="22"/>
              </w:rPr>
            </w:pPr>
            <w:r>
              <w:rPr>
                <w:rFonts w:cs="Times New Roman"/>
                <w:iCs/>
                <w:position w:val="1"/>
                <w:sz w:val="21"/>
                <w:szCs w:val="22"/>
              </w:rPr>
              <w:t>L</w:t>
            </w:r>
            <w:r>
              <w:rPr>
                <w:rFonts w:cs="Times New Roman"/>
                <w:iCs/>
                <w:position w:val="-4"/>
                <w:sz w:val="21"/>
                <w:szCs w:val="13"/>
              </w:rPr>
              <w:t>V</w:t>
            </w:r>
            <w:r>
              <w:rPr>
                <w:rFonts w:cs="Times New Roman"/>
                <w:position w:val="1"/>
                <w:sz w:val="21"/>
                <w:szCs w:val="22"/>
              </w:rPr>
              <w:t>=</w:t>
            </w:r>
            <w:r>
              <w:rPr>
                <w:rFonts w:cs="Times New Roman"/>
                <w:iCs/>
                <w:position w:val="1"/>
                <w:sz w:val="21"/>
                <w:szCs w:val="22"/>
              </w:rPr>
              <w:t>V</w:t>
            </w:r>
            <w:r>
              <w:rPr>
                <w:rFonts w:cs="Times New Roman"/>
                <w:position w:val="-4"/>
                <w:sz w:val="21"/>
                <w:szCs w:val="13"/>
              </w:rPr>
              <w:t>卫</w:t>
            </w:r>
            <w:r>
              <w:rPr>
                <w:rFonts w:cs="Times New Roman"/>
                <w:position w:val="1"/>
                <w:sz w:val="21"/>
                <w:szCs w:val="22"/>
              </w:rPr>
              <w:t>×</w:t>
            </w:r>
            <w:r>
              <w:rPr>
                <w:rFonts w:cs="Times New Roman"/>
                <w:iCs/>
                <w:position w:val="1"/>
                <w:sz w:val="21"/>
                <w:szCs w:val="22"/>
              </w:rPr>
              <w:t>C</w:t>
            </w:r>
            <w:r>
              <w:rPr>
                <w:rFonts w:cs="Times New Roman"/>
                <w:position w:val="-5"/>
                <w:sz w:val="21"/>
                <w:szCs w:val="13"/>
              </w:rPr>
              <w:t>枯</w:t>
            </w:r>
            <w:r>
              <w:rPr>
                <w:rFonts w:cs="Times New Roman"/>
                <w:position w:val="1"/>
                <w:sz w:val="21"/>
                <w:szCs w:val="22"/>
              </w:rPr>
              <w:t>/</w:t>
            </w:r>
            <w:r>
              <w:rPr>
                <w:rFonts w:cs="Times New Roman"/>
                <w:iCs/>
                <w:position w:val="1"/>
                <w:sz w:val="21"/>
                <w:szCs w:val="22"/>
              </w:rPr>
              <w:t>a</w:t>
            </w:r>
          </w:p>
        </w:tc>
        <w:tc>
          <w:tcPr>
            <w:tcW w:w="2054" w:type="pct"/>
            <w:vAlign w:val="center"/>
          </w:tcPr>
          <w:p w14:paraId="0504BC52">
            <w:pPr>
              <w:spacing w:line="240" w:lineRule="auto"/>
              <w:ind w:left="139" w:right="353" w:firstLine="0" w:firstLineChars="0"/>
              <w:jc w:val="left"/>
              <w:rPr>
                <w:rFonts w:cs="Times New Roman"/>
                <w:sz w:val="21"/>
                <w:szCs w:val="19"/>
                <w:lang w:eastAsia="zh-CN"/>
              </w:rPr>
            </w:pPr>
            <w:r>
              <w:rPr>
                <w:rFonts w:cs="Times New Roman"/>
                <w:sz w:val="21"/>
                <w:szCs w:val="19"/>
                <w:lang w:eastAsia="zh-CN"/>
              </w:rPr>
              <w:t>LV-------抚育年伐蓄积</w:t>
            </w:r>
          </w:p>
          <w:p w14:paraId="21B95136">
            <w:pPr>
              <w:spacing w:line="240" w:lineRule="auto"/>
              <w:ind w:left="139" w:right="353" w:firstLine="0" w:firstLineChars="0"/>
              <w:jc w:val="left"/>
              <w:rPr>
                <w:rFonts w:cs="Times New Roman"/>
                <w:sz w:val="21"/>
                <w:szCs w:val="19"/>
                <w:lang w:eastAsia="zh-CN"/>
              </w:rPr>
            </w:pPr>
            <w:r>
              <w:rPr>
                <w:rFonts w:cs="Times New Roman"/>
                <w:sz w:val="21"/>
                <w:szCs w:val="19"/>
                <w:lang w:eastAsia="zh-CN"/>
              </w:rPr>
              <w:t>LA-------抚育年伐面积</w:t>
            </w:r>
          </w:p>
          <w:p w14:paraId="5D6D39AA">
            <w:pPr>
              <w:numPr>
                <w:ilvl w:val="0"/>
                <w:numId w:val="3"/>
              </w:numPr>
              <w:spacing w:line="240" w:lineRule="auto"/>
              <w:ind w:left="139" w:right="353" w:firstLine="0" w:firstLineChars="0"/>
              <w:jc w:val="left"/>
              <w:rPr>
                <w:rFonts w:cs="Times New Roman"/>
                <w:sz w:val="21"/>
                <w:szCs w:val="19"/>
                <w:lang w:eastAsia="zh-CN"/>
              </w:rPr>
            </w:pPr>
            <w:r>
              <w:rPr>
                <w:rFonts w:cs="Times New Roman"/>
                <w:sz w:val="21"/>
                <w:szCs w:val="19"/>
                <w:lang w:eastAsia="zh-CN"/>
              </w:rPr>
              <w:t>------需要进行卫生伐林分的面积</w:t>
            </w:r>
          </w:p>
          <w:p w14:paraId="424A1FAD">
            <w:pPr>
              <w:spacing w:line="240" w:lineRule="auto"/>
              <w:ind w:left="139" w:right="353" w:firstLine="0" w:firstLineChars="0"/>
              <w:jc w:val="left"/>
              <w:rPr>
                <w:rFonts w:cs="Times New Roman"/>
                <w:sz w:val="21"/>
                <w:szCs w:val="19"/>
                <w:lang w:eastAsia="zh-CN"/>
              </w:rPr>
            </w:pPr>
            <w:r>
              <w:rPr>
                <w:rFonts w:cs="Times New Roman"/>
                <w:sz w:val="21"/>
                <w:szCs w:val="19"/>
                <w:lang w:eastAsia="zh-CN"/>
              </w:rPr>
              <w:t>V卫------需要进行卫生伐林分的蓄积</w:t>
            </w:r>
          </w:p>
          <w:p w14:paraId="30ADFF6C">
            <w:pPr>
              <w:spacing w:line="240" w:lineRule="auto"/>
              <w:ind w:left="139" w:right="353" w:firstLine="0" w:firstLineChars="0"/>
              <w:jc w:val="left"/>
              <w:rPr>
                <w:rFonts w:cs="Times New Roman"/>
                <w:sz w:val="21"/>
                <w:szCs w:val="19"/>
                <w:lang w:eastAsia="zh-CN"/>
              </w:rPr>
            </w:pPr>
            <w:r>
              <w:rPr>
                <w:rFonts w:cs="Times New Roman"/>
                <w:sz w:val="21"/>
                <w:szCs w:val="19"/>
                <w:lang w:eastAsia="zh-CN"/>
              </w:rPr>
              <w:t>C枯-----枯死木、受害木在卫生伐林分中的蓄积比</w:t>
            </w:r>
          </w:p>
        </w:tc>
      </w:tr>
    </w:tbl>
    <w:p w14:paraId="4515E965">
      <w:pPr>
        <w:ind w:firstLine="0" w:firstLineChars="0"/>
        <w:rPr>
          <w:rFonts w:cs="Times New Roman"/>
          <w:lang w:eastAsia="zh-CN"/>
        </w:rPr>
        <w:sectPr>
          <w:footerReference r:id="rId36" w:type="default"/>
          <w:footerReference r:id="rId37" w:type="even"/>
          <w:pgSz w:w="11905" w:h="16843"/>
          <w:pgMar w:top="1440" w:right="1406" w:bottom="1440" w:left="1803" w:header="873" w:footer="1276" w:gutter="0"/>
          <w:cols w:space="0" w:num="1"/>
          <w:rtlGutter w:val="0"/>
          <w:docGrid w:linePitch="326" w:charSpace="0"/>
        </w:sectPr>
      </w:pPr>
    </w:p>
    <w:p w14:paraId="395E0042">
      <w:pPr>
        <w:pStyle w:val="3"/>
        <w:rPr>
          <w:lang w:eastAsia="zh-CN"/>
        </w:rPr>
      </w:pPr>
      <w:bookmarkStart w:id="95" w:name="bookmark64"/>
      <w:bookmarkEnd w:id="95"/>
      <w:bookmarkStart w:id="96" w:name="bookmark65"/>
      <w:bookmarkEnd w:id="96"/>
      <w:bookmarkStart w:id="97" w:name="bookmark62"/>
      <w:bookmarkEnd w:id="97"/>
      <w:bookmarkStart w:id="98" w:name="_Toc19333"/>
      <w:r>
        <w:rPr>
          <w:lang w:eastAsia="zh-CN"/>
        </w:rPr>
        <w:t>6.</w:t>
      </w:r>
      <w:r>
        <w:rPr>
          <w:rFonts w:hint="eastAsia"/>
          <w:lang w:eastAsia="zh-CN"/>
        </w:rPr>
        <w:t>4</w:t>
      </w:r>
      <w:r>
        <w:rPr>
          <w:lang w:eastAsia="zh-CN"/>
        </w:rPr>
        <w:t>抚育采伐</w:t>
      </w:r>
      <w:bookmarkEnd w:id="98"/>
    </w:p>
    <w:p w14:paraId="663CC5D5">
      <w:pPr>
        <w:ind w:firstLine="480"/>
        <w:rPr>
          <w:lang w:eastAsia="zh-CN"/>
        </w:rPr>
      </w:pPr>
      <w:r>
        <w:rPr>
          <w:lang w:eastAsia="zh-CN"/>
        </w:rPr>
        <w:t>根据不同经营类型的经营措施要求，在年龄达到抚育采伐年龄要求时，视林分生长情况，对其组织抚育间伐。</w:t>
      </w:r>
    </w:p>
    <w:p w14:paraId="447E5EC3">
      <w:pPr>
        <w:ind w:firstLine="480"/>
        <w:rPr>
          <w:lang w:eastAsia="zh-CN"/>
        </w:rPr>
      </w:pPr>
      <w:r>
        <w:rPr>
          <w:lang w:eastAsia="zh-CN"/>
        </w:rPr>
        <w:t>根据对现有林抚育采伐的测算</w:t>
      </w:r>
      <w:r>
        <w:rPr>
          <w:rFonts w:hint="eastAsia"/>
          <w:lang w:eastAsia="zh-CN"/>
        </w:rPr>
        <w:t>(</w:t>
      </w:r>
      <w:r>
        <w:rPr>
          <w:lang w:eastAsia="zh-CN"/>
        </w:rPr>
        <w:t>详见第五章第三节“幼林抚育”的内容</w:t>
      </w:r>
      <w:r>
        <w:rPr>
          <w:rFonts w:hint="eastAsia"/>
          <w:lang w:eastAsia="zh-CN"/>
        </w:rPr>
        <w:t>)</w:t>
      </w:r>
      <w:r>
        <w:rPr>
          <w:lang w:eastAsia="zh-CN"/>
        </w:rPr>
        <w:t>，</w:t>
      </w:r>
      <w:r>
        <w:rPr>
          <w:rFonts w:hint="eastAsia"/>
          <w:lang w:val="en-US" w:eastAsia="zh-CN"/>
        </w:rPr>
        <w:t>林场内全部为公益林</w:t>
      </w:r>
      <w:r>
        <w:rPr>
          <w:lang w:eastAsia="zh-CN"/>
        </w:rPr>
        <w:t>，本期规划</w:t>
      </w:r>
      <w:r>
        <w:rPr>
          <w:rFonts w:hint="eastAsia"/>
          <w:lang w:eastAsia="zh-CN"/>
        </w:rPr>
        <w:t>只在公益林中采取</w:t>
      </w:r>
      <w:r>
        <w:rPr>
          <w:lang w:eastAsia="zh-CN"/>
        </w:rPr>
        <w:t>幼林抚育，不开展抚育间伐。</w:t>
      </w:r>
    </w:p>
    <w:p w14:paraId="3F062546">
      <w:pPr>
        <w:pStyle w:val="4"/>
      </w:pPr>
      <w:r>
        <w:t>6.</w:t>
      </w:r>
      <w:r>
        <w:rPr>
          <w:rFonts w:hint="eastAsia"/>
        </w:rPr>
        <w:t>4</w:t>
      </w:r>
      <w:r>
        <w:t>.1采伐量测算</w:t>
      </w:r>
    </w:p>
    <w:p w14:paraId="69D0BE60">
      <w:pPr>
        <w:ind w:firstLine="480"/>
        <w:rPr>
          <w:rFonts w:eastAsia="仿宋"/>
          <w:sz w:val="28"/>
          <w:szCs w:val="28"/>
          <w:lang w:eastAsia="zh-CN"/>
        </w:rPr>
      </w:pPr>
      <w:r>
        <w:rPr>
          <w:lang w:eastAsia="zh-CN"/>
        </w:rPr>
        <w:t>林场需抚育面积为</w:t>
      </w:r>
      <w:r>
        <w:rPr>
          <w:rFonts w:hint="eastAsia"/>
          <w:lang w:eastAsia="zh-CN"/>
        </w:rPr>
        <w:t>142.61</w:t>
      </w:r>
      <w:r>
        <w:rPr>
          <w:lang w:eastAsia="zh-CN"/>
        </w:rPr>
        <w:t>hm</w:t>
      </w:r>
      <w:r>
        <w:rPr>
          <w:vertAlign w:val="superscript"/>
          <w:lang w:eastAsia="zh-CN"/>
        </w:rPr>
        <w:t>2</w:t>
      </w:r>
      <w:r>
        <w:rPr>
          <w:lang w:eastAsia="zh-CN"/>
        </w:rPr>
        <w:t>，</w:t>
      </w:r>
      <w:r>
        <w:rPr>
          <w:rFonts w:hint="eastAsia"/>
          <w:lang w:eastAsia="zh-CN"/>
        </w:rPr>
        <w:t>全部为幼林抚育</w:t>
      </w:r>
      <w:r>
        <w:rPr>
          <w:lang w:eastAsia="zh-CN"/>
        </w:rPr>
        <w:t>，</w:t>
      </w:r>
      <w:r>
        <w:rPr>
          <w:rFonts w:hint="eastAsia"/>
          <w:lang w:eastAsia="zh-CN"/>
        </w:rPr>
        <w:t>没有蓄积。</w:t>
      </w:r>
    </w:p>
    <w:p w14:paraId="082461D0">
      <w:pPr>
        <w:pStyle w:val="4"/>
      </w:pPr>
      <w:r>
        <w:t>6.</w:t>
      </w:r>
      <w:r>
        <w:rPr>
          <w:rFonts w:hint="eastAsia"/>
        </w:rPr>
        <w:t>4</w:t>
      </w:r>
      <w:r>
        <w:t>.2抚育采伐小班安排</w:t>
      </w:r>
    </w:p>
    <w:p w14:paraId="76C9227B">
      <w:pPr>
        <w:ind w:firstLine="480"/>
        <w:rPr>
          <w:lang w:eastAsia="zh-CN"/>
        </w:rPr>
      </w:pPr>
      <w:r>
        <w:rPr>
          <w:lang w:eastAsia="zh-CN"/>
        </w:rPr>
        <w:t>前5年抚育面积</w:t>
      </w:r>
      <w:r>
        <w:rPr>
          <w:rFonts w:hint="eastAsia"/>
          <w:lang w:val="en-US" w:eastAsia="zh-CN"/>
        </w:rPr>
        <w:t>42.61</w:t>
      </w:r>
      <w:r>
        <w:rPr>
          <w:lang w:eastAsia="zh-CN"/>
        </w:rPr>
        <w:t>hm</w:t>
      </w:r>
      <w:r>
        <w:rPr>
          <w:vertAlign w:val="superscript"/>
          <w:lang w:eastAsia="zh-CN"/>
        </w:rPr>
        <w:t>2</w:t>
      </w:r>
      <w:r>
        <w:rPr>
          <w:lang w:eastAsia="zh-CN"/>
        </w:rPr>
        <w:t>，</w:t>
      </w:r>
      <w:r>
        <w:rPr>
          <w:rFonts w:hint="eastAsia"/>
          <w:lang w:eastAsia="zh-CN"/>
        </w:rPr>
        <w:t>采伐</w:t>
      </w:r>
      <w:r>
        <w:rPr>
          <w:lang w:eastAsia="zh-CN"/>
        </w:rPr>
        <w:t>小班详见表6-5所示。后期</w:t>
      </w:r>
      <w:r>
        <w:rPr>
          <w:rFonts w:hint="eastAsia"/>
          <w:lang w:eastAsia="zh-CN"/>
        </w:rPr>
        <w:t>2</w:t>
      </w:r>
      <w:r>
        <w:rPr>
          <w:lang w:eastAsia="zh-CN"/>
        </w:rPr>
        <w:t>年的采伐小班可以根据实际情况进行调整。</w:t>
      </w:r>
    </w:p>
    <w:p w14:paraId="3C8C8553">
      <w:pPr>
        <w:spacing w:line="240" w:lineRule="auto"/>
        <w:ind w:firstLine="0" w:firstLineChars="0"/>
        <w:jc w:val="center"/>
        <w:rPr>
          <w:rFonts w:eastAsia="仿宋" w:cs="Times New Roman"/>
          <w:sz w:val="28"/>
          <w:szCs w:val="28"/>
          <w:lang w:eastAsia="zh-CN"/>
        </w:rPr>
      </w:pPr>
      <w:r>
        <w:rPr>
          <w:rFonts w:eastAsia="黑体" w:cs="Times New Roman"/>
          <w:b/>
          <w:bCs/>
          <w:szCs w:val="24"/>
          <w:lang w:eastAsia="zh-CN"/>
        </w:rPr>
        <w:t>表6-5抚育采伐前五年采伐小班安排一览表</w:t>
      </w:r>
    </w:p>
    <w:p w14:paraId="75E3893B">
      <w:pPr>
        <w:spacing w:line="240" w:lineRule="auto"/>
        <w:ind w:firstLine="0" w:firstLineChars="0"/>
        <w:jc w:val="right"/>
        <w:rPr>
          <w:rFonts w:cs="宋体"/>
          <w:sz w:val="21"/>
        </w:rPr>
      </w:pPr>
      <w:r>
        <w:rPr>
          <w:rFonts w:hint="eastAsia" w:cs="宋体"/>
          <w:sz w:val="21"/>
        </w:rPr>
        <w:t>单位：</w:t>
      </w:r>
      <w:r>
        <w:rPr>
          <w:rFonts w:hint="eastAsia" w:cs="宋体"/>
          <w:sz w:val="21"/>
          <w:lang w:eastAsia="zh-CN"/>
        </w:rPr>
        <w:t>hm</w:t>
      </w:r>
      <w:r>
        <w:rPr>
          <w:rFonts w:hint="eastAsia" w:cs="宋体"/>
          <w:sz w:val="21"/>
          <w:vertAlign w:val="superscript"/>
          <w:lang w:eastAsia="zh-CN"/>
        </w:rPr>
        <w:t>2</w:t>
      </w:r>
      <w:r>
        <w:rPr>
          <w:rFonts w:hint="eastAsia" w:cs="宋体"/>
          <w:sz w:val="21"/>
        </w:rPr>
        <w:t>、</w:t>
      </w:r>
      <w:r>
        <w:rPr>
          <w:rFonts w:hint="eastAsia" w:cs="宋体"/>
          <w:sz w:val="21"/>
          <w:lang w:eastAsia="zh-CN"/>
        </w:rPr>
        <w:t>m</w:t>
      </w:r>
      <w:r>
        <w:rPr>
          <w:rFonts w:hint="eastAsia" w:cs="宋体"/>
          <w:sz w:val="21"/>
          <w:vertAlign w:val="superscript"/>
          <w:lang w:eastAsia="zh-CN"/>
        </w:rPr>
        <w:t>3</w:t>
      </w:r>
      <w:r>
        <w:rPr>
          <w:rFonts w:hint="eastAsia" w:cs="宋体"/>
          <w:sz w:val="21"/>
        </w:rPr>
        <w:t>、年</w:t>
      </w:r>
    </w:p>
    <w:tbl>
      <w:tblPr>
        <w:tblStyle w:val="17"/>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14"/>
        <w:gridCol w:w="1114"/>
        <w:gridCol w:w="1114"/>
        <w:gridCol w:w="1114"/>
        <w:gridCol w:w="1114"/>
        <w:gridCol w:w="1114"/>
        <w:gridCol w:w="1114"/>
        <w:gridCol w:w="1114"/>
      </w:tblGrid>
      <w:tr w14:paraId="0AE5F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18C834E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分场</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378D8CC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小班号</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18799E0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面积(hm</w:t>
            </w:r>
            <w:r>
              <w:rPr>
                <w:rFonts w:hint="default" w:ascii="Times New Roman" w:hAnsi="Times New Roman" w:eastAsia="宋体" w:cs="Times New Roman"/>
                <w:i w:val="0"/>
                <w:iCs w:val="0"/>
                <w:snapToGrid w:val="0"/>
                <w:color w:val="000000"/>
                <w:kern w:val="0"/>
                <w:sz w:val="21"/>
                <w:szCs w:val="21"/>
                <w:u w:val="none"/>
                <w:vertAlign w:val="superscript"/>
                <w:lang w:val="en-US" w:eastAsia="zh-CN" w:bidi="ar"/>
              </w:rPr>
              <w:t>2</w:t>
            </w:r>
            <w:r>
              <w:rPr>
                <w:rFonts w:hint="default" w:ascii="Times New Roman" w:hAnsi="Times New Roman" w:eastAsia="宋体" w:cs="Times New Roman"/>
                <w:i w:val="0"/>
                <w:iCs w:val="0"/>
                <w:snapToGrid w:val="0"/>
                <w:color w:val="000000"/>
                <w:kern w:val="0"/>
                <w:sz w:val="21"/>
                <w:szCs w:val="21"/>
                <w:u w:val="none"/>
                <w:lang w:val="en-US" w:eastAsia="zh-CN" w:bidi="ar"/>
              </w:rPr>
              <w:t>)</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6AE25E0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地类</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089D6EF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优势树种</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43F595F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龄组</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7703312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措施</w:t>
            </w:r>
          </w:p>
        </w:tc>
        <w:tc>
          <w:tcPr>
            <w:tcW w:w="62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48A7B2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年度</w:t>
            </w:r>
          </w:p>
        </w:tc>
      </w:tr>
      <w:tr w14:paraId="53FE0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0E6E991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合计</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2EC75516">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000A011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42.61</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1C45C208">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52EB79BF">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30E3F0EE">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731583EB">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25C4160A">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r>
      <w:tr w14:paraId="486EF2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3FA3EBE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阳明山村</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0D41D38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01184</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2512D77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2.61</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5917A48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乔木林地</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0C33C88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杉木</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3F5AFC8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幼龄林</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6FD7632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透光伐</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71B3B7F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2025</w:t>
            </w:r>
          </w:p>
        </w:tc>
      </w:tr>
      <w:tr w14:paraId="70833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128AE0D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阳明山村</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247D005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01208</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604682C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2.18</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0CF935B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乔木林地</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48957B9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杉木</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303D983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幼龄林</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10781E8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透光伐</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099867C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2025</w:t>
            </w:r>
          </w:p>
        </w:tc>
      </w:tr>
      <w:tr w14:paraId="50C061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542AFAF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阳明山村</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1F5C8AE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00006</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5595902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3.88</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4AA2190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乔木林地</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628B17D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杉木</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613970D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幼龄林</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32A0A07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透光伐</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378B26D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2025</w:t>
            </w:r>
          </w:p>
        </w:tc>
      </w:tr>
      <w:tr w14:paraId="69FA2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03B1D2F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阳明山村</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7ACF89D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01170</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1D7584A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1.33</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2C06A53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乔木林地</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2AC4445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杉木</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28EDED7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幼龄林</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3B7B791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透光伐</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78342BF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2025</w:t>
            </w:r>
          </w:p>
        </w:tc>
      </w:tr>
      <w:tr w14:paraId="2D021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255DE5E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阳明山村</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18608FD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01305</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44CE5F5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32.60</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5A995E0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乔木林地</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62B8C83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杉木</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6E4ABAE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幼龄林</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7E6E3BF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透光伐</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4019DEC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2025</w:t>
            </w:r>
          </w:p>
        </w:tc>
      </w:tr>
      <w:tr w14:paraId="791AAD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7390D7D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snapToGrid w:val="0"/>
                <w:color w:val="000000"/>
                <w:kern w:val="0"/>
                <w:sz w:val="21"/>
                <w:szCs w:val="21"/>
                <w:u w:val="none"/>
                <w:lang w:val="en-US" w:eastAsia="zh-CN" w:bidi="ar"/>
              </w:rPr>
            </w:pP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6F0EAE9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snapToGrid w:val="0"/>
                <w:color w:val="000000"/>
                <w:kern w:val="0"/>
                <w:sz w:val="21"/>
                <w:szCs w:val="21"/>
                <w:u w:val="none"/>
                <w:lang w:val="en-US" w:eastAsia="zh-CN" w:bidi="ar"/>
              </w:rPr>
            </w:pP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680C5E4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snapToGrid w:val="0"/>
                <w:color w:val="000000"/>
                <w:kern w:val="0"/>
                <w:sz w:val="21"/>
                <w:szCs w:val="21"/>
                <w:u w:val="none"/>
                <w:lang w:val="en-US" w:eastAsia="zh-CN" w:bidi="ar"/>
              </w:rPr>
            </w:pP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0EDB6FA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snapToGrid w:val="0"/>
                <w:color w:val="000000"/>
                <w:kern w:val="0"/>
                <w:sz w:val="21"/>
                <w:szCs w:val="21"/>
                <w:u w:val="none"/>
                <w:lang w:val="en-US" w:eastAsia="zh-CN" w:bidi="ar"/>
              </w:rPr>
            </w:pP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63E648A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snapToGrid w:val="0"/>
                <w:color w:val="000000"/>
                <w:kern w:val="0"/>
                <w:sz w:val="21"/>
                <w:szCs w:val="21"/>
                <w:u w:val="none"/>
                <w:lang w:val="en-US" w:eastAsia="zh-CN" w:bidi="ar"/>
              </w:rPr>
            </w:pP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239E91C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snapToGrid w:val="0"/>
                <w:color w:val="000000"/>
                <w:kern w:val="0"/>
                <w:sz w:val="21"/>
                <w:szCs w:val="21"/>
                <w:u w:val="none"/>
                <w:lang w:val="en-US" w:eastAsia="zh-CN" w:bidi="ar"/>
              </w:rPr>
            </w:pP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0D4CB69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snapToGrid w:val="0"/>
                <w:color w:val="000000"/>
                <w:kern w:val="0"/>
                <w:sz w:val="21"/>
                <w:szCs w:val="21"/>
                <w:u w:val="none"/>
                <w:lang w:val="en-US" w:eastAsia="zh-CN" w:bidi="ar"/>
              </w:rPr>
            </w:pP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791E1BC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snapToGrid w:val="0"/>
                <w:color w:val="000000"/>
                <w:kern w:val="0"/>
                <w:sz w:val="21"/>
                <w:szCs w:val="21"/>
                <w:u w:val="none"/>
                <w:lang w:val="en-US" w:eastAsia="zh-CN" w:bidi="ar"/>
              </w:rPr>
            </w:pPr>
          </w:p>
        </w:tc>
      </w:tr>
    </w:tbl>
    <w:p w14:paraId="71879D28">
      <w:pPr>
        <w:pStyle w:val="7"/>
        <w:spacing w:line="233" w:lineRule="exact"/>
        <w:ind w:firstLine="400"/>
        <w:rPr>
          <w:rFonts w:cs="Times New Roman"/>
          <w:sz w:val="20"/>
        </w:rPr>
      </w:pPr>
    </w:p>
    <w:p w14:paraId="3E792A4C">
      <w:pPr>
        <w:pStyle w:val="7"/>
        <w:spacing w:line="233" w:lineRule="exact"/>
        <w:ind w:firstLine="400"/>
        <w:rPr>
          <w:rFonts w:cs="Times New Roman"/>
          <w:sz w:val="20"/>
        </w:rPr>
      </w:pPr>
    </w:p>
    <w:p w14:paraId="1E8CA88C">
      <w:pPr>
        <w:spacing w:line="233" w:lineRule="exact"/>
        <w:ind w:firstLine="400"/>
        <w:rPr>
          <w:rFonts w:cs="Times New Roman"/>
          <w:sz w:val="20"/>
          <w:szCs w:val="20"/>
        </w:rPr>
        <w:sectPr>
          <w:footerReference r:id="rId38" w:type="default"/>
          <w:pgSz w:w="11905" w:h="16843"/>
          <w:pgMar w:top="1440" w:right="1406" w:bottom="1440" w:left="1803" w:header="873" w:footer="1276" w:gutter="0"/>
          <w:cols w:space="0" w:num="1"/>
          <w:rtlGutter w:val="0"/>
          <w:docGrid w:linePitch="326" w:charSpace="0"/>
        </w:sectPr>
      </w:pPr>
    </w:p>
    <w:p w14:paraId="3ADD71B2">
      <w:pPr>
        <w:pStyle w:val="3"/>
        <w:rPr>
          <w:highlight w:val="none"/>
          <w:lang w:eastAsia="zh-CN"/>
        </w:rPr>
      </w:pPr>
      <w:bookmarkStart w:id="99" w:name="bookmark68"/>
      <w:bookmarkEnd w:id="99"/>
      <w:bookmarkStart w:id="100" w:name="bookmark66"/>
      <w:bookmarkEnd w:id="100"/>
      <w:bookmarkStart w:id="101" w:name="_Toc11600"/>
      <w:r>
        <w:rPr>
          <w:highlight w:val="none"/>
          <w:lang w:eastAsia="zh-CN"/>
        </w:rPr>
        <w:t>6.</w:t>
      </w:r>
      <w:r>
        <w:rPr>
          <w:rFonts w:hint="eastAsia"/>
          <w:highlight w:val="none"/>
          <w:lang w:eastAsia="zh-CN"/>
        </w:rPr>
        <w:t>5</w:t>
      </w:r>
      <w:r>
        <w:rPr>
          <w:highlight w:val="none"/>
          <w:lang w:eastAsia="zh-CN"/>
        </w:rPr>
        <w:t>毛竹林采伐</w:t>
      </w:r>
      <w:bookmarkEnd w:id="101"/>
    </w:p>
    <w:p w14:paraId="5C5F7B73">
      <w:pPr>
        <w:ind w:firstLine="480"/>
        <w:rPr>
          <w:lang w:eastAsia="zh-CN"/>
        </w:rPr>
      </w:pPr>
      <w:r>
        <w:rPr>
          <w:lang w:eastAsia="zh-CN"/>
        </w:rPr>
        <w:t>林场现有竹林面积</w:t>
      </w:r>
      <w:r>
        <w:rPr>
          <w:rFonts w:hint="eastAsia"/>
          <w:lang w:eastAsia="zh-CN"/>
        </w:rPr>
        <w:t>3928.99</w:t>
      </w:r>
      <w:r>
        <w:rPr>
          <w:lang w:eastAsia="zh-CN"/>
        </w:rPr>
        <w:t>hm</w:t>
      </w:r>
      <w:r>
        <w:rPr>
          <w:vertAlign w:val="superscript"/>
          <w:lang w:eastAsia="zh-CN"/>
        </w:rPr>
        <w:t>2</w:t>
      </w:r>
      <w:r>
        <w:rPr>
          <w:lang w:eastAsia="zh-CN"/>
        </w:rPr>
        <w:t>，其中属于严格保护型和重点保护型</w:t>
      </w:r>
      <w:r>
        <w:rPr>
          <w:rFonts w:hint="eastAsia"/>
          <w:lang w:eastAsia="zh-CN"/>
        </w:rPr>
        <w:t>1020</w:t>
      </w:r>
      <w:r>
        <w:rPr>
          <w:lang w:eastAsia="zh-CN"/>
        </w:rPr>
        <w:t>个小班，面积3906.72hm</w:t>
      </w:r>
      <w:r>
        <w:rPr>
          <w:vertAlign w:val="superscript"/>
          <w:lang w:eastAsia="zh-CN"/>
        </w:rPr>
        <w:t>2</w:t>
      </w:r>
      <w:r>
        <w:rPr>
          <w:lang w:eastAsia="zh-CN"/>
        </w:rPr>
        <w:t>，保护经营型</w:t>
      </w:r>
      <w:r>
        <w:rPr>
          <w:rFonts w:hint="eastAsia"/>
          <w:lang w:eastAsia="zh-CN"/>
        </w:rPr>
        <w:t>115</w:t>
      </w:r>
      <w:r>
        <w:rPr>
          <w:lang w:eastAsia="zh-CN"/>
        </w:rPr>
        <w:t>个小班，面积</w:t>
      </w:r>
      <w:r>
        <w:rPr>
          <w:rFonts w:hint="eastAsia"/>
          <w:lang w:eastAsia="zh-CN"/>
        </w:rPr>
        <w:t>22.27</w:t>
      </w:r>
      <w:r>
        <w:rPr>
          <w:lang w:eastAsia="zh-CN"/>
        </w:rPr>
        <w:t>hm</w:t>
      </w:r>
      <w:r>
        <w:rPr>
          <w:vertAlign w:val="superscript"/>
          <w:lang w:eastAsia="zh-CN"/>
        </w:rPr>
        <w:t>2</w:t>
      </w:r>
      <w:r>
        <w:rPr>
          <w:lang w:eastAsia="zh-CN"/>
        </w:rPr>
        <w:t>。</w:t>
      </w:r>
    </w:p>
    <w:p w14:paraId="560FD70C">
      <w:pPr>
        <w:pStyle w:val="4"/>
      </w:pPr>
      <w:r>
        <w:t>6.</w:t>
      </w:r>
      <w:r>
        <w:rPr>
          <w:rFonts w:hint="eastAsia"/>
        </w:rPr>
        <w:t>5</w:t>
      </w:r>
      <w:r>
        <w:t>.1采伐方式</w:t>
      </w:r>
    </w:p>
    <w:p w14:paraId="38B9D342">
      <w:pPr>
        <w:ind w:firstLine="480"/>
        <w:rPr>
          <w:lang w:eastAsia="zh-CN"/>
        </w:rPr>
      </w:pPr>
      <w:r>
        <w:rPr>
          <w:lang w:eastAsia="zh-CN"/>
        </w:rPr>
        <w:t>毛竹林采用龄级择伐方式，毛竹林1</w:t>
      </w:r>
      <w:r>
        <w:rPr>
          <w:rFonts w:hint="eastAsia"/>
          <w:lang w:eastAsia="zh-CN"/>
        </w:rPr>
        <w:t>～</w:t>
      </w:r>
      <w:r>
        <w:rPr>
          <w:lang w:eastAsia="zh-CN"/>
        </w:rPr>
        <w:t>4年生为增进期，5</w:t>
      </w:r>
      <w:r>
        <w:rPr>
          <w:rFonts w:hint="eastAsia"/>
          <w:lang w:eastAsia="zh-CN"/>
        </w:rPr>
        <w:t>～</w:t>
      </w:r>
      <w:r>
        <w:rPr>
          <w:lang w:eastAsia="zh-CN"/>
        </w:rPr>
        <w:t>8年生为稳定期，9</w:t>
      </w:r>
      <w:r>
        <w:rPr>
          <w:rFonts w:hint="eastAsia"/>
          <w:lang w:eastAsia="zh-CN"/>
        </w:rPr>
        <w:t>～</w:t>
      </w:r>
      <w:r>
        <w:rPr>
          <w:lang w:eastAsia="zh-CN"/>
        </w:rPr>
        <w:t>10年以后为下降期，采伐年龄最好在竹林材质稳定期的5</w:t>
      </w:r>
      <w:r>
        <w:rPr>
          <w:rFonts w:hint="eastAsia"/>
          <w:lang w:eastAsia="zh-CN"/>
        </w:rPr>
        <w:t>～</w:t>
      </w:r>
      <w:r>
        <w:rPr>
          <w:lang w:eastAsia="zh-CN"/>
        </w:rPr>
        <w:t>8年。</w:t>
      </w:r>
    </w:p>
    <w:p w14:paraId="4BEA5408">
      <w:pPr>
        <w:pStyle w:val="4"/>
      </w:pPr>
      <w:r>
        <w:t>6.</w:t>
      </w:r>
      <w:r>
        <w:rPr>
          <w:rFonts w:hint="eastAsia"/>
        </w:rPr>
        <w:t>5</w:t>
      </w:r>
      <w:r>
        <w:t>.2采伐量确定方法</w:t>
      </w:r>
    </w:p>
    <w:p w14:paraId="77A69490">
      <w:pPr>
        <w:ind w:firstLine="480"/>
        <w:rPr>
          <w:lang w:eastAsia="zh-CN"/>
        </w:rPr>
      </w:pPr>
      <w:r>
        <w:rPr>
          <w:lang w:eastAsia="zh-CN"/>
        </w:rPr>
        <w:t>根据</w:t>
      </w:r>
      <w:r>
        <w:rPr>
          <w:rFonts w:hint="eastAsia"/>
          <w:lang w:eastAsia="zh-CN"/>
        </w:rPr>
        <w:t>“</w:t>
      </w:r>
      <w:r>
        <w:rPr>
          <w:lang w:eastAsia="zh-CN"/>
        </w:rPr>
        <w:t>年采伐量小于年生长量</w:t>
      </w:r>
      <w:r>
        <w:rPr>
          <w:rFonts w:hint="eastAsia"/>
          <w:lang w:eastAsia="zh-CN"/>
        </w:rPr>
        <w:t>”</w:t>
      </w:r>
      <w:r>
        <w:rPr>
          <w:lang w:eastAsia="zh-CN"/>
        </w:rPr>
        <w:t>的原则，年采伐量应小于每度新竹数的1/2。在保持合理的立竹度、竹龄结构及分布均匀的基础上，确定合适的采伐强度和采伐量。</w:t>
      </w:r>
    </w:p>
    <w:p w14:paraId="4C9E5A76">
      <w:pPr>
        <w:spacing w:before="51"/>
        <w:ind w:firstLine="480"/>
        <w:rPr>
          <w:rFonts w:cs="Times New Roman"/>
          <w:szCs w:val="24"/>
          <w:lang w:eastAsia="zh-CN"/>
        </w:rPr>
      </w:pPr>
      <w:r>
        <w:rPr>
          <w:rFonts w:cs="Times New Roman"/>
          <w:szCs w:val="24"/>
          <w:lang w:eastAsia="zh-CN"/>
        </w:rPr>
        <w:t>毛竹年采伐株数＝毛竹总株数/7×</w:t>
      </w:r>
      <w:r>
        <w:rPr>
          <w:rFonts w:hint="eastAsia" w:cs="Times New Roman"/>
          <w:szCs w:val="24"/>
          <w:lang w:eastAsia="zh-CN"/>
        </w:rPr>
        <w:t>8</w:t>
      </w:r>
      <w:r>
        <w:rPr>
          <w:rFonts w:cs="Times New Roman"/>
          <w:szCs w:val="24"/>
          <w:lang w:eastAsia="zh-CN"/>
        </w:rPr>
        <w:t>0%</w:t>
      </w:r>
    </w:p>
    <w:p w14:paraId="72014E56">
      <w:pPr>
        <w:pStyle w:val="4"/>
      </w:pPr>
      <w:r>
        <w:t>6.</w:t>
      </w:r>
      <w:r>
        <w:rPr>
          <w:rFonts w:hint="eastAsia"/>
        </w:rPr>
        <w:t>5</w:t>
      </w:r>
      <w:r>
        <w:t>.3年采伐量</w:t>
      </w:r>
    </w:p>
    <w:p w14:paraId="3727218B">
      <w:pPr>
        <w:ind w:firstLine="480"/>
        <w:rPr>
          <w:lang w:eastAsia="zh-CN"/>
        </w:rPr>
      </w:pPr>
      <w:r>
        <w:rPr>
          <w:rFonts w:hint="eastAsia"/>
          <w:lang w:eastAsia="zh-CN"/>
        </w:rPr>
        <w:t>本经理期规划</w:t>
      </w:r>
      <w:r>
        <w:rPr>
          <w:lang w:eastAsia="zh-CN"/>
        </w:rPr>
        <w:t>林场竹林</w:t>
      </w:r>
      <w:r>
        <w:rPr>
          <w:rFonts w:hint="eastAsia"/>
          <w:lang w:eastAsia="zh-CN"/>
        </w:rPr>
        <w:t>采伐面积740.61</w:t>
      </w:r>
      <w:r>
        <w:rPr>
          <w:lang w:eastAsia="zh-CN"/>
        </w:rPr>
        <w:t>hm</w:t>
      </w:r>
      <w:r>
        <w:rPr>
          <w:vertAlign w:val="superscript"/>
          <w:lang w:eastAsia="zh-CN"/>
        </w:rPr>
        <w:t>2</w:t>
      </w:r>
      <w:r>
        <w:rPr>
          <w:lang w:eastAsia="zh-CN"/>
        </w:rPr>
        <w:t>，</w:t>
      </w:r>
      <w:r>
        <w:rPr>
          <w:rFonts w:hint="eastAsia"/>
          <w:lang w:eastAsia="zh-CN"/>
        </w:rPr>
        <w:t>年采伐竹子19.1</w:t>
      </w:r>
      <w:r>
        <w:rPr>
          <w:lang w:eastAsia="zh-CN"/>
        </w:rPr>
        <w:t>万株</w:t>
      </w:r>
      <w:r>
        <w:rPr>
          <w:rFonts w:hint="eastAsia"/>
          <w:lang w:eastAsia="zh-CN"/>
        </w:rPr>
        <w:t>；</w:t>
      </w:r>
    </w:p>
    <w:p w14:paraId="733EA557">
      <w:pPr>
        <w:ind w:firstLine="480"/>
        <w:rPr>
          <w:rFonts w:cs="Times New Roman"/>
          <w:szCs w:val="24"/>
          <w:lang w:eastAsia="zh-CN"/>
        </w:rPr>
      </w:pPr>
      <w:r>
        <w:rPr>
          <w:rFonts w:cs="Times New Roman"/>
          <w:szCs w:val="24"/>
          <w:lang w:eastAsia="zh-CN"/>
        </w:rPr>
        <w:t>竹笋产量为750</w:t>
      </w:r>
      <w:r>
        <w:rPr>
          <w:rFonts w:hint="eastAsia" w:cs="Times New Roman"/>
          <w:szCs w:val="24"/>
          <w:lang w:eastAsia="zh-CN"/>
        </w:rPr>
        <w:t>kg/hm</w:t>
      </w:r>
      <w:r>
        <w:rPr>
          <w:rFonts w:hint="eastAsia" w:cs="Times New Roman"/>
          <w:szCs w:val="24"/>
          <w:vertAlign w:val="superscript"/>
          <w:lang w:eastAsia="zh-CN"/>
        </w:rPr>
        <w:t>2</w:t>
      </w:r>
      <w:r>
        <w:rPr>
          <w:rFonts w:hint="eastAsia" w:cs="Times New Roman"/>
          <w:szCs w:val="24"/>
          <w:lang w:eastAsia="zh-CN"/>
        </w:rPr>
        <w:t>；</w:t>
      </w:r>
    </w:p>
    <w:p w14:paraId="4559DE43">
      <w:pPr>
        <w:ind w:firstLine="480"/>
        <w:rPr>
          <w:rFonts w:cs="Times New Roman"/>
          <w:szCs w:val="24"/>
          <w:lang w:eastAsia="zh-CN"/>
        </w:rPr>
      </w:pPr>
      <w:r>
        <w:rPr>
          <w:rFonts w:cs="Times New Roman"/>
          <w:szCs w:val="24"/>
          <w:lang w:eastAsia="zh-CN"/>
        </w:rPr>
        <w:t>平均每公顷年伐量为：917株/</w:t>
      </w:r>
      <w:r>
        <w:rPr>
          <w:rFonts w:hint="eastAsia" w:cs="Times New Roman"/>
          <w:szCs w:val="24"/>
          <w:lang w:eastAsia="zh-CN"/>
        </w:rPr>
        <w:t>hm</w:t>
      </w:r>
      <w:r>
        <w:rPr>
          <w:rFonts w:hint="eastAsia" w:cs="Times New Roman"/>
          <w:szCs w:val="24"/>
          <w:vertAlign w:val="superscript"/>
          <w:lang w:eastAsia="zh-CN"/>
        </w:rPr>
        <w:t>2</w:t>
      </w:r>
      <w:r>
        <w:rPr>
          <w:rFonts w:cs="Times New Roman"/>
          <w:szCs w:val="24"/>
          <w:lang w:eastAsia="zh-CN"/>
        </w:rPr>
        <w:t>·年</w:t>
      </w:r>
      <w:r>
        <w:rPr>
          <w:rFonts w:hint="eastAsia" w:cs="Times New Roman"/>
          <w:szCs w:val="24"/>
          <w:lang w:eastAsia="zh-CN"/>
        </w:rPr>
        <w:t>；</w:t>
      </w:r>
    </w:p>
    <w:p w14:paraId="23B07A4C">
      <w:pPr>
        <w:ind w:firstLine="480"/>
        <w:rPr>
          <w:rFonts w:cs="Times New Roman"/>
          <w:szCs w:val="24"/>
          <w:lang w:eastAsia="zh-CN"/>
        </w:rPr>
      </w:pPr>
      <w:r>
        <w:rPr>
          <w:rFonts w:cs="Times New Roman"/>
          <w:szCs w:val="24"/>
          <w:lang w:eastAsia="zh-CN"/>
        </w:rPr>
        <w:t>根据以上指标和竹林垦复规划，竹材、竹笋产量详见表6-3。</w:t>
      </w:r>
    </w:p>
    <w:p w14:paraId="445073CD">
      <w:pPr>
        <w:pStyle w:val="34"/>
        <w:spacing w:before="0" w:beforeLines="0" w:after="0" w:afterLines="0" w:line="240" w:lineRule="auto"/>
        <w:ind w:firstLine="0" w:firstLineChars="0"/>
        <w:rPr>
          <w:rFonts w:ascii="Times New Roman" w:hAnsi="Times New Roman"/>
          <w:b/>
          <w:szCs w:val="24"/>
          <w:lang w:eastAsia="zh-CN"/>
        </w:rPr>
      </w:pPr>
      <w:r>
        <w:rPr>
          <w:rFonts w:hint="eastAsia" w:ascii="Times New Roman" w:hAnsi="Times New Roman"/>
          <w:b/>
          <w:szCs w:val="24"/>
          <w:lang w:eastAsia="zh-CN"/>
        </w:rPr>
        <w:t>表</w:t>
      </w:r>
      <w:r>
        <w:rPr>
          <w:rFonts w:ascii="Times New Roman" w:hAnsi="Times New Roman" w:cs="Times New Roman"/>
          <w:b/>
          <w:bCs/>
          <w:sz w:val="21"/>
          <w:szCs w:val="21"/>
          <w:lang w:eastAsia="zh-CN"/>
        </w:rPr>
        <w:t>6-3</w:t>
      </w:r>
      <w:r>
        <w:rPr>
          <w:rFonts w:hint="eastAsia" w:ascii="Times New Roman" w:hAnsi="Times New Roman"/>
          <w:b/>
          <w:szCs w:val="24"/>
          <w:lang w:eastAsia="zh-CN"/>
        </w:rPr>
        <w:t>竹材产量测算表</w:t>
      </w:r>
    </w:p>
    <w:p w14:paraId="5D77502B">
      <w:pPr>
        <w:pStyle w:val="35"/>
        <w:ind w:firstLine="0" w:firstLineChars="0"/>
        <w:rPr>
          <w:rFonts w:cs="宋体"/>
          <w:sz w:val="21"/>
          <w:szCs w:val="21"/>
          <w:lang w:eastAsia="zh-CN"/>
        </w:rPr>
      </w:pPr>
      <w:r>
        <w:rPr>
          <w:rFonts w:hint="eastAsia" w:cs="宋体"/>
          <w:sz w:val="21"/>
          <w:szCs w:val="21"/>
          <w:lang w:eastAsia="zh-CN"/>
        </w:rPr>
        <w:t>单位：百株、kg</w:t>
      </w:r>
    </w:p>
    <w:tbl>
      <w:tblPr>
        <w:tblStyle w:val="17"/>
        <w:tblW w:w="5000" w:type="pct"/>
        <w:jc w:val="center"/>
        <w:tblLayout w:type="autofit"/>
        <w:tblCellMar>
          <w:top w:w="0" w:type="dxa"/>
          <w:left w:w="108" w:type="dxa"/>
          <w:bottom w:w="0" w:type="dxa"/>
          <w:right w:w="108" w:type="dxa"/>
        </w:tblCellMar>
      </w:tblPr>
      <w:tblGrid>
        <w:gridCol w:w="945"/>
        <w:gridCol w:w="1023"/>
        <w:gridCol w:w="1023"/>
        <w:gridCol w:w="1023"/>
        <w:gridCol w:w="1023"/>
        <w:gridCol w:w="1023"/>
        <w:gridCol w:w="1672"/>
        <w:gridCol w:w="1180"/>
      </w:tblGrid>
      <w:tr w14:paraId="4AE9848D">
        <w:tblPrEx>
          <w:tblCellMar>
            <w:top w:w="0" w:type="dxa"/>
            <w:left w:w="108" w:type="dxa"/>
            <w:bottom w:w="0" w:type="dxa"/>
            <w:right w:w="108" w:type="dxa"/>
          </w:tblCellMar>
        </w:tblPrEx>
        <w:trPr>
          <w:trHeight w:val="454" w:hRule="atLeast"/>
          <w:jc w:val="center"/>
        </w:trPr>
        <w:tc>
          <w:tcPr>
            <w:tcW w:w="530" w:type="pct"/>
            <w:tcBorders>
              <w:top w:val="single" w:color="auto" w:sz="4" w:space="0"/>
              <w:left w:val="single" w:color="auto" w:sz="4" w:space="0"/>
              <w:bottom w:val="single" w:color="auto" w:sz="4" w:space="0"/>
              <w:right w:val="single" w:color="auto" w:sz="4" w:space="0"/>
            </w:tcBorders>
            <w:vAlign w:val="center"/>
          </w:tcPr>
          <w:p w14:paraId="454B7383">
            <w:pPr>
              <w:spacing w:line="240" w:lineRule="auto"/>
              <w:ind w:firstLine="0" w:firstLineChars="0"/>
              <w:jc w:val="center"/>
              <w:rPr>
                <w:rFonts w:cs="Times New Roman"/>
                <w:sz w:val="21"/>
                <w:szCs w:val="19"/>
              </w:rPr>
            </w:pPr>
            <w:r>
              <w:rPr>
                <w:rFonts w:hint="eastAsia" w:cs="Times New Roman"/>
                <w:sz w:val="21"/>
                <w:szCs w:val="19"/>
              </w:rPr>
              <w:t>年度</w:t>
            </w:r>
          </w:p>
        </w:tc>
        <w:tc>
          <w:tcPr>
            <w:tcW w:w="574" w:type="pct"/>
            <w:tcBorders>
              <w:top w:val="single" w:color="auto" w:sz="4" w:space="0"/>
              <w:left w:val="nil"/>
              <w:bottom w:val="single" w:color="auto" w:sz="4" w:space="0"/>
              <w:right w:val="single" w:color="auto" w:sz="4" w:space="0"/>
            </w:tcBorders>
            <w:vAlign w:val="center"/>
          </w:tcPr>
          <w:p w14:paraId="7A9B4606">
            <w:pPr>
              <w:spacing w:line="240" w:lineRule="auto"/>
              <w:ind w:firstLine="0" w:firstLineChars="0"/>
              <w:jc w:val="center"/>
              <w:rPr>
                <w:rFonts w:cs="Times New Roman"/>
                <w:sz w:val="21"/>
                <w:szCs w:val="19"/>
              </w:rPr>
            </w:pPr>
            <w:r>
              <w:rPr>
                <w:rFonts w:hint="eastAsia" w:cs="Times New Roman"/>
                <w:sz w:val="21"/>
                <w:szCs w:val="19"/>
              </w:rPr>
              <w:t>2024</w:t>
            </w:r>
          </w:p>
        </w:tc>
        <w:tc>
          <w:tcPr>
            <w:tcW w:w="574" w:type="pct"/>
            <w:tcBorders>
              <w:top w:val="single" w:color="auto" w:sz="4" w:space="0"/>
              <w:left w:val="nil"/>
              <w:bottom w:val="single" w:color="auto" w:sz="4" w:space="0"/>
              <w:right w:val="single" w:color="auto" w:sz="4" w:space="0"/>
            </w:tcBorders>
            <w:vAlign w:val="center"/>
          </w:tcPr>
          <w:p w14:paraId="31DA416D">
            <w:pPr>
              <w:spacing w:line="240" w:lineRule="auto"/>
              <w:ind w:firstLine="0" w:firstLineChars="0"/>
              <w:jc w:val="center"/>
              <w:rPr>
                <w:rFonts w:cs="Times New Roman"/>
                <w:sz w:val="21"/>
                <w:szCs w:val="19"/>
              </w:rPr>
            </w:pPr>
            <w:r>
              <w:rPr>
                <w:rFonts w:hint="eastAsia" w:cs="Times New Roman"/>
                <w:sz w:val="21"/>
                <w:szCs w:val="19"/>
              </w:rPr>
              <w:t>2025</w:t>
            </w:r>
          </w:p>
        </w:tc>
        <w:tc>
          <w:tcPr>
            <w:tcW w:w="574" w:type="pct"/>
            <w:tcBorders>
              <w:top w:val="single" w:color="auto" w:sz="4" w:space="0"/>
              <w:left w:val="nil"/>
              <w:bottom w:val="single" w:color="auto" w:sz="4" w:space="0"/>
              <w:right w:val="single" w:color="auto" w:sz="4" w:space="0"/>
            </w:tcBorders>
            <w:vAlign w:val="center"/>
          </w:tcPr>
          <w:p w14:paraId="1D0CC625">
            <w:pPr>
              <w:spacing w:line="240" w:lineRule="auto"/>
              <w:ind w:firstLine="0" w:firstLineChars="0"/>
              <w:jc w:val="center"/>
              <w:rPr>
                <w:rFonts w:cs="Times New Roman"/>
                <w:sz w:val="21"/>
                <w:szCs w:val="19"/>
              </w:rPr>
            </w:pPr>
            <w:r>
              <w:rPr>
                <w:rFonts w:hint="eastAsia" w:cs="Times New Roman"/>
                <w:sz w:val="21"/>
                <w:szCs w:val="19"/>
              </w:rPr>
              <w:t>2026</w:t>
            </w:r>
          </w:p>
        </w:tc>
        <w:tc>
          <w:tcPr>
            <w:tcW w:w="574" w:type="pct"/>
            <w:tcBorders>
              <w:top w:val="single" w:color="auto" w:sz="4" w:space="0"/>
              <w:left w:val="nil"/>
              <w:bottom w:val="single" w:color="auto" w:sz="4" w:space="0"/>
              <w:right w:val="single" w:color="auto" w:sz="4" w:space="0"/>
            </w:tcBorders>
            <w:vAlign w:val="center"/>
          </w:tcPr>
          <w:p w14:paraId="0E1A413A">
            <w:pPr>
              <w:spacing w:line="240" w:lineRule="auto"/>
              <w:ind w:firstLine="0" w:firstLineChars="0"/>
              <w:jc w:val="center"/>
              <w:rPr>
                <w:rFonts w:cs="Times New Roman"/>
                <w:sz w:val="21"/>
                <w:szCs w:val="19"/>
              </w:rPr>
            </w:pPr>
            <w:r>
              <w:rPr>
                <w:rFonts w:hint="eastAsia" w:cs="Times New Roman"/>
                <w:sz w:val="21"/>
                <w:szCs w:val="19"/>
              </w:rPr>
              <w:t>2027</w:t>
            </w:r>
          </w:p>
        </w:tc>
        <w:tc>
          <w:tcPr>
            <w:tcW w:w="574" w:type="pct"/>
            <w:tcBorders>
              <w:top w:val="single" w:color="auto" w:sz="4" w:space="0"/>
              <w:left w:val="nil"/>
              <w:bottom w:val="single" w:color="auto" w:sz="4" w:space="0"/>
              <w:right w:val="single" w:color="auto" w:sz="4" w:space="0"/>
            </w:tcBorders>
            <w:vAlign w:val="center"/>
          </w:tcPr>
          <w:p w14:paraId="204501FF">
            <w:pPr>
              <w:spacing w:line="240" w:lineRule="auto"/>
              <w:ind w:firstLine="0" w:firstLineChars="0"/>
              <w:jc w:val="center"/>
              <w:rPr>
                <w:rFonts w:cs="Times New Roman"/>
                <w:sz w:val="21"/>
                <w:szCs w:val="19"/>
              </w:rPr>
            </w:pPr>
            <w:r>
              <w:rPr>
                <w:rFonts w:hint="eastAsia" w:cs="Times New Roman"/>
                <w:sz w:val="21"/>
                <w:szCs w:val="19"/>
              </w:rPr>
              <w:t>2028</w:t>
            </w:r>
          </w:p>
        </w:tc>
        <w:tc>
          <w:tcPr>
            <w:tcW w:w="938" w:type="pct"/>
            <w:tcBorders>
              <w:top w:val="single" w:color="auto" w:sz="4" w:space="0"/>
              <w:left w:val="nil"/>
              <w:bottom w:val="single" w:color="auto" w:sz="4" w:space="0"/>
              <w:right w:val="single" w:color="auto" w:sz="4" w:space="0"/>
            </w:tcBorders>
            <w:vAlign w:val="center"/>
          </w:tcPr>
          <w:p w14:paraId="126A68C2">
            <w:pPr>
              <w:spacing w:line="240" w:lineRule="auto"/>
              <w:ind w:firstLine="0" w:firstLineChars="0"/>
              <w:jc w:val="center"/>
              <w:rPr>
                <w:rFonts w:cs="Times New Roman"/>
                <w:sz w:val="21"/>
                <w:szCs w:val="19"/>
              </w:rPr>
            </w:pPr>
            <w:r>
              <w:rPr>
                <w:rFonts w:hint="eastAsia" w:cs="Times New Roman"/>
                <w:sz w:val="21"/>
                <w:szCs w:val="19"/>
              </w:rPr>
              <w:t>2029-2030</w:t>
            </w:r>
          </w:p>
        </w:tc>
        <w:tc>
          <w:tcPr>
            <w:tcW w:w="662" w:type="pct"/>
            <w:tcBorders>
              <w:top w:val="single" w:color="auto" w:sz="4" w:space="0"/>
              <w:left w:val="nil"/>
              <w:bottom w:val="single" w:color="auto" w:sz="4" w:space="0"/>
              <w:right w:val="single" w:color="auto" w:sz="4" w:space="0"/>
            </w:tcBorders>
            <w:vAlign w:val="center"/>
          </w:tcPr>
          <w:p w14:paraId="17419B24">
            <w:pPr>
              <w:spacing w:line="240" w:lineRule="auto"/>
              <w:ind w:firstLine="0" w:firstLineChars="0"/>
              <w:jc w:val="center"/>
              <w:rPr>
                <w:rFonts w:cs="Times New Roman"/>
                <w:sz w:val="21"/>
                <w:szCs w:val="19"/>
              </w:rPr>
            </w:pPr>
            <w:r>
              <w:rPr>
                <w:rFonts w:hint="eastAsia" w:cs="Times New Roman"/>
                <w:sz w:val="21"/>
                <w:szCs w:val="19"/>
              </w:rPr>
              <w:t>合计</w:t>
            </w:r>
          </w:p>
        </w:tc>
      </w:tr>
      <w:tr w14:paraId="4BE4C94B">
        <w:tblPrEx>
          <w:tblCellMar>
            <w:top w:w="0" w:type="dxa"/>
            <w:left w:w="108" w:type="dxa"/>
            <w:bottom w:w="0" w:type="dxa"/>
            <w:right w:w="108" w:type="dxa"/>
          </w:tblCellMar>
        </w:tblPrEx>
        <w:trPr>
          <w:trHeight w:val="454" w:hRule="atLeast"/>
          <w:jc w:val="center"/>
        </w:trPr>
        <w:tc>
          <w:tcPr>
            <w:tcW w:w="530" w:type="pct"/>
            <w:vMerge w:val="restart"/>
            <w:tcBorders>
              <w:top w:val="nil"/>
              <w:left w:val="single" w:color="auto" w:sz="4" w:space="0"/>
              <w:bottom w:val="single" w:color="auto" w:sz="4" w:space="0"/>
              <w:right w:val="single" w:color="auto" w:sz="4" w:space="0"/>
            </w:tcBorders>
            <w:vAlign w:val="center"/>
          </w:tcPr>
          <w:p w14:paraId="7B8EF235">
            <w:pPr>
              <w:spacing w:line="240" w:lineRule="auto"/>
              <w:ind w:firstLine="0" w:firstLineChars="0"/>
              <w:jc w:val="center"/>
              <w:rPr>
                <w:rFonts w:cs="Times New Roman"/>
                <w:sz w:val="21"/>
                <w:szCs w:val="19"/>
              </w:rPr>
            </w:pPr>
            <w:r>
              <w:rPr>
                <w:rFonts w:hint="eastAsia" w:cs="Times New Roman"/>
                <w:sz w:val="21"/>
                <w:szCs w:val="19"/>
              </w:rPr>
              <w:t>竹材</w:t>
            </w:r>
          </w:p>
        </w:tc>
        <w:tc>
          <w:tcPr>
            <w:tcW w:w="574" w:type="pct"/>
            <w:vMerge w:val="restart"/>
            <w:tcBorders>
              <w:top w:val="nil"/>
              <w:left w:val="single" w:color="auto" w:sz="4" w:space="0"/>
              <w:bottom w:val="single" w:color="auto" w:sz="4" w:space="0"/>
              <w:right w:val="single" w:color="auto" w:sz="4" w:space="0"/>
            </w:tcBorders>
            <w:vAlign w:val="center"/>
          </w:tcPr>
          <w:p w14:paraId="35EEC50E">
            <w:pPr>
              <w:spacing w:line="240" w:lineRule="auto"/>
              <w:ind w:firstLine="0" w:firstLineChars="0"/>
              <w:jc w:val="center"/>
              <w:rPr>
                <w:rFonts w:cs="Times New Roman"/>
                <w:sz w:val="21"/>
                <w:szCs w:val="19"/>
              </w:rPr>
            </w:pPr>
            <w:r>
              <w:rPr>
                <w:rFonts w:hint="eastAsia" w:cs="Times New Roman"/>
                <w:sz w:val="21"/>
                <w:szCs w:val="19"/>
              </w:rPr>
              <w:t>19.47</w:t>
            </w:r>
          </w:p>
        </w:tc>
        <w:tc>
          <w:tcPr>
            <w:tcW w:w="574" w:type="pct"/>
            <w:vMerge w:val="restart"/>
            <w:tcBorders>
              <w:top w:val="nil"/>
              <w:left w:val="single" w:color="auto" w:sz="4" w:space="0"/>
              <w:bottom w:val="single" w:color="auto" w:sz="4" w:space="0"/>
              <w:right w:val="single" w:color="auto" w:sz="4" w:space="0"/>
            </w:tcBorders>
            <w:vAlign w:val="center"/>
          </w:tcPr>
          <w:p w14:paraId="240A6FD9">
            <w:pPr>
              <w:spacing w:line="240" w:lineRule="auto"/>
              <w:ind w:firstLine="0" w:firstLineChars="0"/>
              <w:jc w:val="center"/>
              <w:rPr>
                <w:rFonts w:cs="Times New Roman"/>
                <w:sz w:val="21"/>
                <w:szCs w:val="19"/>
              </w:rPr>
            </w:pPr>
            <w:r>
              <w:rPr>
                <w:rFonts w:hint="eastAsia" w:cs="Times New Roman"/>
                <w:sz w:val="21"/>
                <w:szCs w:val="19"/>
              </w:rPr>
              <w:t>19.47</w:t>
            </w:r>
          </w:p>
        </w:tc>
        <w:tc>
          <w:tcPr>
            <w:tcW w:w="574" w:type="pct"/>
            <w:vMerge w:val="restart"/>
            <w:tcBorders>
              <w:top w:val="nil"/>
              <w:left w:val="single" w:color="auto" w:sz="4" w:space="0"/>
              <w:bottom w:val="single" w:color="auto" w:sz="4" w:space="0"/>
              <w:right w:val="single" w:color="auto" w:sz="4" w:space="0"/>
            </w:tcBorders>
            <w:vAlign w:val="center"/>
          </w:tcPr>
          <w:p w14:paraId="3F718F6E">
            <w:pPr>
              <w:spacing w:line="240" w:lineRule="auto"/>
              <w:ind w:firstLine="0" w:firstLineChars="0"/>
              <w:jc w:val="center"/>
              <w:rPr>
                <w:rFonts w:cs="Times New Roman"/>
                <w:sz w:val="21"/>
                <w:szCs w:val="19"/>
              </w:rPr>
            </w:pPr>
            <w:r>
              <w:rPr>
                <w:rFonts w:hint="eastAsia" w:cs="Times New Roman"/>
                <w:sz w:val="21"/>
                <w:szCs w:val="19"/>
              </w:rPr>
              <w:t>19.47</w:t>
            </w:r>
          </w:p>
        </w:tc>
        <w:tc>
          <w:tcPr>
            <w:tcW w:w="574" w:type="pct"/>
            <w:vMerge w:val="restart"/>
            <w:tcBorders>
              <w:top w:val="nil"/>
              <w:left w:val="single" w:color="auto" w:sz="4" w:space="0"/>
              <w:bottom w:val="single" w:color="auto" w:sz="4" w:space="0"/>
              <w:right w:val="single" w:color="auto" w:sz="4" w:space="0"/>
            </w:tcBorders>
            <w:vAlign w:val="center"/>
          </w:tcPr>
          <w:p w14:paraId="02984043">
            <w:pPr>
              <w:spacing w:line="240" w:lineRule="auto"/>
              <w:ind w:firstLine="0" w:firstLineChars="0"/>
              <w:jc w:val="center"/>
              <w:rPr>
                <w:rFonts w:cs="Times New Roman"/>
                <w:sz w:val="21"/>
                <w:szCs w:val="19"/>
              </w:rPr>
            </w:pPr>
            <w:r>
              <w:rPr>
                <w:rFonts w:hint="eastAsia" w:cs="Times New Roman"/>
                <w:sz w:val="21"/>
                <w:szCs w:val="19"/>
              </w:rPr>
              <w:t>19.47</w:t>
            </w:r>
          </w:p>
        </w:tc>
        <w:tc>
          <w:tcPr>
            <w:tcW w:w="574" w:type="pct"/>
            <w:vMerge w:val="restart"/>
            <w:tcBorders>
              <w:top w:val="nil"/>
              <w:left w:val="single" w:color="auto" w:sz="4" w:space="0"/>
              <w:bottom w:val="single" w:color="auto" w:sz="4" w:space="0"/>
              <w:right w:val="single" w:color="auto" w:sz="4" w:space="0"/>
            </w:tcBorders>
            <w:vAlign w:val="center"/>
          </w:tcPr>
          <w:p w14:paraId="25E600E4">
            <w:pPr>
              <w:spacing w:line="240" w:lineRule="auto"/>
              <w:ind w:firstLine="0" w:firstLineChars="0"/>
              <w:jc w:val="center"/>
              <w:rPr>
                <w:rFonts w:cs="Times New Roman"/>
                <w:sz w:val="21"/>
                <w:szCs w:val="19"/>
              </w:rPr>
            </w:pPr>
            <w:r>
              <w:rPr>
                <w:rFonts w:hint="eastAsia" w:cs="Times New Roman"/>
                <w:sz w:val="21"/>
                <w:szCs w:val="19"/>
              </w:rPr>
              <w:t>19.47</w:t>
            </w:r>
          </w:p>
        </w:tc>
        <w:tc>
          <w:tcPr>
            <w:tcW w:w="938" w:type="pct"/>
            <w:vMerge w:val="restart"/>
            <w:tcBorders>
              <w:top w:val="nil"/>
              <w:left w:val="single" w:color="auto" w:sz="4" w:space="0"/>
              <w:bottom w:val="single" w:color="auto" w:sz="4" w:space="0"/>
              <w:right w:val="single" w:color="auto" w:sz="4" w:space="0"/>
            </w:tcBorders>
            <w:vAlign w:val="center"/>
          </w:tcPr>
          <w:p w14:paraId="03BCE74D">
            <w:pPr>
              <w:spacing w:line="240" w:lineRule="auto"/>
              <w:ind w:firstLine="0" w:firstLineChars="0"/>
              <w:jc w:val="center"/>
              <w:rPr>
                <w:rFonts w:cs="Times New Roman"/>
                <w:sz w:val="21"/>
                <w:szCs w:val="19"/>
              </w:rPr>
            </w:pPr>
            <w:r>
              <w:rPr>
                <w:rFonts w:hint="eastAsia" w:cs="Times New Roman"/>
                <w:sz w:val="21"/>
                <w:szCs w:val="19"/>
              </w:rPr>
              <w:t>97.35</w:t>
            </w:r>
          </w:p>
        </w:tc>
        <w:tc>
          <w:tcPr>
            <w:tcW w:w="662" w:type="pct"/>
            <w:vMerge w:val="restart"/>
            <w:tcBorders>
              <w:top w:val="nil"/>
              <w:left w:val="single" w:color="auto" w:sz="4" w:space="0"/>
              <w:bottom w:val="single" w:color="auto" w:sz="4" w:space="0"/>
              <w:right w:val="single" w:color="auto" w:sz="4" w:space="0"/>
            </w:tcBorders>
            <w:vAlign w:val="center"/>
          </w:tcPr>
          <w:p w14:paraId="01022F7F">
            <w:pPr>
              <w:spacing w:line="240" w:lineRule="auto"/>
              <w:ind w:firstLine="0" w:firstLineChars="0"/>
              <w:jc w:val="center"/>
              <w:rPr>
                <w:rFonts w:cs="Times New Roman"/>
                <w:sz w:val="21"/>
                <w:szCs w:val="19"/>
              </w:rPr>
            </w:pPr>
            <w:r>
              <w:rPr>
                <w:rFonts w:hint="eastAsia" w:cs="Times New Roman"/>
                <w:sz w:val="21"/>
                <w:szCs w:val="19"/>
              </w:rPr>
              <w:t>194.70</w:t>
            </w:r>
          </w:p>
        </w:tc>
      </w:tr>
      <w:tr w14:paraId="5E3898A1">
        <w:tblPrEx>
          <w:tblCellMar>
            <w:top w:w="0" w:type="dxa"/>
            <w:left w:w="108" w:type="dxa"/>
            <w:bottom w:w="0" w:type="dxa"/>
            <w:right w:w="108" w:type="dxa"/>
          </w:tblCellMar>
        </w:tblPrEx>
        <w:trPr>
          <w:trHeight w:val="454" w:hRule="atLeast"/>
          <w:jc w:val="center"/>
        </w:trPr>
        <w:tc>
          <w:tcPr>
            <w:tcW w:w="530" w:type="pct"/>
            <w:vMerge w:val="continue"/>
            <w:tcBorders>
              <w:top w:val="nil"/>
              <w:left w:val="single" w:color="auto" w:sz="4" w:space="0"/>
              <w:bottom w:val="single" w:color="auto" w:sz="4" w:space="0"/>
              <w:right w:val="single" w:color="auto" w:sz="4" w:space="0"/>
            </w:tcBorders>
            <w:vAlign w:val="center"/>
          </w:tcPr>
          <w:p w14:paraId="230B17E4">
            <w:pPr>
              <w:spacing w:line="240" w:lineRule="auto"/>
              <w:ind w:firstLine="0" w:firstLineChars="0"/>
              <w:jc w:val="center"/>
              <w:rPr>
                <w:rFonts w:cs="Times New Roman"/>
                <w:sz w:val="21"/>
                <w:szCs w:val="19"/>
              </w:rPr>
            </w:pPr>
          </w:p>
        </w:tc>
        <w:tc>
          <w:tcPr>
            <w:tcW w:w="574" w:type="pct"/>
            <w:vMerge w:val="continue"/>
            <w:tcBorders>
              <w:top w:val="nil"/>
              <w:left w:val="single" w:color="auto" w:sz="4" w:space="0"/>
              <w:bottom w:val="single" w:color="auto" w:sz="4" w:space="0"/>
              <w:right w:val="single" w:color="auto" w:sz="4" w:space="0"/>
            </w:tcBorders>
            <w:vAlign w:val="center"/>
          </w:tcPr>
          <w:p w14:paraId="7BA05C5E">
            <w:pPr>
              <w:spacing w:line="240" w:lineRule="auto"/>
              <w:ind w:firstLine="0" w:firstLineChars="0"/>
              <w:jc w:val="center"/>
              <w:rPr>
                <w:rFonts w:cs="Times New Roman"/>
                <w:sz w:val="21"/>
                <w:szCs w:val="19"/>
              </w:rPr>
            </w:pPr>
          </w:p>
        </w:tc>
        <w:tc>
          <w:tcPr>
            <w:tcW w:w="574" w:type="pct"/>
            <w:vMerge w:val="continue"/>
            <w:tcBorders>
              <w:top w:val="nil"/>
              <w:left w:val="single" w:color="auto" w:sz="4" w:space="0"/>
              <w:bottom w:val="single" w:color="auto" w:sz="4" w:space="0"/>
              <w:right w:val="single" w:color="auto" w:sz="4" w:space="0"/>
            </w:tcBorders>
            <w:vAlign w:val="center"/>
          </w:tcPr>
          <w:p w14:paraId="52047A7C">
            <w:pPr>
              <w:spacing w:line="240" w:lineRule="auto"/>
              <w:ind w:firstLine="0" w:firstLineChars="0"/>
              <w:jc w:val="center"/>
              <w:rPr>
                <w:rFonts w:cs="Times New Roman"/>
                <w:sz w:val="21"/>
                <w:szCs w:val="19"/>
              </w:rPr>
            </w:pPr>
          </w:p>
        </w:tc>
        <w:tc>
          <w:tcPr>
            <w:tcW w:w="574" w:type="pct"/>
            <w:vMerge w:val="continue"/>
            <w:tcBorders>
              <w:top w:val="nil"/>
              <w:left w:val="single" w:color="auto" w:sz="4" w:space="0"/>
              <w:bottom w:val="single" w:color="auto" w:sz="4" w:space="0"/>
              <w:right w:val="single" w:color="auto" w:sz="4" w:space="0"/>
            </w:tcBorders>
            <w:vAlign w:val="center"/>
          </w:tcPr>
          <w:p w14:paraId="10DBB619">
            <w:pPr>
              <w:spacing w:line="240" w:lineRule="auto"/>
              <w:ind w:firstLine="0" w:firstLineChars="0"/>
              <w:jc w:val="center"/>
              <w:rPr>
                <w:rFonts w:cs="Times New Roman"/>
                <w:sz w:val="21"/>
                <w:szCs w:val="19"/>
              </w:rPr>
            </w:pPr>
          </w:p>
        </w:tc>
        <w:tc>
          <w:tcPr>
            <w:tcW w:w="574" w:type="pct"/>
            <w:vMerge w:val="continue"/>
            <w:tcBorders>
              <w:top w:val="nil"/>
              <w:left w:val="single" w:color="auto" w:sz="4" w:space="0"/>
              <w:bottom w:val="single" w:color="auto" w:sz="4" w:space="0"/>
              <w:right w:val="single" w:color="auto" w:sz="4" w:space="0"/>
            </w:tcBorders>
            <w:vAlign w:val="center"/>
          </w:tcPr>
          <w:p w14:paraId="57E5A8C2">
            <w:pPr>
              <w:spacing w:line="240" w:lineRule="auto"/>
              <w:ind w:firstLine="0" w:firstLineChars="0"/>
              <w:jc w:val="center"/>
              <w:rPr>
                <w:rFonts w:cs="Times New Roman"/>
                <w:sz w:val="21"/>
                <w:szCs w:val="19"/>
              </w:rPr>
            </w:pPr>
          </w:p>
        </w:tc>
        <w:tc>
          <w:tcPr>
            <w:tcW w:w="574" w:type="pct"/>
            <w:vMerge w:val="continue"/>
            <w:tcBorders>
              <w:top w:val="nil"/>
              <w:left w:val="single" w:color="auto" w:sz="4" w:space="0"/>
              <w:bottom w:val="single" w:color="auto" w:sz="4" w:space="0"/>
              <w:right w:val="single" w:color="auto" w:sz="4" w:space="0"/>
            </w:tcBorders>
            <w:vAlign w:val="center"/>
          </w:tcPr>
          <w:p w14:paraId="208805DA">
            <w:pPr>
              <w:spacing w:line="240" w:lineRule="auto"/>
              <w:ind w:firstLine="0" w:firstLineChars="0"/>
              <w:jc w:val="center"/>
              <w:rPr>
                <w:rFonts w:cs="Times New Roman"/>
                <w:sz w:val="21"/>
                <w:szCs w:val="19"/>
              </w:rPr>
            </w:pPr>
          </w:p>
        </w:tc>
        <w:tc>
          <w:tcPr>
            <w:tcW w:w="938" w:type="pct"/>
            <w:vMerge w:val="continue"/>
            <w:tcBorders>
              <w:top w:val="nil"/>
              <w:left w:val="single" w:color="auto" w:sz="4" w:space="0"/>
              <w:bottom w:val="single" w:color="auto" w:sz="4" w:space="0"/>
              <w:right w:val="single" w:color="auto" w:sz="4" w:space="0"/>
            </w:tcBorders>
            <w:vAlign w:val="center"/>
          </w:tcPr>
          <w:p w14:paraId="1D553AD6">
            <w:pPr>
              <w:spacing w:line="240" w:lineRule="auto"/>
              <w:ind w:firstLine="0" w:firstLineChars="0"/>
              <w:jc w:val="center"/>
              <w:rPr>
                <w:rFonts w:cs="Times New Roman"/>
                <w:sz w:val="21"/>
                <w:szCs w:val="19"/>
              </w:rPr>
            </w:pPr>
          </w:p>
        </w:tc>
        <w:tc>
          <w:tcPr>
            <w:tcW w:w="662" w:type="pct"/>
            <w:vMerge w:val="continue"/>
            <w:tcBorders>
              <w:top w:val="nil"/>
              <w:left w:val="single" w:color="auto" w:sz="4" w:space="0"/>
              <w:bottom w:val="single" w:color="auto" w:sz="4" w:space="0"/>
              <w:right w:val="single" w:color="auto" w:sz="4" w:space="0"/>
            </w:tcBorders>
            <w:vAlign w:val="center"/>
          </w:tcPr>
          <w:p w14:paraId="69BEF7E2">
            <w:pPr>
              <w:spacing w:line="240" w:lineRule="auto"/>
              <w:ind w:firstLine="0" w:firstLineChars="0"/>
              <w:jc w:val="center"/>
              <w:rPr>
                <w:rFonts w:cs="Times New Roman"/>
                <w:sz w:val="21"/>
                <w:szCs w:val="19"/>
              </w:rPr>
            </w:pPr>
          </w:p>
        </w:tc>
      </w:tr>
      <w:tr w14:paraId="76E74F7B">
        <w:tblPrEx>
          <w:tblCellMar>
            <w:top w:w="0" w:type="dxa"/>
            <w:left w:w="108" w:type="dxa"/>
            <w:bottom w:w="0" w:type="dxa"/>
            <w:right w:w="108" w:type="dxa"/>
          </w:tblCellMar>
        </w:tblPrEx>
        <w:trPr>
          <w:trHeight w:val="454" w:hRule="atLeast"/>
          <w:jc w:val="center"/>
        </w:trPr>
        <w:tc>
          <w:tcPr>
            <w:tcW w:w="530" w:type="pct"/>
            <w:tcBorders>
              <w:top w:val="nil"/>
              <w:left w:val="single" w:color="auto" w:sz="4" w:space="0"/>
              <w:bottom w:val="single" w:color="auto" w:sz="4" w:space="0"/>
              <w:right w:val="single" w:color="auto" w:sz="4" w:space="0"/>
            </w:tcBorders>
            <w:vAlign w:val="center"/>
          </w:tcPr>
          <w:p w14:paraId="3C44382C">
            <w:pPr>
              <w:spacing w:line="240" w:lineRule="auto"/>
              <w:ind w:firstLine="0" w:firstLineChars="0"/>
              <w:jc w:val="center"/>
              <w:rPr>
                <w:rFonts w:cs="Times New Roman"/>
                <w:sz w:val="21"/>
                <w:szCs w:val="19"/>
              </w:rPr>
            </w:pPr>
            <w:r>
              <w:rPr>
                <w:rFonts w:hint="eastAsia" w:cs="Times New Roman"/>
                <w:sz w:val="21"/>
                <w:szCs w:val="19"/>
              </w:rPr>
              <w:t>竹笋</w:t>
            </w:r>
          </w:p>
        </w:tc>
        <w:tc>
          <w:tcPr>
            <w:tcW w:w="574" w:type="pct"/>
            <w:tcBorders>
              <w:top w:val="nil"/>
              <w:left w:val="single" w:color="auto" w:sz="4" w:space="0"/>
              <w:bottom w:val="single" w:color="auto" w:sz="4" w:space="0"/>
              <w:right w:val="single" w:color="auto" w:sz="4" w:space="0"/>
            </w:tcBorders>
            <w:vAlign w:val="center"/>
          </w:tcPr>
          <w:p w14:paraId="202BC81A">
            <w:pPr>
              <w:spacing w:line="240" w:lineRule="auto"/>
              <w:ind w:firstLine="0" w:firstLineChars="0"/>
              <w:jc w:val="center"/>
              <w:rPr>
                <w:rFonts w:cs="Times New Roman"/>
                <w:sz w:val="21"/>
                <w:szCs w:val="19"/>
              </w:rPr>
            </w:pPr>
            <w:r>
              <w:rPr>
                <w:rFonts w:hint="eastAsia" w:cs="Times New Roman"/>
                <w:sz w:val="21"/>
                <w:szCs w:val="19"/>
              </w:rPr>
              <w:t>37.5</w:t>
            </w:r>
          </w:p>
        </w:tc>
        <w:tc>
          <w:tcPr>
            <w:tcW w:w="574" w:type="pct"/>
            <w:tcBorders>
              <w:top w:val="nil"/>
              <w:left w:val="single" w:color="auto" w:sz="4" w:space="0"/>
              <w:bottom w:val="single" w:color="auto" w:sz="4" w:space="0"/>
              <w:right w:val="single" w:color="auto" w:sz="4" w:space="0"/>
            </w:tcBorders>
            <w:vAlign w:val="center"/>
          </w:tcPr>
          <w:p w14:paraId="4AA8584C">
            <w:pPr>
              <w:spacing w:line="240" w:lineRule="auto"/>
              <w:ind w:firstLine="0" w:firstLineChars="0"/>
              <w:jc w:val="center"/>
              <w:rPr>
                <w:rFonts w:cs="Times New Roman"/>
                <w:sz w:val="21"/>
                <w:szCs w:val="19"/>
              </w:rPr>
            </w:pPr>
            <w:r>
              <w:rPr>
                <w:rFonts w:hint="eastAsia" w:cs="Times New Roman"/>
                <w:sz w:val="21"/>
                <w:szCs w:val="19"/>
              </w:rPr>
              <w:t>37.5</w:t>
            </w:r>
          </w:p>
        </w:tc>
        <w:tc>
          <w:tcPr>
            <w:tcW w:w="574" w:type="pct"/>
            <w:tcBorders>
              <w:top w:val="nil"/>
              <w:left w:val="single" w:color="auto" w:sz="4" w:space="0"/>
              <w:bottom w:val="single" w:color="auto" w:sz="4" w:space="0"/>
              <w:right w:val="single" w:color="auto" w:sz="4" w:space="0"/>
            </w:tcBorders>
            <w:vAlign w:val="center"/>
          </w:tcPr>
          <w:p w14:paraId="3750470F">
            <w:pPr>
              <w:spacing w:line="240" w:lineRule="auto"/>
              <w:ind w:firstLine="0" w:firstLineChars="0"/>
              <w:jc w:val="center"/>
              <w:rPr>
                <w:rFonts w:cs="Times New Roman"/>
                <w:sz w:val="21"/>
                <w:szCs w:val="19"/>
              </w:rPr>
            </w:pPr>
            <w:r>
              <w:rPr>
                <w:rFonts w:hint="eastAsia" w:cs="Times New Roman"/>
                <w:sz w:val="21"/>
                <w:szCs w:val="19"/>
              </w:rPr>
              <w:t>37.5</w:t>
            </w:r>
          </w:p>
        </w:tc>
        <w:tc>
          <w:tcPr>
            <w:tcW w:w="574" w:type="pct"/>
            <w:tcBorders>
              <w:top w:val="nil"/>
              <w:left w:val="single" w:color="auto" w:sz="4" w:space="0"/>
              <w:bottom w:val="single" w:color="auto" w:sz="4" w:space="0"/>
              <w:right w:val="single" w:color="auto" w:sz="4" w:space="0"/>
            </w:tcBorders>
            <w:vAlign w:val="center"/>
          </w:tcPr>
          <w:p w14:paraId="1DC2D00F">
            <w:pPr>
              <w:spacing w:line="240" w:lineRule="auto"/>
              <w:ind w:firstLine="0" w:firstLineChars="0"/>
              <w:jc w:val="center"/>
              <w:rPr>
                <w:rFonts w:cs="Times New Roman"/>
                <w:sz w:val="21"/>
                <w:szCs w:val="19"/>
              </w:rPr>
            </w:pPr>
            <w:r>
              <w:rPr>
                <w:rFonts w:hint="eastAsia" w:cs="Times New Roman"/>
                <w:sz w:val="21"/>
                <w:szCs w:val="19"/>
              </w:rPr>
              <w:t>37.5</w:t>
            </w:r>
          </w:p>
        </w:tc>
        <w:tc>
          <w:tcPr>
            <w:tcW w:w="574" w:type="pct"/>
            <w:tcBorders>
              <w:top w:val="nil"/>
              <w:left w:val="single" w:color="auto" w:sz="4" w:space="0"/>
              <w:bottom w:val="single" w:color="auto" w:sz="4" w:space="0"/>
              <w:right w:val="single" w:color="auto" w:sz="4" w:space="0"/>
            </w:tcBorders>
            <w:vAlign w:val="center"/>
          </w:tcPr>
          <w:p w14:paraId="55B49F79">
            <w:pPr>
              <w:spacing w:line="240" w:lineRule="auto"/>
              <w:ind w:firstLine="0" w:firstLineChars="0"/>
              <w:jc w:val="center"/>
              <w:rPr>
                <w:rFonts w:cs="Times New Roman"/>
                <w:sz w:val="21"/>
                <w:szCs w:val="19"/>
              </w:rPr>
            </w:pPr>
            <w:r>
              <w:rPr>
                <w:rFonts w:hint="eastAsia" w:cs="Times New Roman"/>
                <w:sz w:val="21"/>
                <w:szCs w:val="19"/>
              </w:rPr>
              <w:t>37.5</w:t>
            </w:r>
          </w:p>
        </w:tc>
        <w:tc>
          <w:tcPr>
            <w:tcW w:w="938" w:type="pct"/>
            <w:tcBorders>
              <w:top w:val="nil"/>
              <w:left w:val="single" w:color="auto" w:sz="4" w:space="0"/>
              <w:bottom w:val="single" w:color="auto" w:sz="4" w:space="0"/>
              <w:right w:val="single" w:color="auto" w:sz="4" w:space="0"/>
            </w:tcBorders>
            <w:vAlign w:val="center"/>
          </w:tcPr>
          <w:p w14:paraId="0D56BE80">
            <w:pPr>
              <w:spacing w:line="240" w:lineRule="auto"/>
              <w:ind w:firstLine="0" w:firstLineChars="0"/>
              <w:jc w:val="center"/>
              <w:rPr>
                <w:rFonts w:cs="Times New Roman"/>
                <w:sz w:val="21"/>
                <w:szCs w:val="19"/>
              </w:rPr>
            </w:pPr>
            <w:r>
              <w:rPr>
                <w:rFonts w:hint="eastAsia" w:cs="Times New Roman"/>
                <w:sz w:val="21"/>
                <w:szCs w:val="19"/>
              </w:rPr>
              <w:t>37.5</w:t>
            </w:r>
          </w:p>
        </w:tc>
        <w:tc>
          <w:tcPr>
            <w:tcW w:w="662" w:type="pct"/>
            <w:tcBorders>
              <w:top w:val="nil"/>
              <w:left w:val="single" w:color="auto" w:sz="4" w:space="0"/>
              <w:bottom w:val="single" w:color="auto" w:sz="4" w:space="0"/>
              <w:right w:val="single" w:color="auto" w:sz="4" w:space="0"/>
            </w:tcBorders>
            <w:vAlign w:val="center"/>
          </w:tcPr>
          <w:p w14:paraId="53D6EA4C">
            <w:pPr>
              <w:spacing w:line="240" w:lineRule="auto"/>
              <w:ind w:firstLine="0" w:firstLineChars="0"/>
              <w:jc w:val="center"/>
              <w:rPr>
                <w:rFonts w:cs="Times New Roman"/>
                <w:sz w:val="21"/>
                <w:szCs w:val="19"/>
              </w:rPr>
            </w:pPr>
            <w:r>
              <w:rPr>
                <w:rFonts w:hint="eastAsia" w:cs="Times New Roman"/>
                <w:sz w:val="21"/>
                <w:szCs w:val="19"/>
              </w:rPr>
              <w:t>375.0</w:t>
            </w:r>
          </w:p>
        </w:tc>
      </w:tr>
    </w:tbl>
    <w:p w14:paraId="22E114C7">
      <w:pPr>
        <w:spacing w:before="51"/>
        <w:ind w:firstLine="480"/>
        <w:rPr>
          <w:rFonts w:cs="Times New Roman"/>
          <w:szCs w:val="24"/>
          <w:lang w:eastAsia="zh-CN"/>
        </w:rPr>
      </w:pPr>
    </w:p>
    <w:p w14:paraId="18B3F5C3">
      <w:pPr>
        <w:spacing w:before="51"/>
        <w:ind w:firstLine="480"/>
        <w:rPr>
          <w:rFonts w:cs="Times New Roman"/>
          <w:szCs w:val="24"/>
          <w:lang w:eastAsia="zh-CN"/>
        </w:rPr>
        <w:sectPr>
          <w:footerReference r:id="rId39" w:type="default"/>
          <w:pgSz w:w="11905" w:h="16843"/>
          <w:pgMar w:top="1440" w:right="1406" w:bottom="1440" w:left="1803" w:header="873" w:footer="1276" w:gutter="0"/>
          <w:cols w:space="0" w:num="1"/>
          <w:rtlGutter w:val="0"/>
          <w:docGrid w:linePitch="326" w:charSpace="0"/>
        </w:sectPr>
      </w:pPr>
    </w:p>
    <w:p w14:paraId="43D75C3D">
      <w:pPr>
        <w:pStyle w:val="2"/>
        <w:spacing w:before="120" w:after="120"/>
        <w:rPr>
          <w:lang w:eastAsia="zh-CN"/>
        </w:rPr>
      </w:pPr>
      <w:bookmarkStart w:id="102" w:name="bookmark74"/>
      <w:bookmarkEnd w:id="102"/>
      <w:bookmarkStart w:id="103" w:name="bookmark72"/>
      <w:bookmarkEnd w:id="103"/>
      <w:bookmarkStart w:id="104" w:name="bookmark81"/>
      <w:bookmarkEnd w:id="104"/>
      <w:bookmarkStart w:id="105" w:name="bookmark79"/>
      <w:bookmarkEnd w:id="105"/>
      <w:bookmarkStart w:id="106" w:name="bookmark70"/>
      <w:bookmarkEnd w:id="106"/>
      <w:bookmarkStart w:id="107" w:name="bookmark77"/>
      <w:bookmarkEnd w:id="107"/>
      <w:bookmarkStart w:id="108" w:name="_Toc20360"/>
      <w:r>
        <w:rPr>
          <w:lang w:eastAsia="zh-CN"/>
        </w:rPr>
        <w:t>第七章</w:t>
      </w:r>
      <w:r>
        <w:rPr>
          <w:rFonts w:hint="eastAsia"/>
          <w:lang w:eastAsia="zh-CN"/>
        </w:rPr>
        <w:t xml:space="preserve"> </w:t>
      </w:r>
      <w:r>
        <w:rPr>
          <w:lang w:eastAsia="zh-CN"/>
        </w:rPr>
        <w:t>森林多资源利用规划</w:t>
      </w:r>
      <w:bookmarkEnd w:id="108"/>
    </w:p>
    <w:p w14:paraId="37FA698D">
      <w:pPr>
        <w:pStyle w:val="3"/>
        <w:rPr>
          <w:lang w:eastAsia="zh-CN"/>
        </w:rPr>
      </w:pPr>
      <w:bookmarkStart w:id="109" w:name="_Toc7171"/>
      <w:r>
        <w:rPr>
          <w:lang w:eastAsia="zh-CN"/>
        </w:rPr>
        <w:t>7.1特色经济林经营</w:t>
      </w:r>
      <w:bookmarkEnd w:id="109"/>
    </w:p>
    <w:p w14:paraId="1CB01473">
      <w:pPr>
        <w:ind w:firstLine="480"/>
        <w:rPr>
          <w:rFonts w:eastAsia="仿宋"/>
          <w:sz w:val="28"/>
          <w:szCs w:val="28"/>
          <w:lang w:eastAsia="zh-CN"/>
        </w:rPr>
      </w:pPr>
      <w:r>
        <w:rPr>
          <w:lang w:eastAsia="zh-CN"/>
        </w:rPr>
        <w:t>林场没有经济林，本经营期不</w:t>
      </w:r>
      <w:r>
        <w:rPr>
          <w:rFonts w:hint="eastAsia"/>
          <w:lang w:eastAsia="zh-CN"/>
        </w:rPr>
        <w:t>做</w:t>
      </w:r>
      <w:r>
        <w:rPr>
          <w:lang w:eastAsia="zh-CN"/>
        </w:rPr>
        <w:t>规划。</w:t>
      </w:r>
    </w:p>
    <w:p w14:paraId="2A0D4B88">
      <w:pPr>
        <w:pStyle w:val="3"/>
        <w:rPr>
          <w:lang w:eastAsia="zh-CN"/>
        </w:rPr>
      </w:pPr>
      <w:bookmarkStart w:id="110" w:name="_Toc16218"/>
      <w:r>
        <w:rPr>
          <w:lang w:eastAsia="zh-CN"/>
        </w:rPr>
        <w:t>7.2森林旅游规划</w:t>
      </w:r>
      <w:bookmarkEnd w:id="110"/>
    </w:p>
    <w:p w14:paraId="5B176C62">
      <w:pPr>
        <w:pStyle w:val="4"/>
      </w:pPr>
      <w:r>
        <w:t>7.2.1森林游憩规划</w:t>
      </w:r>
    </w:p>
    <w:p w14:paraId="2CA5CC7C">
      <w:pPr>
        <w:ind w:firstLine="480"/>
        <w:rPr>
          <w:lang w:eastAsia="zh-CN"/>
        </w:rPr>
      </w:pPr>
      <w:r>
        <w:rPr>
          <w:rFonts w:hint="eastAsia"/>
          <w:lang w:eastAsia="zh-CN"/>
        </w:rPr>
        <w:t>(1)杜鹃花海景区</w:t>
      </w:r>
    </w:p>
    <w:p w14:paraId="6FA28590">
      <w:pPr>
        <w:ind w:firstLine="482"/>
        <w:rPr>
          <w:b/>
          <w:bCs/>
          <w:lang w:eastAsia="zh-CN"/>
        </w:rPr>
      </w:pPr>
      <w:r>
        <w:rPr>
          <w:rFonts w:hint="eastAsia"/>
          <w:b/>
          <w:bCs/>
          <w:lang w:eastAsia="zh-CN"/>
        </w:rPr>
        <w:t>万寿寺维修</w:t>
      </w:r>
    </w:p>
    <w:p w14:paraId="48EAE152">
      <w:pPr>
        <w:ind w:firstLine="480"/>
        <w:rPr>
          <w:lang w:eastAsia="zh-CN"/>
        </w:rPr>
      </w:pPr>
      <w:r>
        <w:rPr>
          <w:rFonts w:hint="eastAsia"/>
          <w:lang w:eastAsia="zh-CN"/>
        </w:rPr>
        <w:t>始建于宋、重修于明。坐落在海拔1357m的花岗岩坡地上，占地面积5000m</w:t>
      </w:r>
      <w:r>
        <w:rPr>
          <w:rFonts w:hint="eastAsia"/>
          <w:vertAlign w:val="superscript"/>
          <w:lang w:eastAsia="zh-CN"/>
        </w:rPr>
        <w:t>2</w:t>
      </w:r>
      <w:r>
        <w:rPr>
          <w:rFonts w:hint="eastAsia"/>
          <w:lang w:eastAsia="zh-CN"/>
        </w:rPr>
        <w:t>。东西两侧山势逶迤环抱，人称“二龙戏珠”。寺院坐北朝南，三纵六横，寺前层峦叠翠，古木参天，十分开阔，周围是“无树不苔封”的原始次森林。寺后有一古井，久雨不溢、久旱不枯，饮之回味无穷，且有强身健体之功效，誉为“阳明圣泉”。据《阳明山志》记载：明嘉靖三十一年(1552年)，新田人郑秀峰禅师在此坐化成佛，时年39岁，“殁后其身不坏，肉体俨若金刚”。明藩南渭王颂其生前高风亮节，遂崇其号曰“七祖活佛”，改寺名为“万寿寺”，并亲赐“名山千古仰，活佛万家朝”楹联。此后阳明山的菩萨十分灵验，人们求官得官，求财得财，求子得子，求福得福，被誉为“福地”，常年聚集了周边3省18县58个香会约100万的香客。规划对其进行修缮，并在最佳观景点设立了景点标识牌。</w:t>
      </w:r>
    </w:p>
    <w:p w14:paraId="75D2D1F0">
      <w:pPr>
        <w:ind w:firstLine="482"/>
        <w:rPr>
          <w:b/>
          <w:bCs/>
          <w:lang w:eastAsia="zh-CN"/>
        </w:rPr>
      </w:pPr>
      <w:r>
        <w:rPr>
          <w:rFonts w:hint="eastAsia"/>
          <w:b/>
          <w:bCs/>
          <w:lang w:eastAsia="zh-CN"/>
        </w:rPr>
        <w:t>云天阁维护</w:t>
      </w:r>
    </w:p>
    <w:p w14:paraId="33CCEB82">
      <w:pPr>
        <w:ind w:firstLine="480"/>
        <w:rPr>
          <w:lang w:eastAsia="zh-CN"/>
        </w:rPr>
      </w:pPr>
      <w:r>
        <w:rPr>
          <w:rFonts w:hint="eastAsia"/>
          <w:lang w:eastAsia="zh-CN"/>
        </w:rPr>
        <w:t>在万寿寺西面2km处，是永州广播电视微波中心站，这里海拔1500多m，新建的微波塔高80m，直插云霄，雨过天晴后，呈现出半是孤峰半是云的壮丽景象。“会当凌绝顶，一览众山小”，不仅可以饱览十万亩野生杜鹃花海，还可以远眺万和湖。“红杜鹃、紫杜鹃，博得自由开满天，庸花俗草生山下，奇红艳秀在高岩”，在云天阁还有两处生长着杜鹃花中的名品，云锦杜鹃、鹿角杜鹃。每当四月下旬，这里绘成两条紫色的花廊，奇秀无比、漂亮至极。规划对其进行维护，并在最佳观景点设景点标识牌。</w:t>
      </w:r>
    </w:p>
    <w:p w14:paraId="5773B5DD">
      <w:pPr>
        <w:ind w:firstLine="482"/>
        <w:rPr>
          <w:b/>
          <w:bCs/>
          <w:lang w:eastAsia="zh-CN"/>
        </w:rPr>
      </w:pPr>
      <w:r>
        <w:rPr>
          <w:rFonts w:hint="eastAsia"/>
          <w:b/>
          <w:bCs/>
          <w:lang w:eastAsia="zh-CN"/>
        </w:rPr>
        <w:t>风云台保护</w:t>
      </w:r>
    </w:p>
    <w:p w14:paraId="0D14BEBF">
      <w:pPr>
        <w:ind w:firstLine="480"/>
        <w:rPr>
          <w:lang w:eastAsia="zh-CN"/>
        </w:rPr>
      </w:pPr>
      <w:r>
        <w:rPr>
          <w:rFonts w:hint="eastAsia"/>
          <w:lang w:eastAsia="zh-CN"/>
        </w:rPr>
        <w:t>1938年11月25日至28日，刚处理完长沙大火事件的蒋介石在南岳主持召开了第一次军事会议，在会议期间听说了永州的阳明山有个七祖佛爷很灵验，于是就秘密上了阳明山，并在此求得一签。当时的主持仙光大师根据此签给了他六字箴言，“胜在川，败走湾”，蒋介石当时不解，就来到风云台冥思苦想，终有所悟。后来蒋介石逃往台湾后，遂将台湾的草山改为阳明山，留下了一段难解的阳明山情结。规划在最佳观景点设立景点标识牌，平时需要维护。</w:t>
      </w:r>
    </w:p>
    <w:p w14:paraId="6FE66898">
      <w:pPr>
        <w:ind w:firstLine="482"/>
        <w:rPr>
          <w:b/>
          <w:bCs/>
          <w:lang w:eastAsia="zh-CN"/>
        </w:rPr>
      </w:pPr>
      <w:r>
        <w:rPr>
          <w:rFonts w:hint="eastAsia"/>
          <w:b/>
          <w:bCs/>
          <w:lang w:eastAsia="zh-CN"/>
        </w:rPr>
        <w:t>杜鹃红游道维护</w:t>
      </w:r>
    </w:p>
    <w:p w14:paraId="75478CCC">
      <w:pPr>
        <w:ind w:firstLine="480"/>
        <w:rPr>
          <w:lang w:eastAsia="zh-CN"/>
        </w:rPr>
      </w:pPr>
      <w:r>
        <w:rPr>
          <w:rFonts w:hint="eastAsia"/>
          <w:lang w:eastAsia="zh-CN"/>
        </w:rPr>
        <w:t>在杜鹃花海景区的游道边，有一个铜像身高1.81m，是按照毛泽东在安源时的造型一比一量身定制的，这里是电影《青年毛泽东》外景拍摄地，从此开始有一游道全长1.8km通向对面山顶，在此游道上花季可欣赏杜鹃花海“群花竞放、万紫千红”的壮观；平日可体验原始次生林“老树槎桠、林深径幽”的意境；登临峰顶，看万山拱簇，独耸千寻，云雾缭绕，如置人间仙境。安排工作人员平时加以维护。</w:t>
      </w:r>
    </w:p>
    <w:p w14:paraId="54F1586F">
      <w:pPr>
        <w:ind w:firstLine="482"/>
        <w:rPr>
          <w:b/>
          <w:bCs/>
          <w:lang w:eastAsia="zh-CN"/>
        </w:rPr>
      </w:pPr>
      <w:r>
        <w:rPr>
          <w:rFonts w:hint="eastAsia"/>
          <w:b/>
          <w:bCs/>
          <w:lang w:eastAsia="zh-CN"/>
        </w:rPr>
        <w:t>“和”字观景台保护</w:t>
      </w:r>
    </w:p>
    <w:p w14:paraId="49DA6A92">
      <w:pPr>
        <w:ind w:firstLine="480"/>
        <w:rPr>
          <w:lang w:eastAsia="zh-CN"/>
        </w:rPr>
      </w:pPr>
      <w:r>
        <w:rPr>
          <w:rFonts w:hint="eastAsia"/>
          <w:lang w:eastAsia="zh-CN"/>
        </w:rPr>
        <w:t>“和美阳明，博爱天下”。阳明山“和”文化积淀十分丰富，“阳”象征天地之和，“明”字代表阴阳之和，佛教禅理提倡行善积德。此处可远观杜鹃花海内由巨石天然生成的“和”字，实为巧夺天工，令人叹为观止。</w:t>
      </w:r>
    </w:p>
    <w:p w14:paraId="5B37517B">
      <w:pPr>
        <w:ind w:firstLine="480"/>
        <w:rPr>
          <w:lang w:eastAsia="zh-CN"/>
        </w:rPr>
      </w:pPr>
      <w:r>
        <w:rPr>
          <w:rFonts w:hint="eastAsia"/>
          <w:lang w:eastAsia="zh-CN"/>
        </w:rPr>
        <w:t>(2)万和湖景区</w:t>
      </w:r>
    </w:p>
    <w:p w14:paraId="743DD1D8">
      <w:pPr>
        <w:ind w:firstLine="480"/>
        <w:rPr>
          <w:lang w:eastAsia="zh-CN"/>
        </w:rPr>
      </w:pPr>
      <w:r>
        <w:rPr>
          <w:rFonts w:hint="eastAsia"/>
          <w:lang w:eastAsia="zh-CN"/>
        </w:rPr>
        <w:t>佛光普照维护：在前往万寿寺和歇马庵的岔路口，有一块仿佛在稽首的石头，当地人称阿弥陀佛，仿佛在指引着前往万寿寺或者歇马庵的道路。因阳明山佛教文化深厚，后来人们把它改名叫佛光普照，意味着佛度有缘人，更意味着普度众生。安排工作人员平时加以维护。</w:t>
      </w:r>
    </w:p>
    <w:p w14:paraId="02A83678">
      <w:pPr>
        <w:ind w:firstLine="480"/>
        <w:rPr>
          <w:lang w:eastAsia="zh-CN"/>
        </w:rPr>
      </w:pPr>
      <w:r>
        <w:rPr>
          <w:rFonts w:hint="eastAsia"/>
          <w:lang w:eastAsia="zh-CN"/>
        </w:rPr>
        <w:t>(3)黄江源景区</w:t>
      </w:r>
    </w:p>
    <w:p w14:paraId="0A3E5BC2">
      <w:pPr>
        <w:ind w:firstLine="482"/>
        <w:rPr>
          <w:b/>
          <w:bCs/>
          <w:lang w:eastAsia="zh-CN"/>
        </w:rPr>
      </w:pPr>
      <w:r>
        <w:rPr>
          <w:rFonts w:hint="eastAsia"/>
          <w:b/>
          <w:bCs/>
          <w:lang w:eastAsia="zh-CN"/>
        </w:rPr>
        <w:t>红军亭维修</w:t>
      </w:r>
    </w:p>
    <w:p w14:paraId="1552E3DE">
      <w:pPr>
        <w:ind w:firstLine="480"/>
        <w:rPr>
          <w:lang w:eastAsia="zh-CN"/>
        </w:rPr>
      </w:pPr>
      <w:r>
        <w:rPr>
          <w:rFonts w:hint="eastAsia"/>
          <w:lang w:eastAsia="zh-CN"/>
        </w:rPr>
        <w:t>1934年8月23日，红军在进行震惊中外的二万五千里长征中，由任弼时、王震、萧克率领红六军团8000多名官兵，到达阳明山，留下一段爱民拥军佳话，现立碑建亭以示纪念。萧克将军回忆长征时，对此记忆犹新，并于1998年为阳明山国家森林公园亲笔题写园名，托人赠送。此处现为永州市爱国主义教育基地。建设期内对红军亭、纪念馆和碑林进行维修。</w:t>
      </w:r>
    </w:p>
    <w:p w14:paraId="27FC8392">
      <w:pPr>
        <w:ind w:firstLine="482"/>
        <w:rPr>
          <w:b/>
          <w:bCs/>
          <w:lang w:eastAsia="zh-CN"/>
        </w:rPr>
      </w:pPr>
      <w:r>
        <w:rPr>
          <w:rFonts w:hint="eastAsia"/>
          <w:b/>
          <w:bCs/>
          <w:lang w:eastAsia="zh-CN"/>
        </w:rPr>
        <w:t>“和”字展览馆维护</w:t>
      </w:r>
    </w:p>
    <w:p w14:paraId="1D505105">
      <w:pPr>
        <w:ind w:firstLine="480"/>
        <w:rPr>
          <w:lang w:eastAsia="zh-CN"/>
        </w:rPr>
      </w:pPr>
      <w:r>
        <w:rPr>
          <w:rFonts w:hint="eastAsia"/>
          <w:lang w:eastAsia="zh-CN"/>
        </w:rPr>
        <w:t>阳明山“和”字展览馆修建于2010年。目前馆内共展出各界名流“和”字144幅，共分为9个展厅，即1个主展厅和8个小展厅。2011年4月21日，中国国民党副主席林丰正、海峡两岸关系协会会长陈云林出席第五届中国•阳明山“和”文化旅游节开幕式，并亲自为阳明山“和”字展览馆揭牌，阳明山“和”字展览馆成为了中华“和”文化的重要载体和象征。</w:t>
      </w:r>
    </w:p>
    <w:p w14:paraId="2D40E7E6">
      <w:pPr>
        <w:ind w:firstLine="482"/>
        <w:rPr>
          <w:b/>
          <w:bCs/>
          <w:lang w:eastAsia="zh-CN"/>
        </w:rPr>
      </w:pPr>
      <w:r>
        <w:rPr>
          <w:rFonts w:hint="eastAsia"/>
          <w:b/>
          <w:bCs/>
          <w:lang w:eastAsia="zh-CN"/>
        </w:rPr>
        <w:t>摄影展览馆维护</w:t>
      </w:r>
    </w:p>
    <w:p w14:paraId="2E0D31CB">
      <w:pPr>
        <w:ind w:firstLine="480"/>
        <w:rPr>
          <w:lang w:eastAsia="zh-CN"/>
        </w:rPr>
      </w:pPr>
      <w:r>
        <w:rPr>
          <w:rFonts w:hint="eastAsia"/>
          <w:lang w:eastAsia="zh-CN"/>
        </w:rPr>
        <w:t>为了让更多的人了解、发现阳明山的美，2011年第五届中国·阳明山“和”文化旅游节举办了“阳明山风光摄影大赛”，共收到全国各地摄影爱好者参评作品2000余幅，入选照片141幅，通过评选，评出一、二、三等奖，目前全部陈列在摄影展馆内。内容主要分为两大部分，第一部分为阳明山春夏秋冬四季的风光摄影，第二部分为两岸阳明山交流剪影。规划平时加以维护。</w:t>
      </w:r>
    </w:p>
    <w:p w14:paraId="4B3C02AA">
      <w:pPr>
        <w:pStyle w:val="4"/>
      </w:pPr>
      <w:r>
        <w:t>7.2.2森林康养规划</w:t>
      </w:r>
    </w:p>
    <w:p w14:paraId="583F01A5">
      <w:pPr>
        <w:ind w:firstLine="480"/>
        <w:rPr>
          <w:lang w:eastAsia="zh-CN"/>
        </w:rPr>
      </w:pPr>
      <w:r>
        <w:rPr>
          <w:lang w:eastAsia="zh-CN"/>
        </w:rPr>
        <w:t>双牌县阳明山国有林场可以结合自身资源特色，从饮食、文化、医疗、运动四个主题出发，打造适合林场自身发展森林养生产品，创建森林养生基地。</w:t>
      </w:r>
    </w:p>
    <w:p w14:paraId="042EFCD9">
      <w:pPr>
        <w:ind w:firstLine="480"/>
        <w:rPr>
          <w:lang w:eastAsia="zh-CN"/>
        </w:rPr>
      </w:pPr>
      <w:r>
        <w:rPr>
          <w:rFonts w:hint="eastAsia"/>
          <w:lang w:eastAsia="zh-CN"/>
        </w:rPr>
        <w:t>(1)</w:t>
      </w:r>
      <w:r>
        <w:rPr>
          <w:lang w:eastAsia="zh-CN"/>
        </w:rPr>
        <w:t>饮食养生</w:t>
      </w:r>
    </w:p>
    <w:p w14:paraId="19A6C582">
      <w:pPr>
        <w:ind w:firstLine="480"/>
        <w:rPr>
          <w:lang w:eastAsia="zh-CN"/>
        </w:rPr>
      </w:pPr>
      <w:r>
        <w:rPr>
          <w:lang w:eastAsia="zh-CN"/>
        </w:rPr>
        <w:t>饮食养生，是我国中医传统理论之一，重在</w:t>
      </w:r>
      <w:r>
        <w:rPr>
          <w:rFonts w:hint="eastAsia"/>
          <w:lang w:eastAsia="zh-CN"/>
        </w:rPr>
        <w:t>“</w:t>
      </w:r>
      <w:r>
        <w:rPr>
          <w:lang w:eastAsia="zh-CN"/>
        </w:rPr>
        <w:t>食养</w:t>
      </w:r>
      <w:r>
        <w:rPr>
          <w:rFonts w:hint="eastAsia"/>
          <w:lang w:eastAsia="zh-CN"/>
        </w:rPr>
        <w:t>”</w:t>
      </w:r>
      <w:r>
        <w:rPr>
          <w:lang w:eastAsia="zh-CN"/>
        </w:rPr>
        <w:t>，我国著名医者张锡纯就曾在《医学衷中参西录》中提出，食物不仅可以给病人治病，还能果腹，而且味道可以做的很可口，能帮助病人慢慢治愈，即使食物不能治好病，也不存在安全隐患。在饮食养生方面，国有林场植物资源丰富，优势明显，可以根据植物的不同药用价值，配置养生食谱，进行药膳食疗；利用森林良好环境，发展林下种植、养殖，为饮食养生提供有机绿色食材，以及各类养生保健品，如大枣、茶叶、石斛等，同时促进林场林下经济发展。</w:t>
      </w:r>
    </w:p>
    <w:p w14:paraId="2DF3DA4E">
      <w:pPr>
        <w:ind w:firstLine="480"/>
        <w:rPr>
          <w:lang w:eastAsia="zh-CN"/>
        </w:rPr>
      </w:pPr>
      <w:r>
        <w:rPr>
          <w:rFonts w:hint="eastAsia"/>
          <w:lang w:eastAsia="zh-CN"/>
        </w:rPr>
        <w:t>(2)</w:t>
      </w:r>
      <w:r>
        <w:rPr>
          <w:lang w:eastAsia="zh-CN"/>
        </w:rPr>
        <w:t>文化养生</w:t>
      </w:r>
    </w:p>
    <w:p w14:paraId="7F0AA026">
      <w:pPr>
        <w:ind w:firstLine="480"/>
        <w:rPr>
          <w:lang w:eastAsia="zh-CN"/>
        </w:rPr>
      </w:pPr>
      <w:r>
        <w:rPr>
          <w:lang w:eastAsia="zh-CN"/>
        </w:rPr>
        <w:t>文化养生，是以林场森林文化资源为基础，利用中华养生文化、民族养生传统、宗教养生理念等，如道家推崇的清静虚无、天人合一、以气养生、精神修炼四大养生法，从心理上给人带来治愈效果，适用于压力大、精神紧张、有心理问题的人群。</w:t>
      </w:r>
    </w:p>
    <w:p w14:paraId="55AECC63">
      <w:pPr>
        <w:ind w:firstLine="480"/>
        <w:rPr>
          <w:lang w:eastAsia="zh-CN"/>
        </w:rPr>
      </w:pPr>
      <w:r>
        <w:rPr>
          <w:rFonts w:hint="eastAsia"/>
          <w:lang w:eastAsia="zh-CN"/>
        </w:rPr>
        <w:t>(3)</w:t>
      </w:r>
      <w:r>
        <w:rPr>
          <w:lang w:eastAsia="zh-CN"/>
        </w:rPr>
        <w:t>医疗养生</w:t>
      </w:r>
    </w:p>
    <w:p w14:paraId="2DE3D219">
      <w:pPr>
        <w:ind w:firstLine="480"/>
        <w:rPr>
          <w:lang w:eastAsia="zh-CN"/>
        </w:rPr>
      </w:pPr>
      <w:r>
        <w:rPr>
          <w:lang w:eastAsia="zh-CN"/>
        </w:rPr>
        <w:t>医疗养生在于利用林场优质的生态环境资源，与现代医学进行组合，形成森林医院的方式，充分利用森林中植物精气、空气负离子等特殊物质的杀菌、治疗作用，来辅助患者治疗，提升治疗效果。森林医院可以分为健康评估型、医疗度假型两种类型，分别针对不同需求对象提供服务。</w:t>
      </w:r>
    </w:p>
    <w:p w14:paraId="17FFE4A6">
      <w:pPr>
        <w:ind w:firstLine="480"/>
        <w:rPr>
          <w:lang w:eastAsia="zh-CN"/>
        </w:rPr>
      </w:pPr>
      <w:r>
        <w:rPr>
          <w:rFonts w:hint="eastAsia"/>
          <w:lang w:eastAsia="zh-CN"/>
        </w:rPr>
        <w:t>(4)</w:t>
      </w:r>
      <w:r>
        <w:rPr>
          <w:lang w:eastAsia="zh-CN"/>
        </w:rPr>
        <w:t>运动养生</w:t>
      </w:r>
    </w:p>
    <w:p w14:paraId="4EF3666E">
      <w:pPr>
        <w:ind w:firstLine="480"/>
        <w:rPr>
          <w:lang w:eastAsia="zh-CN"/>
        </w:rPr>
      </w:pPr>
      <w:r>
        <w:rPr>
          <w:lang w:eastAsia="zh-CN"/>
        </w:rPr>
        <w:t>运动养生是指用活动身体的方式维持身体健康、增强体</w:t>
      </w:r>
      <w:r>
        <w:rPr>
          <w:rFonts w:hint="eastAsia"/>
          <w:lang w:eastAsia="zh-CN"/>
        </w:rPr>
        <w:t>质</w:t>
      </w:r>
      <w:r>
        <w:rPr>
          <w:lang w:eastAsia="zh-CN"/>
        </w:rPr>
        <w:t>、延年益寿、减缓衰老的养生方法。林场可利用自身优质的森林环境条件，在不影响森林生态环境的前提下，合理修建健身步道、森林瑜伽平台、森林浴场、自行车赛道等健身设施，为运动养生提供一个舒适的运动环境，同时配合林场解说系统、智能化系统，为游客进行运动养生讲解，并提供个性化的运动养生服务。林场可以结合自身资源从学习型体验、户外探险型体验、休闲型体验三个方面来建设，突出林场自身特色，创建具有自身特色的森林体验基地。</w:t>
      </w:r>
    </w:p>
    <w:p w14:paraId="6AAD77A7">
      <w:pPr>
        <w:pStyle w:val="4"/>
      </w:pPr>
      <w:r>
        <w:t>7.2.3风景林规划</w:t>
      </w:r>
    </w:p>
    <w:p w14:paraId="1BD43EE0">
      <w:pPr>
        <w:ind w:firstLine="480"/>
        <w:rPr>
          <w:lang w:eastAsia="zh-CN"/>
        </w:rPr>
      </w:pPr>
      <w:r>
        <w:rPr>
          <w:rFonts w:hint="eastAsia"/>
          <w:lang w:eastAsia="zh-CN"/>
        </w:rPr>
        <w:t>(1)生态</w:t>
      </w:r>
      <w:r>
        <w:rPr>
          <w:lang w:eastAsia="zh-CN"/>
        </w:rPr>
        <w:t>停车场植物景观规划</w:t>
      </w:r>
    </w:p>
    <w:p w14:paraId="387CDEDB">
      <w:pPr>
        <w:ind w:firstLine="480"/>
        <w:rPr>
          <w:lang w:eastAsia="zh-CN"/>
        </w:rPr>
      </w:pPr>
      <w:r>
        <w:rPr>
          <w:lang w:eastAsia="zh-CN"/>
        </w:rPr>
        <w:t>公园内各</w:t>
      </w:r>
      <w:r>
        <w:rPr>
          <w:rFonts w:hint="eastAsia"/>
          <w:lang w:eastAsia="zh-CN"/>
        </w:rPr>
        <w:t>管理服务区、景区的</w:t>
      </w:r>
      <w:r>
        <w:rPr>
          <w:lang w:eastAsia="zh-CN"/>
        </w:rPr>
        <w:t>停车场周围植物景观很好</w:t>
      </w:r>
      <w:r>
        <w:rPr>
          <w:rFonts w:hint="eastAsia"/>
          <w:lang w:eastAsia="zh-CN"/>
        </w:rPr>
        <w:t>，</w:t>
      </w:r>
      <w:r>
        <w:rPr>
          <w:lang w:eastAsia="zh-CN"/>
        </w:rPr>
        <w:t>一般不需要植物配置，只有少量新建停车场需要进行植物配置</w:t>
      </w:r>
      <w:r>
        <w:rPr>
          <w:rFonts w:hint="eastAsia"/>
          <w:lang w:eastAsia="zh-CN"/>
        </w:rPr>
        <w:t>，</w:t>
      </w:r>
      <w:r>
        <w:rPr>
          <w:lang w:eastAsia="zh-CN"/>
        </w:rPr>
        <w:t>规划面积</w:t>
      </w:r>
      <w:r>
        <w:rPr>
          <w:rFonts w:hint="eastAsia"/>
          <w:lang w:eastAsia="zh-CN"/>
        </w:rPr>
        <w:t>2</w:t>
      </w:r>
      <w:r>
        <w:rPr>
          <w:rFonts w:hint="eastAsia"/>
          <w:lang w:val="zh-CN" w:eastAsia="zh-CN"/>
        </w:rPr>
        <w:t>hm</w:t>
      </w:r>
      <w:r>
        <w:rPr>
          <w:rFonts w:hint="eastAsia"/>
          <w:vertAlign w:val="superscript"/>
          <w:lang w:val="zh-CN" w:eastAsia="zh-CN"/>
        </w:rPr>
        <w:t>2</w:t>
      </w:r>
      <w:r>
        <w:rPr>
          <w:rFonts w:hint="eastAsia"/>
          <w:lang w:eastAsia="zh-CN"/>
        </w:rPr>
        <w:t>，</w:t>
      </w:r>
      <w:r>
        <w:rPr>
          <w:lang w:eastAsia="zh-CN"/>
        </w:rPr>
        <w:t>采用规则式种植高大庇荫乔木，形成疏林生态环保停车场，规划树种有</w:t>
      </w:r>
      <w:r>
        <w:rPr>
          <w:rFonts w:hint="eastAsia"/>
          <w:lang w:eastAsia="zh-CN"/>
        </w:rPr>
        <w:t>杜英</w:t>
      </w:r>
      <w:r>
        <w:rPr>
          <w:lang w:eastAsia="zh-CN"/>
        </w:rPr>
        <w:t>、</w:t>
      </w:r>
      <w:r>
        <w:rPr>
          <w:rFonts w:hint="eastAsia"/>
          <w:lang w:eastAsia="zh-CN"/>
        </w:rPr>
        <w:t>香</w:t>
      </w:r>
      <w:r>
        <w:rPr>
          <w:lang w:eastAsia="zh-CN"/>
        </w:rPr>
        <w:t>樟等。在停车场周边采用乔、灌、草三层形成立体生态林隔离带，既阻隔了噪声和不良景观，又使游人在进入停车场时便感受到浓郁的绿色氛围，其中上层乔木树种的选择是关键，可供选择的树种有樟树、荷花玉兰，灌木主要有小叶女贞、檵木、南天竹等。</w:t>
      </w:r>
    </w:p>
    <w:p w14:paraId="297E5C57">
      <w:pPr>
        <w:ind w:firstLine="480"/>
        <w:rPr>
          <w:lang w:eastAsia="zh-CN"/>
        </w:rPr>
      </w:pPr>
      <w:r>
        <w:rPr>
          <w:rFonts w:hint="eastAsia"/>
          <w:lang w:eastAsia="zh-CN"/>
        </w:rPr>
        <w:t>(2)杜鹃花海景区花海培育</w:t>
      </w:r>
      <w:r>
        <w:rPr>
          <w:lang w:eastAsia="zh-CN"/>
        </w:rPr>
        <w:t>景观规划</w:t>
      </w:r>
    </w:p>
    <w:p w14:paraId="6FA934D8">
      <w:pPr>
        <w:ind w:firstLine="480"/>
        <w:rPr>
          <w:lang w:eastAsia="zh-CN"/>
        </w:rPr>
      </w:pPr>
      <w:r>
        <w:rPr>
          <w:rFonts w:hint="eastAsia"/>
          <w:lang w:eastAsia="zh-CN"/>
        </w:rPr>
        <w:t>杜鹃花海景区</w:t>
      </w:r>
      <w:r>
        <w:rPr>
          <w:lang w:eastAsia="zh-CN"/>
        </w:rPr>
        <w:t>是游客</w:t>
      </w:r>
      <w:r>
        <w:rPr>
          <w:rFonts w:hint="eastAsia"/>
          <w:lang w:eastAsia="zh-CN"/>
        </w:rPr>
        <w:t>观花赏雪的主要</w:t>
      </w:r>
      <w:r>
        <w:rPr>
          <w:lang w:eastAsia="zh-CN"/>
        </w:rPr>
        <w:t>场所。规划</w:t>
      </w:r>
      <w:r>
        <w:rPr>
          <w:rFonts w:hint="eastAsia"/>
          <w:lang w:eastAsia="zh-CN"/>
        </w:rPr>
        <w:t>在万寿山后山、云天阁微波台周边</w:t>
      </w:r>
      <w:r>
        <w:rPr>
          <w:lang w:eastAsia="zh-CN"/>
        </w:rPr>
        <w:t>面积</w:t>
      </w:r>
      <w:r>
        <w:rPr>
          <w:rFonts w:hint="eastAsia"/>
          <w:lang w:eastAsia="zh-CN"/>
        </w:rPr>
        <w:t>60</w:t>
      </w:r>
      <w:r>
        <w:rPr>
          <w:rFonts w:hint="eastAsia"/>
          <w:lang w:val="zh-CN" w:eastAsia="zh-CN"/>
        </w:rPr>
        <w:t>hm</w:t>
      </w:r>
      <w:r>
        <w:rPr>
          <w:rFonts w:hint="eastAsia"/>
          <w:vertAlign w:val="superscript"/>
          <w:lang w:val="zh-CN" w:eastAsia="zh-CN"/>
        </w:rPr>
        <w:t>2</w:t>
      </w:r>
      <w:r>
        <w:rPr>
          <w:rFonts w:hint="eastAsia"/>
          <w:lang w:eastAsia="zh-CN"/>
        </w:rPr>
        <w:t>的范围内</w:t>
      </w:r>
      <w:r>
        <w:rPr>
          <w:lang w:eastAsia="zh-CN"/>
        </w:rPr>
        <w:t>，清除</w:t>
      </w:r>
      <w:r>
        <w:rPr>
          <w:rFonts w:hint="eastAsia"/>
          <w:lang w:eastAsia="zh-CN"/>
        </w:rPr>
        <w:t>杂生</w:t>
      </w:r>
      <w:r>
        <w:rPr>
          <w:lang w:eastAsia="zh-CN"/>
        </w:rPr>
        <w:t>灌木，</w:t>
      </w:r>
      <w:r>
        <w:rPr>
          <w:rFonts w:hint="eastAsia"/>
          <w:lang w:eastAsia="zh-CN"/>
        </w:rPr>
        <w:t>择位补栽云锦杜鹃、鹿角杜鹃、映山红杜鹃、满山红杜鹃，与万寿寺杜鹃花海连成一片，更加突出“天下第一杜鹃红”景色的优美。</w:t>
      </w:r>
    </w:p>
    <w:p w14:paraId="495D27FF">
      <w:pPr>
        <w:ind w:firstLine="480"/>
        <w:rPr>
          <w:lang w:eastAsia="zh-CN"/>
        </w:rPr>
      </w:pPr>
      <w:r>
        <w:rPr>
          <w:rFonts w:hint="eastAsia"/>
          <w:lang w:eastAsia="zh-CN"/>
        </w:rPr>
        <w:t>(3)万和</w:t>
      </w:r>
      <w:r>
        <w:rPr>
          <w:lang w:eastAsia="zh-CN"/>
        </w:rPr>
        <w:t>湖</w:t>
      </w:r>
      <w:r>
        <w:rPr>
          <w:rFonts w:hint="eastAsia"/>
          <w:lang w:eastAsia="zh-CN"/>
        </w:rPr>
        <w:t>景区</w:t>
      </w:r>
      <w:r>
        <w:rPr>
          <w:lang w:eastAsia="zh-CN"/>
        </w:rPr>
        <w:t>植物景观</w:t>
      </w:r>
      <w:r>
        <w:rPr>
          <w:rFonts w:hint="eastAsia"/>
          <w:lang w:eastAsia="zh-CN"/>
        </w:rPr>
        <w:t>培育</w:t>
      </w:r>
      <w:r>
        <w:rPr>
          <w:lang w:eastAsia="zh-CN"/>
        </w:rPr>
        <w:t>规划</w:t>
      </w:r>
    </w:p>
    <w:p w14:paraId="15D44046">
      <w:pPr>
        <w:ind w:firstLine="480"/>
        <w:rPr>
          <w:lang w:eastAsia="zh-CN"/>
        </w:rPr>
      </w:pPr>
      <w:r>
        <w:rPr>
          <w:rFonts w:hint="eastAsia"/>
          <w:lang w:eastAsia="zh-CN"/>
        </w:rPr>
        <w:t>万和</w:t>
      </w:r>
      <w:r>
        <w:rPr>
          <w:lang w:eastAsia="zh-CN"/>
        </w:rPr>
        <w:t>湖为人工筑坝形成的人工湖，是</w:t>
      </w:r>
      <w:r>
        <w:rPr>
          <w:rFonts w:hint="eastAsia"/>
          <w:lang w:eastAsia="zh-CN"/>
        </w:rPr>
        <w:t>万和湖景区</w:t>
      </w:r>
      <w:r>
        <w:rPr>
          <w:lang w:eastAsia="zh-CN"/>
        </w:rPr>
        <w:t>的主要景观</w:t>
      </w:r>
      <w:r>
        <w:rPr>
          <w:rFonts w:hint="eastAsia"/>
          <w:lang w:eastAsia="zh-CN"/>
        </w:rPr>
        <w:t>载</w:t>
      </w:r>
      <w:r>
        <w:rPr>
          <w:lang w:eastAsia="zh-CN"/>
        </w:rPr>
        <w:t>体，规划在</w:t>
      </w:r>
      <w:r>
        <w:rPr>
          <w:rFonts w:hint="eastAsia"/>
          <w:lang w:eastAsia="zh-CN"/>
        </w:rPr>
        <w:t>万和</w:t>
      </w:r>
      <w:r>
        <w:rPr>
          <w:lang w:eastAsia="zh-CN"/>
        </w:rPr>
        <w:t>湖</w:t>
      </w:r>
      <w:r>
        <w:rPr>
          <w:rFonts w:hint="eastAsia"/>
          <w:lang w:eastAsia="zh-CN"/>
        </w:rPr>
        <w:t>樱花谷</w:t>
      </w:r>
      <w:r>
        <w:rPr>
          <w:lang w:eastAsia="zh-CN"/>
        </w:rPr>
        <w:t>栽植</w:t>
      </w:r>
      <w:r>
        <w:rPr>
          <w:rFonts w:hint="eastAsia"/>
          <w:lang w:eastAsia="zh-CN"/>
        </w:rPr>
        <w:t>樱花</w:t>
      </w:r>
      <w:r>
        <w:rPr>
          <w:lang w:eastAsia="zh-CN"/>
        </w:rPr>
        <w:t>，邻近水域栽植</w:t>
      </w:r>
      <w:r>
        <w:rPr>
          <w:rFonts w:hint="eastAsia"/>
          <w:lang w:eastAsia="zh-CN"/>
        </w:rPr>
        <w:t>云锦杜鹃</w:t>
      </w:r>
      <w:r>
        <w:rPr>
          <w:lang w:eastAsia="zh-CN"/>
        </w:rPr>
        <w:t>、</w:t>
      </w:r>
      <w:r>
        <w:rPr>
          <w:rFonts w:hint="eastAsia"/>
          <w:lang w:eastAsia="zh-CN"/>
        </w:rPr>
        <w:t>映山红杜鹃</w:t>
      </w:r>
      <w:r>
        <w:rPr>
          <w:lang w:eastAsia="zh-CN"/>
        </w:rPr>
        <w:t>，浅水区栽植荻、芦苇，浮叶植物栽植荷花等，营造秀美的</w:t>
      </w:r>
      <w:r>
        <w:rPr>
          <w:rFonts w:hint="eastAsia"/>
          <w:lang w:eastAsia="zh-CN"/>
        </w:rPr>
        <w:t>旅游节会</w:t>
      </w:r>
      <w:r>
        <w:rPr>
          <w:lang w:eastAsia="zh-CN"/>
        </w:rPr>
        <w:t>植物景观。</w:t>
      </w:r>
    </w:p>
    <w:p w14:paraId="0AB280B8">
      <w:pPr>
        <w:ind w:firstLine="480"/>
        <w:rPr>
          <w:lang w:eastAsia="zh-CN"/>
        </w:rPr>
      </w:pPr>
      <w:r>
        <w:rPr>
          <w:rFonts w:hint="eastAsia"/>
          <w:lang w:eastAsia="zh-CN"/>
        </w:rPr>
        <w:t>(4)</w:t>
      </w:r>
      <w:r>
        <w:rPr>
          <w:lang w:eastAsia="zh-CN"/>
        </w:rPr>
        <w:t>公路与游道绿化规划</w:t>
      </w:r>
    </w:p>
    <w:p w14:paraId="7D00CAA9">
      <w:pPr>
        <w:ind w:firstLine="480"/>
        <w:rPr>
          <w:lang w:eastAsia="zh-CN"/>
        </w:rPr>
      </w:pPr>
      <w:r>
        <w:rPr>
          <w:lang w:eastAsia="zh-CN"/>
        </w:rPr>
        <w:t>森林公园</w:t>
      </w:r>
      <w:r>
        <w:rPr>
          <w:rFonts w:hint="eastAsia"/>
          <w:lang w:eastAsia="zh-CN"/>
        </w:rPr>
        <w:t>内</w:t>
      </w:r>
      <w:r>
        <w:rPr>
          <w:lang w:eastAsia="zh-CN"/>
        </w:rPr>
        <w:t>主要有两条</w:t>
      </w:r>
      <w:r>
        <w:rPr>
          <w:rFonts w:hint="eastAsia"/>
          <w:lang w:eastAsia="zh-CN"/>
        </w:rPr>
        <w:t>旅游公</w:t>
      </w:r>
      <w:r>
        <w:rPr>
          <w:lang w:eastAsia="zh-CN"/>
        </w:rPr>
        <w:t>路，一条是西边的</w:t>
      </w:r>
      <w:r>
        <w:rPr>
          <w:rFonts w:hint="eastAsia"/>
          <w:lang w:eastAsia="zh-CN"/>
        </w:rPr>
        <w:t>茶阳公路</w:t>
      </w:r>
      <w:r>
        <w:rPr>
          <w:lang w:eastAsia="zh-CN"/>
        </w:rPr>
        <w:t>，一条是</w:t>
      </w:r>
      <w:r>
        <w:rPr>
          <w:rFonts w:hint="eastAsia"/>
          <w:lang w:eastAsia="zh-CN"/>
        </w:rPr>
        <w:t>西南</w:t>
      </w:r>
      <w:r>
        <w:rPr>
          <w:lang w:eastAsia="zh-CN"/>
        </w:rPr>
        <w:t>的</w:t>
      </w:r>
      <w:r>
        <w:rPr>
          <w:rFonts w:hint="eastAsia"/>
          <w:lang w:eastAsia="zh-CN"/>
        </w:rPr>
        <w:t>红阳</w:t>
      </w:r>
      <w:r>
        <w:rPr>
          <w:lang w:eastAsia="zh-CN"/>
        </w:rPr>
        <w:t>公路</w:t>
      </w:r>
      <w:r>
        <w:rPr>
          <w:rFonts w:hint="eastAsia"/>
          <w:lang w:eastAsia="zh-CN"/>
        </w:rPr>
        <w:t>，红阳</w:t>
      </w:r>
      <w:r>
        <w:rPr>
          <w:lang w:eastAsia="zh-CN"/>
        </w:rPr>
        <w:t>公路</w:t>
      </w:r>
      <w:r>
        <w:rPr>
          <w:rFonts w:hint="eastAsia"/>
          <w:lang w:eastAsia="zh-CN"/>
        </w:rPr>
        <w:t>的</w:t>
      </w:r>
      <w:r>
        <w:rPr>
          <w:lang w:eastAsia="zh-CN"/>
        </w:rPr>
        <w:t>绿化是公园景观规划中重要的组成部分。全园公路绿化长度</w:t>
      </w:r>
      <w:r>
        <w:rPr>
          <w:rFonts w:hint="eastAsia"/>
          <w:lang w:eastAsia="zh-CN"/>
        </w:rPr>
        <w:t>50</w:t>
      </w:r>
      <w:r>
        <w:rPr>
          <w:lang w:eastAsia="zh-CN"/>
        </w:rPr>
        <w:t>km，拐角处以造型小乔木和花灌木为主，以便</w:t>
      </w:r>
      <w:r>
        <w:rPr>
          <w:rFonts w:hint="eastAsia"/>
          <w:lang w:eastAsia="zh-CN"/>
        </w:rPr>
        <w:t>开阔视野</w:t>
      </w:r>
      <w:r>
        <w:rPr>
          <w:lang w:eastAsia="zh-CN"/>
        </w:rPr>
        <w:t>；其余地段以高大、树冠开展的常绿树种为主，同时配植花灌木；岩石裸露的陡峭地段，以藤本植物为主。规划乔木树种有樟树、</w:t>
      </w:r>
      <w:r>
        <w:rPr>
          <w:rFonts w:hint="eastAsia"/>
          <w:lang w:eastAsia="zh-CN"/>
        </w:rPr>
        <w:t>景叶白</w:t>
      </w:r>
      <w:r>
        <w:rPr>
          <w:lang w:eastAsia="zh-CN"/>
        </w:rPr>
        <w:t>兰、栾树、朴树、杜英等；灌木有紫薇、</w:t>
      </w:r>
      <w:r>
        <w:rPr>
          <w:rFonts w:hint="eastAsia"/>
          <w:lang w:eastAsia="zh-CN"/>
        </w:rPr>
        <w:t>檵木、金边六月雪、红叶石楠等；</w:t>
      </w:r>
      <w:r>
        <w:rPr>
          <w:lang w:eastAsia="zh-CN"/>
        </w:rPr>
        <w:t>藤本、草本植物有野迎春、金银花、爬山虎等。</w:t>
      </w:r>
    </w:p>
    <w:p w14:paraId="226BC1F6">
      <w:pPr>
        <w:ind w:firstLine="480"/>
        <w:rPr>
          <w:lang w:eastAsia="zh-CN"/>
        </w:rPr>
      </w:pPr>
      <w:r>
        <w:rPr>
          <w:rFonts w:hint="eastAsia"/>
          <w:lang w:eastAsia="zh-CN"/>
        </w:rPr>
        <w:t>(5)</w:t>
      </w:r>
      <w:r>
        <w:rPr>
          <w:lang w:eastAsia="zh-CN"/>
        </w:rPr>
        <w:t>管理服务区植物规划</w:t>
      </w:r>
    </w:p>
    <w:p w14:paraId="1AFCCAEB">
      <w:pPr>
        <w:ind w:firstLine="480"/>
        <w:rPr>
          <w:lang w:eastAsia="zh-CN"/>
        </w:rPr>
      </w:pPr>
      <w:r>
        <w:rPr>
          <w:lang w:eastAsia="zh-CN"/>
        </w:rPr>
        <w:t>管理服务区包括</w:t>
      </w:r>
      <w:r>
        <w:rPr>
          <w:rFonts w:hint="eastAsia"/>
          <w:lang w:eastAsia="zh-CN"/>
        </w:rPr>
        <w:t>万寿寺、万和湖、黄江源和黄柏洞4个</w:t>
      </w:r>
      <w:r>
        <w:rPr>
          <w:lang w:eastAsia="zh-CN"/>
        </w:rPr>
        <w:t>。</w:t>
      </w:r>
      <w:r>
        <w:rPr>
          <w:rFonts w:hint="eastAsia"/>
          <w:lang w:eastAsia="zh-CN"/>
        </w:rPr>
        <w:t>黄柏洞</w:t>
      </w:r>
      <w:r>
        <w:rPr>
          <w:lang w:eastAsia="zh-CN"/>
        </w:rPr>
        <w:t>管理服务区人流量大，布局以开敞空间为主，适当选择观赏性强的乡土绿化树种，绿化以规则式栽植为主，配以少量剪形植物。花卉则以花镜、花坛、花钵、花斗等形式，并结合不同形式的艺术搭配，装点环境，烘托热烈、祥和、欢快的氛围。植物景观规划面积</w:t>
      </w:r>
      <w:r>
        <w:rPr>
          <w:rFonts w:hint="eastAsia"/>
          <w:lang w:eastAsia="zh-CN"/>
        </w:rPr>
        <w:t>1.0</w:t>
      </w:r>
      <w:r>
        <w:rPr>
          <w:rFonts w:hint="eastAsia"/>
          <w:lang w:val="zh-CN" w:eastAsia="zh-CN"/>
        </w:rPr>
        <w:t>hm</w:t>
      </w:r>
      <w:r>
        <w:rPr>
          <w:rFonts w:hint="eastAsia"/>
          <w:vertAlign w:val="superscript"/>
          <w:lang w:val="zh-CN" w:eastAsia="zh-CN"/>
        </w:rPr>
        <w:t>2</w:t>
      </w:r>
      <w:r>
        <w:rPr>
          <w:lang w:eastAsia="zh-CN"/>
        </w:rPr>
        <w:t>。</w:t>
      </w:r>
    </w:p>
    <w:p w14:paraId="6F0156F6">
      <w:pPr>
        <w:ind w:firstLine="480"/>
        <w:rPr>
          <w:lang w:eastAsia="zh-CN"/>
        </w:rPr>
      </w:pPr>
      <w:r>
        <w:rPr>
          <w:rFonts w:hint="eastAsia"/>
          <w:lang w:eastAsia="zh-CN"/>
        </w:rPr>
        <w:t>杜鹃花海管理服务区</w:t>
      </w:r>
      <w:r>
        <w:rPr>
          <w:lang w:eastAsia="zh-CN"/>
        </w:rPr>
        <w:t>植物规划最重要的是做到与周围建筑及其环境相协调，采用乔、灌、藤、草相结合的形式，创建立体景观效果。规划乔木</w:t>
      </w:r>
      <w:r>
        <w:rPr>
          <w:rFonts w:hint="eastAsia"/>
          <w:lang w:eastAsia="zh-CN"/>
        </w:rPr>
        <w:t>树</w:t>
      </w:r>
      <w:r>
        <w:rPr>
          <w:lang w:eastAsia="zh-CN"/>
        </w:rPr>
        <w:t>种有</w:t>
      </w:r>
      <w:r>
        <w:rPr>
          <w:rFonts w:hint="eastAsia"/>
          <w:lang w:eastAsia="zh-CN"/>
        </w:rPr>
        <w:t>景叶</w:t>
      </w:r>
      <w:r>
        <w:rPr>
          <w:lang w:eastAsia="zh-CN"/>
        </w:rPr>
        <w:t>白兰、荷花玉兰、竹柏、醉香含笑、红花木莲等；灌木有锦绣杜鹃、小叶女贞、红叶石楠、小提琴竹、龟背冬青、雀舌黄杨等；藤本植物有紫藤、凌霄花等，草本植物有三色堇、美女樱、大花金鸡菊等。绿化面积</w:t>
      </w:r>
      <w:r>
        <w:rPr>
          <w:rFonts w:hint="eastAsia"/>
          <w:lang w:eastAsia="zh-CN"/>
        </w:rPr>
        <w:t>0.2</w:t>
      </w:r>
      <w:r>
        <w:rPr>
          <w:rFonts w:hint="eastAsia"/>
          <w:lang w:val="zh-CN" w:eastAsia="zh-CN"/>
        </w:rPr>
        <w:t>hm</w:t>
      </w:r>
      <w:r>
        <w:rPr>
          <w:rFonts w:hint="eastAsia"/>
          <w:vertAlign w:val="superscript"/>
          <w:lang w:val="zh-CN" w:eastAsia="zh-CN"/>
        </w:rPr>
        <w:t>2</w:t>
      </w:r>
      <w:r>
        <w:rPr>
          <w:lang w:eastAsia="zh-CN"/>
        </w:rPr>
        <w:t>。</w:t>
      </w:r>
    </w:p>
    <w:p w14:paraId="2172010C">
      <w:pPr>
        <w:ind w:firstLine="480"/>
        <w:rPr>
          <w:lang w:eastAsia="zh-CN"/>
        </w:rPr>
      </w:pPr>
      <w:r>
        <w:rPr>
          <w:rFonts w:hint="eastAsia"/>
          <w:lang w:eastAsia="zh-CN"/>
        </w:rPr>
        <w:t>黄江源</w:t>
      </w:r>
      <w:r>
        <w:rPr>
          <w:lang w:eastAsia="zh-CN"/>
        </w:rPr>
        <w:t>管理服务区主要是森林康养服务中心植物景观规划，绿化面积0.</w:t>
      </w:r>
      <w:r>
        <w:rPr>
          <w:rFonts w:hint="eastAsia"/>
          <w:lang w:eastAsia="zh-CN"/>
        </w:rPr>
        <w:t>5</w:t>
      </w:r>
      <w:r>
        <w:rPr>
          <w:rFonts w:hint="eastAsia"/>
          <w:lang w:val="zh-CN" w:eastAsia="zh-CN"/>
        </w:rPr>
        <w:t>hm</w:t>
      </w:r>
      <w:r>
        <w:rPr>
          <w:rFonts w:hint="eastAsia"/>
          <w:vertAlign w:val="superscript"/>
          <w:lang w:val="zh-CN" w:eastAsia="zh-CN"/>
        </w:rPr>
        <w:t>2</w:t>
      </w:r>
      <w:r>
        <w:rPr>
          <w:lang w:eastAsia="zh-CN"/>
        </w:rPr>
        <w:t>。规划乔木树种主要</w:t>
      </w:r>
      <w:r>
        <w:rPr>
          <w:rFonts w:hint="eastAsia"/>
          <w:lang w:eastAsia="zh-CN"/>
        </w:rPr>
        <w:t>景叶</w:t>
      </w:r>
      <w:r>
        <w:rPr>
          <w:lang w:eastAsia="zh-CN"/>
        </w:rPr>
        <w:t>白兰、阔瓣含笑、中华槭等，灌木树种主要有紫</w:t>
      </w:r>
      <w:r>
        <w:rPr>
          <w:rFonts w:hint="eastAsia"/>
          <w:lang w:eastAsia="zh-CN"/>
        </w:rPr>
        <w:t>薇</w:t>
      </w:r>
      <w:r>
        <w:rPr>
          <w:lang w:eastAsia="zh-CN"/>
        </w:rPr>
        <w:t>、锦绣杜鹃、米仔兰、红叶石楠、花叶柳等，草本植物主要有吉祥草、麦冬、沿阶草、天胡荽等多年生草本，葱兰、韭兰、石竹、矮牵牛、万寿菊等一年生花卉。</w:t>
      </w:r>
    </w:p>
    <w:p w14:paraId="2D9EEF92">
      <w:pPr>
        <w:ind w:firstLine="480"/>
        <w:rPr>
          <w:lang w:eastAsia="zh-CN"/>
        </w:rPr>
      </w:pPr>
      <w:r>
        <w:rPr>
          <w:rFonts w:hint="eastAsia"/>
          <w:lang w:eastAsia="zh-CN"/>
        </w:rPr>
        <w:t>万和湖</w:t>
      </w:r>
      <w:r>
        <w:rPr>
          <w:lang w:eastAsia="zh-CN"/>
        </w:rPr>
        <w:t>管理服务区</w:t>
      </w:r>
      <w:r>
        <w:rPr>
          <w:rFonts w:hint="eastAsia"/>
          <w:lang w:eastAsia="zh-CN"/>
        </w:rPr>
        <w:t>主要</w:t>
      </w:r>
      <w:r>
        <w:rPr>
          <w:lang w:eastAsia="zh-CN"/>
        </w:rPr>
        <w:t>是</w:t>
      </w:r>
      <w:r>
        <w:rPr>
          <w:rFonts w:hint="eastAsia"/>
          <w:lang w:eastAsia="zh-CN"/>
        </w:rPr>
        <w:t>符合“春看花、夏露营、秋赏叶、冬观雪”这一要求，</w:t>
      </w:r>
      <w:r>
        <w:rPr>
          <w:lang w:eastAsia="zh-CN"/>
        </w:rPr>
        <w:t>绿化面积0.</w:t>
      </w:r>
      <w:r>
        <w:rPr>
          <w:rFonts w:hint="eastAsia"/>
          <w:lang w:eastAsia="zh-CN"/>
        </w:rPr>
        <w:t>3</w:t>
      </w:r>
      <w:r>
        <w:rPr>
          <w:rFonts w:hint="eastAsia"/>
          <w:lang w:val="zh-CN" w:eastAsia="zh-CN"/>
        </w:rPr>
        <w:t>hm</w:t>
      </w:r>
      <w:r>
        <w:rPr>
          <w:rFonts w:hint="eastAsia"/>
          <w:vertAlign w:val="superscript"/>
          <w:lang w:val="zh-CN" w:eastAsia="zh-CN"/>
        </w:rPr>
        <w:t>2</w:t>
      </w:r>
      <w:r>
        <w:rPr>
          <w:rFonts w:hint="eastAsia"/>
          <w:lang w:eastAsia="zh-CN"/>
        </w:rPr>
        <w:t>。规划植物应考虑旅游节会氛围，乔木树种以桂花、香樟、楠木、大叶女贞、枫香、银杏等；小乔木及灌木有樱花、紫薇、云锦杜鹃、锦绣杜鹃、映山红杜鹃、红叶石楠、檵木等；水生植物有</w:t>
      </w:r>
      <w:r>
        <w:rPr>
          <w:lang w:eastAsia="zh-CN"/>
        </w:rPr>
        <w:t>荻、芦苇</w:t>
      </w:r>
      <w:r>
        <w:rPr>
          <w:rFonts w:hint="eastAsia"/>
          <w:lang w:eastAsia="zh-CN"/>
        </w:rPr>
        <w:t>、荷花等。</w:t>
      </w:r>
    </w:p>
    <w:p w14:paraId="45596F15">
      <w:pPr>
        <w:ind w:firstLine="480"/>
        <w:rPr>
          <w:lang w:eastAsia="zh-CN"/>
        </w:rPr>
      </w:pPr>
      <w:r>
        <w:rPr>
          <w:rFonts w:hint="eastAsia"/>
          <w:lang w:eastAsia="zh-CN"/>
        </w:rPr>
        <w:t>(6)河流绿化植物规划</w:t>
      </w:r>
    </w:p>
    <w:p w14:paraId="13075791">
      <w:pPr>
        <w:ind w:firstLine="480"/>
        <w:rPr>
          <w:lang w:eastAsia="zh-CN"/>
        </w:rPr>
      </w:pPr>
      <w:r>
        <w:rPr>
          <w:rFonts w:hint="eastAsia"/>
          <w:lang w:eastAsia="zh-CN"/>
        </w:rPr>
        <w:t>河流两岸以河畔树种或小型乔木为主，如金丝垂柳、合欢、四季桂、茶梅、红叶石楠等，总规划长度10km。详情见表7-1.</w:t>
      </w:r>
    </w:p>
    <w:p w14:paraId="1BB70E79">
      <w:pPr>
        <w:kinsoku/>
        <w:autoSpaceDE/>
        <w:autoSpaceDN/>
        <w:adjustRightInd/>
        <w:snapToGrid/>
        <w:spacing w:line="240" w:lineRule="auto"/>
        <w:ind w:firstLine="0" w:firstLineChars="0"/>
        <w:jc w:val="left"/>
        <w:textAlignment w:val="auto"/>
        <w:rPr>
          <w:rFonts w:eastAsia="黑体"/>
          <w:b/>
          <w:bCs/>
          <w:color w:val="auto"/>
          <w:lang w:eastAsia="zh-CN"/>
        </w:rPr>
      </w:pPr>
      <w:r>
        <w:rPr>
          <w:b/>
          <w:bCs/>
          <w:color w:val="auto"/>
          <w:lang w:eastAsia="zh-CN"/>
        </w:rPr>
        <w:br w:type="page"/>
      </w:r>
    </w:p>
    <w:p w14:paraId="58B305A8">
      <w:pPr>
        <w:pStyle w:val="40"/>
        <w:spacing w:line="240" w:lineRule="auto"/>
        <w:rPr>
          <w:b/>
          <w:bCs/>
          <w:color w:val="auto"/>
          <w:spacing w:val="0"/>
          <w:lang w:eastAsia="zh-CN"/>
        </w:rPr>
      </w:pPr>
      <w:r>
        <w:rPr>
          <w:rFonts w:hint="eastAsia"/>
          <w:b/>
          <w:bCs/>
          <w:color w:val="auto"/>
          <w:spacing w:val="0"/>
          <w:lang w:eastAsia="zh-CN"/>
        </w:rPr>
        <w:t>表</w:t>
      </w:r>
      <w:r>
        <w:rPr>
          <w:rFonts w:cs="Times New Roman"/>
          <w:b/>
          <w:bCs/>
          <w:color w:val="auto"/>
          <w:spacing w:val="0"/>
          <w:lang w:eastAsia="zh-CN"/>
        </w:rPr>
        <w:t>7-</w:t>
      </w:r>
      <w:r>
        <w:rPr>
          <w:rFonts w:hint="eastAsia" w:cs="Times New Roman"/>
          <w:b/>
          <w:bCs/>
          <w:color w:val="auto"/>
          <w:spacing w:val="0"/>
          <w:lang w:eastAsia="zh-CN"/>
        </w:rPr>
        <w:t>1</w:t>
      </w:r>
      <w:r>
        <w:rPr>
          <w:rFonts w:hint="eastAsia"/>
          <w:b/>
          <w:bCs/>
          <w:color w:val="auto"/>
          <w:spacing w:val="0"/>
          <w:lang w:eastAsia="zh-CN"/>
        </w:rPr>
        <w:t>阳明</w:t>
      </w:r>
      <w:r>
        <w:rPr>
          <w:b/>
          <w:bCs/>
          <w:color w:val="auto"/>
          <w:spacing w:val="0"/>
          <w:lang w:eastAsia="zh-CN"/>
        </w:rPr>
        <w:t>山国家森林公园植物景观建设项目</w:t>
      </w:r>
    </w:p>
    <w:tbl>
      <w:tblPr>
        <w:tblStyle w:val="1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4"/>
        <w:gridCol w:w="2537"/>
        <w:gridCol w:w="2816"/>
        <w:gridCol w:w="1327"/>
        <w:gridCol w:w="1090"/>
        <w:gridCol w:w="473"/>
      </w:tblGrid>
      <w:tr w14:paraId="75332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blHeader/>
          <w:jc w:val="center"/>
        </w:trPr>
        <w:tc>
          <w:tcPr>
            <w:tcW w:w="373" w:type="pct"/>
            <w:vAlign w:val="center"/>
          </w:tcPr>
          <w:p w14:paraId="66ECE5BB">
            <w:pPr>
              <w:pStyle w:val="32"/>
              <w:spacing w:line="240" w:lineRule="auto"/>
              <w:ind w:firstLine="0" w:firstLineChars="0"/>
              <w:rPr>
                <w:rFonts w:cs="Times New Roman"/>
                <w:szCs w:val="21"/>
                <w:lang w:eastAsia="zh-CN"/>
              </w:rPr>
            </w:pPr>
            <w:r>
              <w:rPr>
                <w:rFonts w:cs="Times New Roman"/>
                <w:szCs w:val="21"/>
                <w:lang w:eastAsia="zh-CN"/>
              </w:rPr>
              <w:t>序号</w:t>
            </w:r>
          </w:p>
        </w:tc>
        <w:tc>
          <w:tcPr>
            <w:tcW w:w="1424" w:type="pct"/>
            <w:vAlign w:val="center"/>
          </w:tcPr>
          <w:p w14:paraId="29361FC3">
            <w:pPr>
              <w:pStyle w:val="32"/>
              <w:spacing w:line="240" w:lineRule="auto"/>
              <w:ind w:firstLine="0" w:firstLineChars="0"/>
              <w:rPr>
                <w:rFonts w:cs="Times New Roman"/>
                <w:szCs w:val="21"/>
                <w:lang w:eastAsia="zh-CN"/>
              </w:rPr>
            </w:pPr>
            <w:r>
              <w:rPr>
                <w:rFonts w:cs="Times New Roman"/>
                <w:szCs w:val="21"/>
                <w:lang w:eastAsia="zh-CN"/>
              </w:rPr>
              <w:t>建设项目</w:t>
            </w:r>
          </w:p>
        </w:tc>
        <w:tc>
          <w:tcPr>
            <w:tcW w:w="1581" w:type="pct"/>
            <w:vAlign w:val="center"/>
          </w:tcPr>
          <w:p w14:paraId="1C6D33BD">
            <w:pPr>
              <w:pStyle w:val="32"/>
              <w:spacing w:line="240" w:lineRule="auto"/>
              <w:ind w:firstLine="0" w:firstLineChars="0"/>
              <w:rPr>
                <w:rFonts w:cs="Times New Roman"/>
                <w:szCs w:val="21"/>
                <w:lang w:eastAsia="zh-CN"/>
              </w:rPr>
            </w:pPr>
            <w:r>
              <w:rPr>
                <w:rFonts w:cs="Times New Roman"/>
                <w:szCs w:val="21"/>
                <w:lang w:eastAsia="zh-CN"/>
              </w:rPr>
              <w:t>建设地点</w:t>
            </w:r>
          </w:p>
        </w:tc>
        <w:tc>
          <w:tcPr>
            <w:tcW w:w="745" w:type="pct"/>
            <w:vAlign w:val="center"/>
          </w:tcPr>
          <w:p w14:paraId="2466A078">
            <w:pPr>
              <w:pStyle w:val="32"/>
              <w:spacing w:line="240" w:lineRule="auto"/>
              <w:ind w:firstLine="0" w:firstLineChars="0"/>
              <w:rPr>
                <w:rFonts w:cs="Times New Roman"/>
                <w:szCs w:val="21"/>
                <w:lang w:eastAsia="zh-CN"/>
              </w:rPr>
            </w:pPr>
            <w:r>
              <w:rPr>
                <w:rFonts w:cs="Times New Roman"/>
                <w:szCs w:val="21"/>
                <w:lang w:eastAsia="zh-CN"/>
              </w:rPr>
              <w:t>规格要求</w:t>
            </w:r>
          </w:p>
        </w:tc>
        <w:tc>
          <w:tcPr>
            <w:tcW w:w="612" w:type="pct"/>
            <w:vAlign w:val="center"/>
          </w:tcPr>
          <w:p w14:paraId="1026E806">
            <w:pPr>
              <w:pStyle w:val="32"/>
              <w:spacing w:line="240" w:lineRule="auto"/>
              <w:ind w:firstLine="0" w:firstLineChars="0"/>
              <w:rPr>
                <w:rFonts w:cs="Times New Roman"/>
                <w:szCs w:val="21"/>
                <w:lang w:eastAsia="zh-CN"/>
              </w:rPr>
            </w:pPr>
            <w:r>
              <w:rPr>
                <w:rFonts w:cs="Times New Roman"/>
                <w:szCs w:val="21"/>
                <w:lang w:eastAsia="zh-CN"/>
              </w:rPr>
              <w:t>单位</w:t>
            </w:r>
          </w:p>
        </w:tc>
        <w:tc>
          <w:tcPr>
            <w:tcW w:w="265" w:type="pct"/>
            <w:vAlign w:val="center"/>
          </w:tcPr>
          <w:p w14:paraId="3F9FEC25">
            <w:pPr>
              <w:pStyle w:val="32"/>
              <w:spacing w:line="240" w:lineRule="auto"/>
              <w:ind w:firstLine="0" w:firstLineChars="0"/>
              <w:rPr>
                <w:rFonts w:cs="Times New Roman"/>
                <w:szCs w:val="21"/>
                <w:lang w:eastAsia="zh-CN"/>
              </w:rPr>
            </w:pPr>
            <w:r>
              <w:rPr>
                <w:rFonts w:cs="Times New Roman"/>
                <w:szCs w:val="21"/>
                <w:lang w:eastAsia="zh-CN"/>
              </w:rPr>
              <w:t>数量</w:t>
            </w:r>
          </w:p>
        </w:tc>
      </w:tr>
      <w:tr w14:paraId="3E995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373" w:type="pct"/>
            <w:vAlign w:val="center"/>
          </w:tcPr>
          <w:p w14:paraId="46CFAA79">
            <w:pPr>
              <w:pStyle w:val="32"/>
              <w:spacing w:line="240" w:lineRule="auto"/>
              <w:ind w:firstLine="0" w:firstLineChars="0"/>
              <w:rPr>
                <w:rFonts w:cs="Times New Roman"/>
                <w:szCs w:val="21"/>
                <w:lang w:eastAsia="zh-CN"/>
              </w:rPr>
            </w:pPr>
            <w:r>
              <w:rPr>
                <w:rFonts w:cs="Times New Roman"/>
                <w:szCs w:val="21"/>
                <w:lang w:eastAsia="zh-CN"/>
              </w:rPr>
              <w:t>1</w:t>
            </w:r>
          </w:p>
        </w:tc>
        <w:tc>
          <w:tcPr>
            <w:tcW w:w="1424" w:type="pct"/>
            <w:vAlign w:val="center"/>
          </w:tcPr>
          <w:p w14:paraId="27CBC058">
            <w:pPr>
              <w:spacing w:line="240" w:lineRule="auto"/>
              <w:ind w:firstLine="0" w:firstLineChars="0"/>
              <w:jc w:val="center"/>
              <w:rPr>
                <w:rFonts w:cs="Times New Roman"/>
                <w:sz w:val="21"/>
              </w:rPr>
            </w:pPr>
            <w:r>
              <w:rPr>
                <w:rFonts w:cs="Times New Roman"/>
                <w:sz w:val="21"/>
              </w:rPr>
              <w:t>停车场植物景观规划</w:t>
            </w:r>
          </w:p>
        </w:tc>
        <w:tc>
          <w:tcPr>
            <w:tcW w:w="1581" w:type="pct"/>
            <w:vAlign w:val="center"/>
          </w:tcPr>
          <w:p w14:paraId="4E9EC862">
            <w:pPr>
              <w:spacing w:line="240" w:lineRule="auto"/>
              <w:ind w:firstLine="0" w:firstLineChars="0"/>
              <w:jc w:val="center"/>
              <w:rPr>
                <w:rFonts w:cs="Times New Roman"/>
                <w:sz w:val="21"/>
              </w:rPr>
            </w:pPr>
            <w:r>
              <w:rPr>
                <w:rFonts w:cs="Times New Roman"/>
                <w:sz w:val="21"/>
              </w:rPr>
              <w:t>管理服务区、景区</w:t>
            </w:r>
          </w:p>
        </w:tc>
        <w:tc>
          <w:tcPr>
            <w:tcW w:w="745" w:type="pct"/>
            <w:vAlign w:val="center"/>
          </w:tcPr>
          <w:p w14:paraId="3C7A3E54">
            <w:pPr>
              <w:pStyle w:val="32"/>
              <w:spacing w:line="240" w:lineRule="auto"/>
              <w:ind w:firstLine="0" w:firstLineChars="0"/>
              <w:rPr>
                <w:rFonts w:cs="Times New Roman"/>
                <w:szCs w:val="21"/>
                <w:lang w:eastAsia="zh-CN"/>
              </w:rPr>
            </w:pPr>
            <w:r>
              <w:rPr>
                <w:rFonts w:cs="Times New Roman"/>
                <w:szCs w:val="21"/>
                <w:lang w:eastAsia="zh-CN"/>
              </w:rPr>
              <w:t>按设计</w:t>
            </w:r>
          </w:p>
        </w:tc>
        <w:tc>
          <w:tcPr>
            <w:tcW w:w="612" w:type="pct"/>
            <w:vAlign w:val="center"/>
          </w:tcPr>
          <w:p w14:paraId="38B5F77B">
            <w:pPr>
              <w:spacing w:line="240" w:lineRule="auto"/>
              <w:ind w:firstLine="0" w:firstLineChars="0"/>
              <w:jc w:val="center"/>
              <w:rPr>
                <w:rFonts w:cs="Times New Roman"/>
                <w:sz w:val="21"/>
              </w:rPr>
            </w:pPr>
            <w:r>
              <w:rPr>
                <w:rFonts w:hint="eastAsia" w:cs="Times New Roman"/>
                <w:sz w:val="21"/>
                <w:szCs w:val="24"/>
                <w:lang w:val="zh-CN" w:eastAsia="zh-CN"/>
              </w:rPr>
              <w:t>hm</w:t>
            </w:r>
            <w:r>
              <w:rPr>
                <w:rFonts w:hint="eastAsia" w:cs="Times New Roman"/>
                <w:sz w:val="21"/>
                <w:szCs w:val="24"/>
                <w:vertAlign w:val="superscript"/>
                <w:lang w:val="zh-CN" w:eastAsia="zh-CN"/>
              </w:rPr>
              <w:t>2</w:t>
            </w:r>
          </w:p>
        </w:tc>
        <w:tc>
          <w:tcPr>
            <w:tcW w:w="265" w:type="pct"/>
            <w:vAlign w:val="center"/>
          </w:tcPr>
          <w:p w14:paraId="37E3F0CB">
            <w:pPr>
              <w:spacing w:line="240" w:lineRule="auto"/>
              <w:ind w:firstLine="0" w:firstLineChars="0"/>
              <w:jc w:val="center"/>
              <w:rPr>
                <w:rFonts w:cs="Times New Roman"/>
                <w:sz w:val="21"/>
              </w:rPr>
            </w:pPr>
            <w:r>
              <w:rPr>
                <w:rFonts w:cs="Times New Roman"/>
                <w:sz w:val="21"/>
              </w:rPr>
              <w:t>2</w:t>
            </w:r>
          </w:p>
        </w:tc>
      </w:tr>
      <w:tr w14:paraId="2047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373" w:type="pct"/>
            <w:vAlign w:val="center"/>
          </w:tcPr>
          <w:p w14:paraId="1CABD66C">
            <w:pPr>
              <w:pStyle w:val="32"/>
              <w:spacing w:line="240" w:lineRule="auto"/>
              <w:ind w:firstLine="0" w:firstLineChars="0"/>
              <w:rPr>
                <w:rFonts w:cs="Times New Roman"/>
                <w:szCs w:val="21"/>
                <w:lang w:eastAsia="zh-CN"/>
              </w:rPr>
            </w:pPr>
            <w:r>
              <w:rPr>
                <w:rFonts w:cs="Times New Roman"/>
                <w:szCs w:val="21"/>
                <w:lang w:eastAsia="zh-CN"/>
              </w:rPr>
              <w:t>2</w:t>
            </w:r>
          </w:p>
        </w:tc>
        <w:tc>
          <w:tcPr>
            <w:tcW w:w="1424" w:type="pct"/>
            <w:vAlign w:val="center"/>
          </w:tcPr>
          <w:p w14:paraId="074DAA88">
            <w:pPr>
              <w:spacing w:line="240" w:lineRule="auto"/>
              <w:ind w:firstLine="0" w:firstLineChars="0"/>
              <w:jc w:val="center"/>
              <w:rPr>
                <w:rFonts w:cs="Times New Roman"/>
                <w:sz w:val="21"/>
                <w:lang w:eastAsia="zh-CN"/>
              </w:rPr>
            </w:pPr>
            <w:r>
              <w:rPr>
                <w:rFonts w:cs="Times New Roman"/>
                <w:sz w:val="21"/>
                <w:lang w:eastAsia="zh-CN"/>
              </w:rPr>
              <w:t>万寿寺植物景观培育规划</w:t>
            </w:r>
          </w:p>
        </w:tc>
        <w:tc>
          <w:tcPr>
            <w:tcW w:w="1581" w:type="pct"/>
            <w:vAlign w:val="center"/>
          </w:tcPr>
          <w:p w14:paraId="4993C6D9">
            <w:pPr>
              <w:spacing w:line="240" w:lineRule="auto"/>
              <w:ind w:firstLine="0" w:firstLineChars="0"/>
              <w:jc w:val="center"/>
              <w:rPr>
                <w:rFonts w:cs="Times New Roman"/>
                <w:sz w:val="21"/>
                <w:lang w:eastAsia="zh-CN"/>
              </w:rPr>
            </w:pPr>
            <w:r>
              <w:rPr>
                <w:rFonts w:cs="Times New Roman"/>
                <w:sz w:val="21"/>
                <w:lang w:eastAsia="zh-CN"/>
              </w:rPr>
              <w:t>微波台周围、万寿寺后山</w:t>
            </w:r>
          </w:p>
        </w:tc>
        <w:tc>
          <w:tcPr>
            <w:tcW w:w="745" w:type="pct"/>
            <w:vAlign w:val="center"/>
          </w:tcPr>
          <w:p w14:paraId="45404973">
            <w:pPr>
              <w:pStyle w:val="32"/>
              <w:spacing w:line="240" w:lineRule="auto"/>
              <w:ind w:firstLine="0" w:firstLineChars="0"/>
              <w:rPr>
                <w:rFonts w:cs="Times New Roman"/>
                <w:szCs w:val="21"/>
                <w:lang w:eastAsia="zh-CN"/>
              </w:rPr>
            </w:pPr>
            <w:r>
              <w:rPr>
                <w:rFonts w:cs="Times New Roman"/>
                <w:szCs w:val="21"/>
                <w:lang w:eastAsia="zh-CN"/>
              </w:rPr>
              <w:t>按设计</w:t>
            </w:r>
          </w:p>
        </w:tc>
        <w:tc>
          <w:tcPr>
            <w:tcW w:w="612" w:type="pct"/>
            <w:vAlign w:val="center"/>
          </w:tcPr>
          <w:p w14:paraId="4E4E99B7">
            <w:pPr>
              <w:spacing w:line="240" w:lineRule="auto"/>
              <w:ind w:firstLine="0" w:firstLineChars="0"/>
              <w:jc w:val="center"/>
              <w:rPr>
                <w:rFonts w:cs="Times New Roman"/>
                <w:sz w:val="21"/>
              </w:rPr>
            </w:pPr>
            <w:r>
              <w:rPr>
                <w:rFonts w:hint="eastAsia" w:cs="Times New Roman"/>
                <w:sz w:val="21"/>
                <w:szCs w:val="24"/>
                <w:lang w:val="zh-CN" w:eastAsia="zh-CN"/>
              </w:rPr>
              <w:t>hm</w:t>
            </w:r>
            <w:r>
              <w:rPr>
                <w:rFonts w:hint="eastAsia" w:cs="Times New Roman"/>
                <w:sz w:val="21"/>
                <w:szCs w:val="24"/>
                <w:vertAlign w:val="superscript"/>
                <w:lang w:val="zh-CN" w:eastAsia="zh-CN"/>
              </w:rPr>
              <w:t>2</w:t>
            </w:r>
          </w:p>
        </w:tc>
        <w:tc>
          <w:tcPr>
            <w:tcW w:w="265" w:type="pct"/>
            <w:vAlign w:val="center"/>
          </w:tcPr>
          <w:p w14:paraId="386BF29F">
            <w:pPr>
              <w:spacing w:line="240" w:lineRule="auto"/>
              <w:ind w:firstLine="0" w:firstLineChars="0"/>
              <w:jc w:val="center"/>
              <w:rPr>
                <w:rFonts w:cs="Times New Roman"/>
                <w:sz w:val="21"/>
              </w:rPr>
            </w:pPr>
            <w:r>
              <w:rPr>
                <w:rFonts w:cs="Times New Roman"/>
                <w:sz w:val="21"/>
              </w:rPr>
              <w:t>60</w:t>
            </w:r>
          </w:p>
        </w:tc>
      </w:tr>
      <w:tr w14:paraId="37EAE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373" w:type="pct"/>
            <w:vAlign w:val="center"/>
          </w:tcPr>
          <w:p w14:paraId="7727EE40">
            <w:pPr>
              <w:pStyle w:val="32"/>
              <w:spacing w:line="240" w:lineRule="auto"/>
              <w:ind w:firstLine="0" w:firstLineChars="0"/>
              <w:rPr>
                <w:rFonts w:cs="Times New Roman"/>
                <w:szCs w:val="21"/>
                <w:lang w:eastAsia="zh-CN"/>
              </w:rPr>
            </w:pPr>
            <w:r>
              <w:rPr>
                <w:rFonts w:cs="Times New Roman"/>
                <w:szCs w:val="21"/>
                <w:lang w:eastAsia="zh-CN"/>
              </w:rPr>
              <w:t>3</w:t>
            </w:r>
          </w:p>
        </w:tc>
        <w:tc>
          <w:tcPr>
            <w:tcW w:w="1424" w:type="pct"/>
            <w:vAlign w:val="center"/>
          </w:tcPr>
          <w:p w14:paraId="51EC0343">
            <w:pPr>
              <w:spacing w:line="240" w:lineRule="auto"/>
              <w:ind w:firstLine="0" w:firstLineChars="0"/>
              <w:jc w:val="center"/>
              <w:rPr>
                <w:rFonts w:cs="Times New Roman"/>
                <w:sz w:val="21"/>
                <w:lang w:eastAsia="zh-CN"/>
              </w:rPr>
            </w:pPr>
            <w:r>
              <w:rPr>
                <w:rFonts w:cs="Times New Roman"/>
                <w:sz w:val="21"/>
                <w:lang w:eastAsia="zh-CN"/>
              </w:rPr>
              <w:t>万和湖植物景观培育规划</w:t>
            </w:r>
          </w:p>
        </w:tc>
        <w:tc>
          <w:tcPr>
            <w:tcW w:w="1581" w:type="pct"/>
            <w:vAlign w:val="center"/>
          </w:tcPr>
          <w:p w14:paraId="6645FE79">
            <w:pPr>
              <w:spacing w:line="240" w:lineRule="auto"/>
              <w:ind w:firstLine="0" w:firstLineChars="0"/>
              <w:jc w:val="center"/>
              <w:rPr>
                <w:rFonts w:cs="Times New Roman"/>
                <w:sz w:val="21"/>
              </w:rPr>
            </w:pPr>
            <w:r>
              <w:rPr>
                <w:rFonts w:cs="Times New Roman"/>
                <w:sz w:val="21"/>
              </w:rPr>
              <w:t>万和湖周围</w:t>
            </w:r>
          </w:p>
        </w:tc>
        <w:tc>
          <w:tcPr>
            <w:tcW w:w="745" w:type="pct"/>
            <w:vAlign w:val="center"/>
          </w:tcPr>
          <w:p w14:paraId="26405FB2">
            <w:pPr>
              <w:pStyle w:val="32"/>
              <w:spacing w:line="240" w:lineRule="auto"/>
              <w:ind w:firstLine="0" w:firstLineChars="0"/>
              <w:rPr>
                <w:rFonts w:cs="Times New Roman"/>
                <w:szCs w:val="21"/>
                <w:lang w:eastAsia="zh-CN"/>
              </w:rPr>
            </w:pPr>
            <w:r>
              <w:rPr>
                <w:rFonts w:cs="Times New Roman"/>
                <w:szCs w:val="21"/>
                <w:lang w:eastAsia="zh-CN"/>
              </w:rPr>
              <w:t>按设计</w:t>
            </w:r>
          </w:p>
        </w:tc>
        <w:tc>
          <w:tcPr>
            <w:tcW w:w="612" w:type="pct"/>
            <w:vAlign w:val="center"/>
          </w:tcPr>
          <w:p w14:paraId="0EA3ED2F">
            <w:pPr>
              <w:spacing w:line="240" w:lineRule="auto"/>
              <w:ind w:firstLine="0" w:firstLineChars="0"/>
              <w:jc w:val="center"/>
              <w:rPr>
                <w:rFonts w:cs="Times New Roman"/>
                <w:sz w:val="21"/>
              </w:rPr>
            </w:pPr>
            <w:r>
              <w:rPr>
                <w:rFonts w:hint="eastAsia" w:cs="Times New Roman"/>
                <w:sz w:val="21"/>
                <w:szCs w:val="24"/>
                <w:lang w:val="zh-CN" w:eastAsia="zh-CN"/>
              </w:rPr>
              <w:t>hm</w:t>
            </w:r>
            <w:r>
              <w:rPr>
                <w:rFonts w:hint="eastAsia" w:cs="Times New Roman"/>
                <w:sz w:val="21"/>
                <w:szCs w:val="24"/>
                <w:vertAlign w:val="superscript"/>
                <w:lang w:val="zh-CN" w:eastAsia="zh-CN"/>
              </w:rPr>
              <w:t>2</w:t>
            </w:r>
          </w:p>
        </w:tc>
        <w:tc>
          <w:tcPr>
            <w:tcW w:w="265" w:type="pct"/>
            <w:vAlign w:val="center"/>
          </w:tcPr>
          <w:p w14:paraId="41CEDC6C">
            <w:pPr>
              <w:spacing w:line="240" w:lineRule="auto"/>
              <w:ind w:firstLine="0" w:firstLineChars="0"/>
              <w:jc w:val="center"/>
              <w:rPr>
                <w:rFonts w:cs="Times New Roman"/>
                <w:sz w:val="21"/>
              </w:rPr>
            </w:pPr>
            <w:r>
              <w:rPr>
                <w:rFonts w:cs="Times New Roman"/>
                <w:sz w:val="21"/>
              </w:rPr>
              <w:t>50</w:t>
            </w:r>
          </w:p>
        </w:tc>
      </w:tr>
      <w:tr w14:paraId="099AA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373" w:type="pct"/>
            <w:vAlign w:val="center"/>
          </w:tcPr>
          <w:p w14:paraId="4972C679">
            <w:pPr>
              <w:pStyle w:val="32"/>
              <w:spacing w:line="240" w:lineRule="auto"/>
              <w:ind w:firstLine="0" w:firstLineChars="0"/>
              <w:rPr>
                <w:rFonts w:cs="Times New Roman"/>
                <w:szCs w:val="21"/>
                <w:lang w:eastAsia="zh-CN"/>
              </w:rPr>
            </w:pPr>
            <w:r>
              <w:rPr>
                <w:rFonts w:cs="Times New Roman"/>
                <w:szCs w:val="21"/>
                <w:lang w:eastAsia="zh-CN"/>
              </w:rPr>
              <w:t>4</w:t>
            </w:r>
          </w:p>
        </w:tc>
        <w:tc>
          <w:tcPr>
            <w:tcW w:w="1424" w:type="pct"/>
            <w:vAlign w:val="center"/>
          </w:tcPr>
          <w:p w14:paraId="5334F688">
            <w:pPr>
              <w:spacing w:line="240" w:lineRule="auto"/>
              <w:ind w:firstLine="0" w:firstLineChars="0"/>
              <w:jc w:val="center"/>
              <w:rPr>
                <w:rFonts w:cs="Times New Roman"/>
                <w:sz w:val="21"/>
              </w:rPr>
            </w:pPr>
            <w:r>
              <w:rPr>
                <w:rFonts w:cs="Times New Roman"/>
                <w:sz w:val="21"/>
              </w:rPr>
              <w:t>旅游公路绿化</w:t>
            </w:r>
          </w:p>
        </w:tc>
        <w:tc>
          <w:tcPr>
            <w:tcW w:w="1581" w:type="pct"/>
            <w:vAlign w:val="center"/>
          </w:tcPr>
          <w:p w14:paraId="31E2B2CC">
            <w:pPr>
              <w:spacing w:line="240" w:lineRule="auto"/>
              <w:ind w:firstLine="0" w:firstLineChars="0"/>
              <w:jc w:val="center"/>
              <w:rPr>
                <w:rFonts w:cs="Times New Roman"/>
                <w:sz w:val="21"/>
              </w:rPr>
            </w:pPr>
            <w:r>
              <w:rPr>
                <w:rFonts w:cs="Times New Roman"/>
                <w:sz w:val="21"/>
              </w:rPr>
              <w:t>全园</w:t>
            </w:r>
          </w:p>
        </w:tc>
        <w:tc>
          <w:tcPr>
            <w:tcW w:w="745" w:type="pct"/>
            <w:vAlign w:val="center"/>
          </w:tcPr>
          <w:p w14:paraId="60F20B75">
            <w:pPr>
              <w:pStyle w:val="32"/>
              <w:spacing w:line="240" w:lineRule="auto"/>
              <w:ind w:firstLine="0" w:firstLineChars="0"/>
              <w:rPr>
                <w:rFonts w:cs="Times New Roman"/>
                <w:szCs w:val="21"/>
                <w:lang w:eastAsia="zh-CN"/>
              </w:rPr>
            </w:pPr>
            <w:r>
              <w:rPr>
                <w:rFonts w:cs="Times New Roman"/>
                <w:szCs w:val="21"/>
                <w:lang w:eastAsia="zh-CN"/>
              </w:rPr>
              <w:t>按设计</w:t>
            </w:r>
          </w:p>
        </w:tc>
        <w:tc>
          <w:tcPr>
            <w:tcW w:w="612" w:type="pct"/>
            <w:vAlign w:val="center"/>
          </w:tcPr>
          <w:p w14:paraId="40AE6F0E">
            <w:pPr>
              <w:spacing w:line="240" w:lineRule="auto"/>
              <w:ind w:firstLine="0" w:firstLineChars="0"/>
              <w:jc w:val="center"/>
              <w:rPr>
                <w:rFonts w:cs="Times New Roman"/>
                <w:sz w:val="21"/>
              </w:rPr>
            </w:pPr>
            <w:r>
              <w:rPr>
                <w:rFonts w:cs="Times New Roman"/>
                <w:sz w:val="21"/>
              </w:rPr>
              <w:t>km</w:t>
            </w:r>
          </w:p>
        </w:tc>
        <w:tc>
          <w:tcPr>
            <w:tcW w:w="265" w:type="pct"/>
            <w:vAlign w:val="center"/>
          </w:tcPr>
          <w:p w14:paraId="7EE746F8">
            <w:pPr>
              <w:spacing w:line="240" w:lineRule="auto"/>
              <w:ind w:firstLine="0" w:firstLineChars="0"/>
              <w:jc w:val="center"/>
              <w:rPr>
                <w:rFonts w:cs="Times New Roman"/>
                <w:sz w:val="21"/>
              </w:rPr>
            </w:pPr>
            <w:r>
              <w:rPr>
                <w:rFonts w:cs="Times New Roman"/>
                <w:sz w:val="21"/>
              </w:rPr>
              <w:t>50</w:t>
            </w:r>
          </w:p>
        </w:tc>
      </w:tr>
      <w:tr w14:paraId="3B439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373" w:type="pct"/>
            <w:vAlign w:val="center"/>
          </w:tcPr>
          <w:p w14:paraId="0CB7376E">
            <w:pPr>
              <w:pStyle w:val="32"/>
              <w:spacing w:line="240" w:lineRule="auto"/>
              <w:ind w:firstLine="0" w:firstLineChars="0"/>
              <w:rPr>
                <w:rFonts w:cs="Times New Roman"/>
                <w:szCs w:val="21"/>
                <w:lang w:eastAsia="zh-CN"/>
              </w:rPr>
            </w:pPr>
            <w:r>
              <w:rPr>
                <w:rFonts w:cs="Times New Roman"/>
                <w:szCs w:val="21"/>
                <w:lang w:eastAsia="zh-CN"/>
              </w:rPr>
              <w:t>5</w:t>
            </w:r>
          </w:p>
        </w:tc>
        <w:tc>
          <w:tcPr>
            <w:tcW w:w="1424" w:type="pct"/>
            <w:vAlign w:val="center"/>
          </w:tcPr>
          <w:p w14:paraId="6BD62411">
            <w:pPr>
              <w:spacing w:line="240" w:lineRule="auto"/>
              <w:ind w:firstLine="0" w:firstLineChars="0"/>
              <w:jc w:val="center"/>
              <w:rPr>
                <w:rFonts w:cs="Times New Roman"/>
                <w:sz w:val="21"/>
              </w:rPr>
            </w:pPr>
            <w:r>
              <w:rPr>
                <w:rFonts w:cs="Times New Roman"/>
                <w:sz w:val="21"/>
              </w:rPr>
              <w:t>管理服务区绿化</w:t>
            </w:r>
          </w:p>
        </w:tc>
        <w:tc>
          <w:tcPr>
            <w:tcW w:w="1581" w:type="pct"/>
            <w:vAlign w:val="center"/>
          </w:tcPr>
          <w:p w14:paraId="1132875B">
            <w:pPr>
              <w:spacing w:line="240" w:lineRule="auto"/>
              <w:ind w:firstLine="0" w:firstLineChars="0"/>
              <w:jc w:val="center"/>
              <w:rPr>
                <w:rFonts w:cs="Times New Roman"/>
                <w:sz w:val="21"/>
              </w:rPr>
            </w:pPr>
            <w:r>
              <w:rPr>
                <w:rFonts w:cs="Times New Roman"/>
                <w:sz w:val="21"/>
              </w:rPr>
              <w:t>各管理服务区</w:t>
            </w:r>
          </w:p>
        </w:tc>
        <w:tc>
          <w:tcPr>
            <w:tcW w:w="745" w:type="pct"/>
            <w:vAlign w:val="center"/>
          </w:tcPr>
          <w:p w14:paraId="5A7F662E">
            <w:pPr>
              <w:pStyle w:val="32"/>
              <w:spacing w:line="240" w:lineRule="auto"/>
              <w:ind w:firstLine="0" w:firstLineChars="0"/>
              <w:rPr>
                <w:rFonts w:cs="Times New Roman"/>
                <w:szCs w:val="21"/>
                <w:lang w:eastAsia="zh-CN"/>
              </w:rPr>
            </w:pPr>
            <w:r>
              <w:rPr>
                <w:rFonts w:cs="Times New Roman"/>
                <w:szCs w:val="21"/>
                <w:lang w:eastAsia="zh-CN"/>
              </w:rPr>
              <w:t>按设计</w:t>
            </w:r>
          </w:p>
        </w:tc>
        <w:tc>
          <w:tcPr>
            <w:tcW w:w="612" w:type="pct"/>
            <w:vAlign w:val="center"/>
          </w:tcPr>
          <w:p w14:paraId="647FCE6C">
            <w:pPr>
              <w:spacing w:line="240" w:lineRule="auto"/>
              <w:ind w:firstLine="0" w:firstLineChars="0"/>
              <w:jc w:val="center"/>
              <w:rPr>
                <w:rFonts w:cs="Times New Roman"/>
                <w:sz w:val="21"/>
              </w:rPr>
            </w:pPr>
            <w:r>
              <w:rPr>
                <w:rFonts w:hint="eastAsia" w:cs="Times New Roman"/>
                <w:sz w:val="21"/>
                <w:szCs w:val="24"/>
                <w:lang w:val="zh-CN" w:eastAsia="zh-CN"/>
              </w:rPr>
              <w:t>hm</w:t>
            </w:r>
            <w:r>
              <w:rPr>
                <w:rFonts w:hint="eastAsia" w:cs="Times New Roman"/>
                <w:sz w:val="21"/>
                <w:szCs w:val="24"/>
                <w:vertAlign w:val="superscript"/>
                <w:lang w:val="zh-CN" w:eastAsia="zh-CN"/>
              </w:rPr>
              <w:t>2</w:t>
            </w:r>
          </w:p>
        </w:tc>
        <w:tc>
          <w:tcPr>
            <w:tcW w:w="265" w:type="pct"/>
            <w:vAlign w:val="center"/>
          </w:tcPr>
          <w:p w14:paraId="161EEBAA">
            <w:pPr>
              <w:spacing w:line="240" w:lineRule="auto"/>
              <w:ind w:firstLine="0" w:firstLineChars="0"/>
              <w:jc w:val="center"/>
              <w:rPr>
                <w:rFonts w:cs="Times New Roman"/>
                <w:sz w:val="21"/>
              </w:rPr>
            </w:pPr>
            <w:r>
              <w:rPr>
                <w:rFonts w:cs="Times New Roman"/>
                <w:sz w:val="21"/>
              </w:rPr>
              <w:t>2</w:t>
            </w:r>
          </w:p>
        </w:tc>
      </w:tr>
      <w:tr w14:paraId="3B41C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373" w:type="pct"/>
            <w:vAlign w:val="center"/>
          </w:tcPr>
          <w:p w14:paraId="2B25376D">
            <w:pPr>
              <w:pStyle w:val="32"/>
              <w:spacing w:line="240" w:lineRule="auto"/>
              <w:ind w:firstLine="0" w:firstLineChars="0"/>
              <w:rPr>
                <w:rFonts w:cs="Times New Roman"/>
                <w:szCs w:val="21"/>
                <w:lang w:eastAsia="zh-CN"/>
              </w:rPr>
            </w:pPr>
            <w:r>
              <w:rPr>
                <w:rFonts w:cs="Times New Roman"/>
                <w:szCs w:val="21"/>
                <w:lang w:eastAsia="zh-CN"/>
              </w:rPr>
              <w:t>6</w:t>
            </w:r>
          </w:p>
        </w:tc>
        <w:tc>
          <w:tcPr>
            <w:tcW w:w="1424" w:type="pct"/>
            <w:vAlign w:val="center"/>
          </w:tcPr>
          <w:p w14:paraId="4DCC1109">
            <w:pPr>
              <w:spacing w:line="240" w:lineRule="auto"/>
              <w:ind w:firstLine="0" w:firstLineChars="0"/>
              <w:jc w:val="center"/>
              <w:rPr>
                <w:rFonts w:cs="Times New Roman"/>
                <w:sz w:val="21"/>
              </w:rPr>
            </w:pPr>
            <w:r>
              <w:rPr>
                <w:rFonts w:cs="Times New Roman"/>
                <w:sz w:val="21"/>
              </w:rPr>
              <w:t>河流绿化</w:t>
            </w:r>
          </w:p>
        </w:tc>
        <w:tc>
          <w:tcPr>
            <w:tcW w:w="1581" w:type="pct"/>
            <w:vAlign w:val="center"/>
          </w:tcPr>
          <w:p w14:paraId="28B66834">
            <w:pPr>
              <w:spacing w:line="240" w:lineRule="auto"/>
              <w:ind w:firstLine="0" w:firstLineChars="0"/>
              <w:jc w:val="center"/>
              <w:rPr>
                <w:rFonts w:cs="Times New Roman"/>
                <w:sz w:val="21"/>
              </w:rPr>
            </w:pPr>
            <w:r>
              <w:rPr>
                <w:rFonts w:cs="Times New Roman"/>
                <w:sz w:val="21"/>
              </w:rPr>
              <w:t>全园需绿化河段</w:t>
            </w:r>
          </w:p>
        </w:tc>
        <w:tc>
          <w:tcPr>
            <w:tcW w:w="745" w:type="pct"/>
            <w:vAlign w:val="center"/>
          </w:tcPr>
          <w:p w14:paraId="78C855E0">
            <w:pPr>
              <w:pStyle w:val="32"/>
              <w:spacing w:line="240" w:lineRule="auto"/>
              <w:ind w:firstLine="0" w:firstLineChars="0"/>
              <w:rPr>
                <w:rFonts w:cs="Times New Roman"/>
                <w:szCs w:val="21"/>
                <w:lang w:eastAsia="zh-CN"/>
              </w:rPr>
            </w:pPr>
            <w:r>
              <w:rPr>
                <w:rFonts w:cs="Times New Roman"/>
                <w:szCs w:val="21"/>
                <w:lang w:eastAsia="zh-CN"/>
              </w:rPr>
              <w:t>按设计</w:t>
            </w:r>
          </w:p>
        </w:tc>
        <w:tc>
          <w:tcPr>
            <w:tcW w:w="612" w:type="pct"/>
            <w:vAlign w:val="center"/>
          </w:tcPr>
          <w:p w14:paraId="38935B0D">
            <w:pPr>
              <w:spacing w:line="240" w:lineRule="auto"/>
              <w:ind w:firstLine="0" w:firstLineChars="0"/>
              <w:jc w:val="center"/>
              <w:rPr>
                <w:rFonts w:cs="Times New Roman"/>
                <w:sz w:val="21"/>
              </w:rPr>
            </w:pPr>
            <w:r>
              <w:rPr>
                <w:rFonts w:cs="Times New Roman"/>
                <w:sz w:val="21"/>
              </w:rPr>
              <w:t>km</w:t>
            </w:r>
          </w:p>
        </w:tc>
        <w:tc>
          <w:tcPr>
            <w:tcW w:w="265" w:type="pct"/>
            <w:vAlign w:val="center"/>
          </w:tcPr>
          <w:p w14:paraId="0818D220">
            <w:pPr>
              <w:spacing w:line="240" w:lineRule="auto"/>
              <w:ind w:firstLine="0" w:firstLineChars="0"/>
              <w:jc w:val="center"/>
              <w:rPr>
                <w:rFonts w:cs="Times New Roman"/>
                <w:sz w:val="21"/>
              </w:rPr>
            </w:pPr>
            <w:r>
              <w:rPr>
                <w:rFonts w:cs="Times New Roman"/>
                <w:sz w:val="21"/>
              </w:rPr>
              <w:t>10</w:t>
            </w:r>
          </w:p>
        </w:tc>
      </w:tr>
    </w:tbl>
    <w:p w14:paraId="653A22B6">
      <w:pPr>
        <w:pStyle w:val="3"/>
        <w:rPr>
          <w:lang w:eastAsia="zh-CN"/>
        </w:rPr>
      </w:pPr>
      <w:bookmarkStart w:id="111" w:name="bookmark76"/>
      <w:bookmarkEnd w:id="111"/>
      <w:bookmarkStart w:id="112" w:name="_Toc5231"/>
      <w:r>
        <w:rPr>
          <w:lang w:eastAsia="zh-CN"/>
        </w:rPr>
        <w:t>7.3林下经济规划</w:t>
      </w:r>
      <w:bookmarkEnd w:id="112"/>
    </w:p>
    <w:p w14:paraId="02528BDE">
      <w:pPr>
        <w:pStyle w:val="4"/>
      </w:pPr>
      <w:r>
        <w:rPr>
          <w:rFonts w:hint="eastAsia"/>
        </w:rPr>
        <w:t>7.2.1林下经济规划原则</w:t>
      </w:r>
    </w:p>
    <w:p w14:paraId="33CC7EC5">
      <w:pPr>
        <w:ind w:firstLine="480"/>
        <w:rPr>
          <w:lang w:eastAsia="zh-CN"/>
        </w:rPr>
      </w:pPr>
      <w:r>
        <w:rPr>
          <w:rFonts w:hint="eastAsia"/>
          <w:lang w:eastAsia="zh-CN"/>
        </w:rPr>
        <w:t>(1)尊重自然规律，充分发挥本地多种森林资源优势的原则。根据本地自然资源的特点、地理优势和资源优势，主攻林下种植业、林下养殖业和相关产品服务业。</w:t>
      </w:r>
    </w:p>
    <w:p w14:paraId="47280B1C">
      <w:pPr>
        <w:ind w:firstLine="480"/>
        <w:rPr>
          <w:rFonts w:cs="Times New Roman"/>
          <w:szCs w:val="24"/>
          <w:lang w:eastAsia="zh-CN"/>
        </w:rPr>
      </w:pPr>
      <w:r>
        <w:rPr>
          <w:rFonts w:hint="eastAsia" w:cs="Times New Roman"/>
          <w:szCs w:val="24"/>
          <w:lang w:eastAsia="zh-CN"/>
        </w:rPr>
        <w:t>(2)保护自然资源和生态环境优先的前提下，永续开发利用的原则。森林多资源开发利用项目只能在实验区进行。项目建设要采取环保措施，避免因经营不当造成对土壤、水体、大气的环境损害和对保护对象的破坏；积极推广无公害栽培和绿色产品生产技术。</w:t>
      </w:r>
    </w:p>
    <w:p w14:paraId="663EFCD9">
      <w:pPr>
        <w:ind w:firstLine="480"/>
        <w:rPr>
          <w:rFonts w:cs="Times New Roman"/>
          <w:szCs w:val="24"/>
          <w:lang w:eastAsia="zh-CN"/>
        </w:rPr>
      </w:pPr>
      <w:r>
        <w:rPr>
          <w:rFonts w:hint="eastAsia" w:cs="Times New Roman"/>
          <w:szCs w:val="24"/>
          <w:lang w:eastAsia="zh-CN"/>
        </w:rPr>
        <w:t>(3)坚持地方特色，实行名牌战略，走优质高效发展道路的原则。优先选择市场上人无我有，人有我优，销路广、市场需求大、投资风险小、见效快的特色项目。将品牌做强、做大、做好，打造名牌，塑造特色，充分发挥品牌效益。</w:t>
      </w:r>
    </w:p>
    <w:p w14:paraId="1976FC35">
      <w:pPr>
        <w:pStyle w:val="4"/>
      </w:pPr>
      <w:r>
        <w:rPr>
          <w:rFonts w:hint="eastAsia"/>
        </w:rPr>
        <w:t>7.2.2林下经济经营利用的方式</w:t>
      </w:r>
    </w:p>
    <w:p w14:paraId="04B63BE6">
      <w:pPr>
        <w:ind w:firstLine="480"/>
        <w:rPr>
          <w:lang w:eastAsia="zh-CN"/>
        </w:rPr>
      </w:pPr>
      <w:r>
        <w:rPr>
          <w:rFonts w:hint="eastAsia"/>
          <w:lang w:eastAsia="zh-CN"/>
        </w:rPr>
        <w:t>林场实验区内开展多种经营，坚持自力更生为主，国家扶持为辅，广泛筹集资金，可实行联营、租赁、股份、个人承包等多种生产经营形式。</w:t>
      </w:r>
    </w:p>
    <w:p w14:paraId="5E249456">
      <w:pPr>
        <w:ind w:firstLine="480"/>
        <w:rPr>
          <w:lang w:eastAsia="zh-CN"/>
        </w:rPr>
      </w:pPr>
      <w:r>
        <w:rPr>
          <w:rFonts w:hint="eastAsia"/>
          <w:lang w:eastAsia="zh-CN"/>
        </w:rPr>
        <w:t>建设的项目要进行充分论证。要通过市场调查，确定切实可行的项目。要明确经营形式、经营者及有关方的责、权、利。同时加强对项目全过程的检查、指导和提供技术服务。</w:t>
      </w:r>
    </w:p>
    <w:p w14:paraId="3C5B8068">
      <w:pPr>
        <w:pStyle w:val="4"/>
      </w:pPr>
      <w:r>
        <w:rPr>
          <w:rFonts w:hint="eastAsia"/>
        </w:rPr>
        <w:t>7.2.3林下经济经营项目和规模</w:t>
      </w:r>
    </w:p>
    <w:p w14:paraId="1D59F578">
      <w:pPr>
        <w:ind w:firstLine="480"/>
        <w:rPr>
          <w:lang w:eastAsia="zh-CN"/>
        </w:rPr>
      </w:pPr>
      <w:r>
        <w:rPr>
          <w:rFonts w:hint="eastAsia"/>
          <w:lang w:eastAsia="zh-CN"/>
        </w:rPr>
        <w:t>根据多种经营原则及自然保护区的实际情况，发展优势、市场条件、产品销售，确定以下项目和规模：</w:t>
      </w:r>
    </w:p>
    <w:p w14:paraId="1F2AAE59">
      <w:pPr>
        <w:ind w:firstLine="480"/>
        <w:rPr>
          <w:lang w:eastAsia="zh-CN"/>
        </w:rPr>
      </w:pPr>
      <w:r>
        <w:rPr>
          <w:rFonts w:hint="eastAsia"/>
          <w:lang w:eastAsia="zh-CN"/>
        </w:rPr>
        <w:t>(1)林下种植业</w:t>
      </w:r>
    </w:p>
    <w:p w14:paraId="436F572F">
      <w:pPr>
        <w:ind w:firstLine="480"/>
        <w:rPr>
          <w:lang w:eastAsia="zh-CN"/>
        </w:rPr>
      </w:pPr>
      <w:r>
        <w:rPr>
          <w:rFonts w:hint="eastAsia"/>
          <w:lang w:eastAsia="zh-CN"/>
        </w:rPr>
        <w:t>①高山茶叶：利用亚高山的多雾气候和本地林下多野生茶叶的资源优势，通过在林下以野生茶叶为基础，培育高品质的高山云雾茶，拟在小黄万源、歇马庵、大漯漕等发展30</w:t>
      </w:r>
      <w:r>
        <w:rPr>
          <w:rFonts w:hint="eastAsia"/>
          <w:lang w:val="zh-CN" w:eastAsia="zh-CN"/>
        </w:rPr>
        <w:t>hm</w:t>
      </w:r>
      <w:r>
        <w:rPr>
          <w:rFonts w:hint="eastAsia"/>
          <w:vertAlign w:val="superscript"/>
          <w:lang w:val="zh-CN" w:eastAsia="zh-CN"/>
        </w:rPr>
        <w:t>2</w:t>
      </w:r>
      <w:r>
        <w:rPr>
          <w:rFonts w:hint="eastAsia"/>
          <w:lang w:eastAsia="zh-CN"/>
        </w:rPr>
        <w:t>。</w:t>
      </w:r>
    </w:p>
    <w:p w14:paraId="21709186">
      <w:pPr>
        <w:ind w:firstLine="480"/>
        <w:rPr>
          <w:lang w:eastAsia="zh-CN"/>
        </w:rPr>
      </w:pPr>
      <w:r>
        <w:rPr>
          <w:rFonts w:hint="eastAsia"/>
          <w:lang w:eastAsia="zh-CN"/>
        </w:rPr>
        <w:t>②雪莲果：阳明山自然条件优越，远离城市，环境洁净，适合生产各类无公害绿色干鲜果品。拟在大田、太平等地发展雪莲果40</w:t>
      </w:r>
      <w:r>
        <w:rPr>
          <w:rFonts w:hint="eastAsia"/>
          <w:lang w:val="zh-CN" w:eastAsia="zh-CN"/>
        </w:rPr>
        <w:t>hm</w:t>
      </w:r>
      <w:r>
        <w:rPr>
          <w:rFonts w:hint="eastAsia"/>
          <w:vertAlign w:val="superscript"/>
          <w:lang w:val="zh-CN" w:eastAsia="zh-CN"/>
        </w:rPr>
        <w:t>2</w:t>
      </w:r>
      <w:r>
        <w:rPr>
          <w:rFonts w:hint="eastAsia"/>
          <w:lang w:eastAsia="zh-CN"/>
        </w:rPr>
        <w:t>。</w:t>
      </w:r>
    </w:p>
    <w:p w14:paraId="768B8749">
      <w:pPr>
        <w:ind w:firstLine="480"/>
        <w:rPr>
          <w:lang w:eastAsia="zh-CN"/>
        </w:rPr>
      </w:pPr>
      <w:r>
        <w:rPr>
          <w:rFonts w:hint="eastAsia"/>
          <w:lang w:eastAsia="zh-CN"/>
        </w:rPr>
        <w:t>③杜鹃盆景：杜鹃花是阳明山的一大资源优势，分布广，面积大，品种多，应充分利用这一优势，发展杜鹃花盆景，拟在黄柏洞建成年产10000盆的阳明山杜鹃生产基地。</w:t>
      </w:r>
      <w:r>
        <w:rPr>
          <w:rFonts w:hint="eastAsia" w:cs="Times New Roman"/>
          <w:szCs w:val="24"/>
          <w:lang w:eastAsia="zh-CN"/>
        </w:rPr>
        <w:t>林下种植管理的技术措施见表7-2</w:t>
      </w:r>
      <w:r>
        <w:rPr>
          <w:rFonts w:hint="eastAsia"/>
          <w:lang w:eastAsia="zh-CN"/>
        </w:rPr>
        <w:t>。</w:t>
      </w:r>
    </w:p>
    <w:p w14:paraId="61D1F1E8">
      <w:pPr>
        <w:kinsoku/>
        <w:autoSpaceDE/>
        <w:autoSpaceDN/>
        <w:adjustRightInd/>
        <w:snapToGrid/>
        <w:spacing w:line="240" w:lineRule="auto"/>
        <w:ind w:firstLine="0" w:firstLineChars="0"/>
        <w:jc w:val="left"/>
        <w:textAlignment w:val="auto"/>
        <w:rPr>
          <w:lang w:eastAsia="zh-CN"/>
        </w:rPr>
      </w:pPr>
      <w:r>
        <w:rPr>
          <w:lang w:eastAsia="zh-CN"/>
        </w:rPr>
        <w:br w:type="page"/>
      </w:r>
    </w:p>
    <w:p w14:paraId="4E3A2AD2">
      <w:pPr>
        <w:spacing w:line="240" w:lineRule="auto"/>
        <w:ind w:firstLine="0" w:firstLineChars="0"/>
        <w:jc w:val="center"/>
        <w:rPr>
          <w:rFonts w:eastAsia="黑体"/>
          <w:b/>
          <w:bCs/>
          <w:lang w:eastAsia="zh-CN"/>
        </w:rPr>
      </w:pPr>
      <w:r>
        <w:rPr>
          <w:rFonts w:hint="eastAsia" w:eastAsia="黑体"/>
          <w:b/>
          <w:bCs/>
          <w:lang w:eastAsia="zh-CN"/>
        </w:rPr>
        <w:t>表</w:t>
      </w:r>
      <w:r>
        <w:rPr>
          <w:rFonts w:eastAsia="黑体" w:cs="Times New Roman"/>
          <w:b/>
          <w:bCs/>
          <w:lang w:eastAsia="zh-CN"/>
        </w:rPr>
        <w:t>7-2</w:t>
      </w:r>
      <w:r>
        <w:rPr>
          <w:rFonts w:hint="eastAsia" w:eastAsia="黑体"/>
          <w:b/>
          <w:bCs/>
          <w:lang w:eastAsia="zh-CN"/>
        </w:rPr>
        <w:t>林下种植管理技术措施</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
        <w:gridCol w:w="550"/>
        <w:gridCol w:w="550"/>
        <w:gridCol w:w="7345"/>
      </w:tblGrid>
      <w:tr w14:paraId="0D599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0" w:type="auto"/>
            <w:vAlign w:val="center"/>
          </w:tcPr>
          <w:p w14:paraId="28899674">
            <w:pPr>
              <w:widowControl w:val="0"/>
              <w:spacing w:line="240" w:lineRule="auto"/>
              <w:ind w:firstLine="0" w:firstLineChars="0"/>
              <w:jc w:val="center"/>
              <w:rPr>
                <w:rFonts w:ascii="Calibri" w:hAnsi="Calibri" w:cs="Times New Roman"/>
              </w:rPr>
            </w:pPr>
            <w:r>
              <w:rPr>
                <w:rFonts w:ascii="Calibri" w:hAnsi="Calibri" w:cs="Times New Roman"/>
                <w:sz w:val="21"/>
              </w:rPr>
              <w:t>序号</w:t>
            </w:r>
          </w:p>
        </w:tc>
        <w:tc>
          <w:tcPr>
            <w:tcW w:w="0" w:type="auto"/>
            <w:vAlign w:val="center"/>
          </w:tcPr>
          <w:p w14:paraId="415DA3A7">
            <w:pPr>
              <w:widowControl w:val="0"/>
              <w:spacing w:line="240" w:lineRule="auto"/>
              <w:ind w:firstLine="0" w:firstLineChars="0"/>
              <w:jc w:val="center"/>
              <w:rPr>
                <w:rFonts w:ascii="Calibri" w:hAnsi="Calibri" w:cs="Times New Roman"/>
              </w:rPr>
            </w:pPr>
            <w:r>
              <w:rPr>
                <w:rFonts w:ascii="Calibri" w:hAnsi="Calibri" w:cs="Times New Roman"/>
                <w:sz w:val="21"/>
              </w:rPr>
              <w:t>项目</w:t>
            </w:r>
          </w:p>
        </w:tc>
        <w:tc>
          <w:tcPr>
            <w:tcW w:w="0" w:type="auto"/>
            <w:vAlign w:val="center"/>
          </w:tcPr>
          <w:p w14:paraId="405C0A65">
            <w:pPr>
              <w:widowControl w:val="0"/>
              <w:spacing w:line="240" w:lineRule="auto"/>
              <w:ind w:firstLine="0" w:firstLineChars="0"/>
              <w:jc w:val="center"/>
              <w:rPr>
                <w:rFonts w:ascii="Calibri" w:hAnsi="Calibri" w:cs="Times New Roman"/>
              </w:rPr>
            </w:pPr>
            <w:r>
              <w:rPr>
                <w:rFonts w:ascii="Calibri" w:hAnsi="Calibri" w:cs="Times New Roman"/>
                <w:sz w:val="21"/>
              </w:rPr>
              <w:t>经营目的</w:t>
            </w:r>
          </w:p>
        </w:tc>
        <w:tc>
          <w:tcPr>
            <w:tcW w:w="0" w:type="auto"/>
            <w:vAlign w:val="center"/>
          </w:tcPr>
          <w:p w14:paraId="26079E88">
            <w:pPr>
              <w:widowControl w:val="0"/>
              <w:spacing w:line="240" w:lineRule="auto"/>
              <w:ind w:firstLine="0" w:firstLineChars="0"/>
              <w:jc w:val="center"/>
              <w:rPr>
                <w:rFonts w:ascii="Calibri" w:hAnsi="Calibri" w:cs="Times New Roman"/>
              </w:rPr>
            </w:pPr>
            <w:r>
              <w:rPr>
                <w:rFonts w:ascii="Calibri" w:hAnsi="Calibri" w:cs="Times New Roman"/>
                <w:sz w:val="21"/>
              </w:rPr>
              <w:t>培育管理技术措施</w:t>
            </w:r>
          </w:p>
        </w:tc>
      </w:tr>
      <w:tr w14:paraId="50080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Align w:val="center"/>
          </w:tcPr>
          <w:p w14:paraId="41526DA8">
            <w:pPr>
              <w:widowControl w:val="0"/>
              <w:spacing w:line="240" w:lineRule="auto"/>
              <w:ind w:firstLine="0" w:firstLineChars="0"/>
              <w:jc w:val="center"/>
              <w:rPr>
                <w:rFonts w:ascii="Calibri" w:hAnsi="Calibri" w:cs="Times New Roman"/>
              </w:rPr>
            </w:pPr>
            <w:r>
              <w:rPr>
                <w:rFonts w:ascii="Calibri" w:hAnsi="Calibri" w:cs="Times New Roman"/>
                <w:sz w:val="21"/>
              </w:rPr>
              <w:t>1</w:t>
            </w:r>
          </w:p>
        </w:tc>
        <w:tc>
          <w:tcPr>
            <w:tcW w:w="0" w:type="auto"/>
            <w:vAlign w:val="center"/>
          </w:tcPr>
          <w:p w14:paraId="12459442">
            <w:pPr>
              <w:widowControl w:val="0"/>
              <w:spacing w:line="240" w:lineRule="auto"/>
              <w:ind w:firstLine="0" w:firstLineChars="0"/>
              <w:jc w:val="center"/>
              <w:rPr>
                <w:rFonts w:ascii="Calibri" w:hAnsi="Calibri" w:cs="Times New Roman"/>
              </w:rPr>
            </w:pPr>
            <w:r>
              <w:rPr>
                <w:rFonts w:ascii="Calibri" w:hAnsi="Calibri" w:cs="Times New Roman"/>
                <w:sz w:val="21"/>
              </w:rPr>
              <w:t>茶叶</w:t>
            </w:r>
          </w:p>
        </w:tc>
        <w:tc>
          <w:tcPr>
            <w:tcW w:w="0" w:type="auto"/>
            <w:vAlign w:val="center"/>
          </w:tcPr>
          <w:p w14:paraId="125573BB">
            <w:pPr>
              <w:widowControl w:val="0"/>
              <w:spacing w:line="240" w:lineRule="auto"/>
              <w:ind w:firstLine="0" w:firstLineChars="0"/>
              <w:jc w:val="center"/>
              <w:rPr>
                <w:rFonts w:ascii="Calibri" w:hAnsi="Calibri" w:cs="Times New Roman"/>
              </w:rPr>
            </w:pPr>
            <w:r>
              <w:rPr>
                <w:rFonts w:ascii="Calibri" w:hAnsi="Calibri" w:cs="Times New Roman"/>
                <w:sz w:val="21"/>
              </w:rPr>
              <w:t>饮料</w:t>
            </w:r>
          </w:p>
        </w:tc>
        <w:tc>
          <w:tcPr>
            <w:tcW w:w="0" w:type="auto"/>
            <w:vAlign w:val="center"/>
          </w:tcPr>
          <w:p w14:paraId="734598E8">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修山除草，中耕浅锄、施肥、整形修剪，搞好病虫害防治。</w:t>
            </w:r>
          </w:p>
        </w:tc>
      </w:tr>
      <w:tr w14:paraId="06A12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Align w:val="center"/>
          </w:tcPr>
          <w:p w14:paraId="5E7C26A3">
            <w:pPr>
              <w:widowControl w:val="0"/>
              <w:spacing w:line="240" w:lineRule="auto"/>
              <w:ind w:firstLine="0" w:firstLineChars="0"/>
              <w:jc w:val="center"/>
              <w:rPr>
                <w:rFonts w:ascii="Calibri" w:hAnsi="Calibri" w:cs="Times New Roman"/>
              </w:rPr>
            </w:pPr>
            <w:r>
              <w:rPr>
                <w:rFonts w:ascii="Calibri" w:hAnsi="Calibri" w:cs="Times New Roman"/>
                <w:sz w:val="21"/>
              </w:rPr>
              <w:t>2</w:t>
            </w:r>
          </w:p>
        </w:tc>
        <w:tc>
          <w:tcPr>
            <w:tcW w:w="0" w:type="auto"/>
            <w:vAlign w:val="center"/>
          </w:tcPr>
          <w:p w14:paraId="5BE317D3">
            <w:pPr>
              <w:widowControl w:val="0"/>
              <w:spacing w:line="240" w:lineRule="auto"/>
              <w:ind w:firstLine="0" w:firstLineChars="0"/>
              <w:jc w:val="center"/>
              <w:rPr>
                <w:rFonts w:ascii="Calibri" w:hAnsi="Calibri" w:cs="Times New Roman"/>
              </w:rPr>
            </w:pPr>
            <w:r>
              <w:rPr>
                <w:rFonts w:ascii="Calibri" w:hAnsi="Calibri" w:cs="Times New Roman"/>
                <w:sz w:val="21"/>
              </w:rPr>
              <w:t>雪莲果</w:t>
            </w:r>
          </w:p>
        </w:tc>
        <w:tc>
          <w:tcPr>
            <w:tcW w:w="0" w:type="auto"/>
            <w:vAlign w:val="center"/>
          </w:tcPr>
          <w:p w14:paraId="3215E6F9">
            <w:pPr>
              <w:widowControl w:val="0"/>
              <w:spacing w:line="240" w:lineRule="auto"/>
              <w:ind w:firstLine="0" w:firstLineChars="0"/>
              <w:jc w:val="center"/>
              <w:rPr>
                <w:rFonts w:ascii="Calibri" w:hAnsi="Calibri" w:cs="Times New Roman"/>
              </w:rPr>
            </w:pPr>
            <w:r>
              <w:rPr>
                <w:rFonts w:ascii="Calibri" w:hAnsi="Calibri" w:cs="Times New Roman"/>
                <w:sz w:val="21"/>
              </w:rPr>
              <w:t>食品</w:t>
            </w:r>
          </w:p>
        </w:tc>
        <w:tc>
          <w:tcPr>
            <w:tcW w:w="0" w:type="auto"/>
            <w:vAlign w:val="center"/>
          </w:tcPr>
          <w:p w14:paraId="0D4AB8D3">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种植雪莲果应使用湿润的沙质土壤，可用泥炭、浮石及珍珠岩混合使用，种植时要将盆土灭菌消毒。在夏季适当遮挡阳光，散光照射即可生长。浇透水放在通风的地方等待生根，冬季要减少浇水量，春季可施氮肥，夏季可施磷肥，秋季要多施钾肥。</w:t>
            </w:r>
          </w:p>
        </w:tc>
      </w:tr>
      <w:tr w14:paraId="49307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Align w:val="center"/>
          </w:tcPr>
          <w:p w14:paraId="703041C7">
            <w:pPr>
              <w:widowControl w:val="0"/>
              <w:spacing w:line="240" w:lineRule="auto"/>
              <w:ind w:firstLine="0" w:firstLineChars="0"/>
              <w:jc w:val="center"/>
              <w:rPr>
                <w:rFonts w:ascii="Calibri" w:hAnsi="Calibri" w:cs="Times New Roman"/>
              </w:rPr>
            </w:pPr>
            <w:r>
              <w:rPr>
                <w:rFonts w:ascii="Calibri" w:hAnsi="Calibri" w:cs="Times New Roman"/>
                <w:sz w:val="21"/>
              </w:rPr>
              <w:t>3</w:t>
            </w:r>
          </w:p>
        </w:tc>
        <w:tc>
          <w:tcPr>
            <w:tcW w:w="0" w:type="auto"/>
            <w:vAlign w:val="center"/>
          </w:tcPr>
          <w:p w14:paraId="06586682">
            <w:pPr>
              <w:widowControl w:val="0"/>
              <w:spacing w:line="240" w:lineRule="auto"/>
              <w:ind w:firstLine="0" w:firstLineChars="0"/>
              <w:jc w:val="center"/>
              <w:rPr>
                <w:rFonts w:ascii="Calibri" w:hAnsi="Calibri" w:cs="Times New Roman"/>
              </w:rPr>
            </w:pPr>
            <w:r>
              <w:rPr>
                <w:rFonts w:ascii="Calibri" w:hAnsi="Calibri" w:cs="Times New Roman"/>
                <w:sz w:val="21"/>
              </w:rPr>
              <w:t>杜鹃盆景</w:t>
            </w:r>
          </w:p>
        </w:tc>
        <w:tc>
          <w:tcPr>
            <w:tcW w:w="0" w:type="auto"/>
            <w:vAlign w:val="center"/>
          </w:tcPr>
          <w:p w14:paraId="08613C68">
            <w:pPr>
              <w:widowControl w:val="0"/>
              <w:spacing w:line="240" w:lineRule="auto"/>
              <w:ind w:firstLine="0" w:firstLineChars="0"/>
              <w:jc w:val="center"/>
              <w:rPr>
                <w:rFonts w:ascii="Calibri" w:hAnsi="Calibri" w:cs="Times New Roman"/>
              </w:rPr>
            </w:pPr>
            <w:r>
              <w:rPr>
                <w:rFonts w:ascii="Calibri" w:hAnsi="Calibri" w:cs="Times New Roman"/>
                <w:sz w:val="21"/>
              </w:rPr>
              <w:t>观赏</w:t>
            </w:r>
          </w:p>
        </w:tc>
        <w:tc>
          <w:tcPr>
            <w:tcW w:w="0" w:type="auto"/>
            <w:vAlign w:val="center"/>
          </w:tcPr>
          <w:p w14:paraId="15571795">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选盆：可选用圆形的陶盆，盆的色彩与花色形成对比。用土：盆土也可人工配置，要求含丰富的腐殖质，疏松通透，酸性</w:t>
            </w:r>
            <w:r>
              <w:rPr>
                <w:rFonts w:hint="eastAsia" w:ascii="Calibri" w:hAnsi="Calibri" w:cs="Times New Roman"/>
                <w:sz w:val="21"/>
                <w:lang w:eastAsia="zh-CN"/>
              </w:rPr>
              <w:t>(</w:t>
            </w:r>
            <w:r>
              <w:rPr>
                <w:rFonts w:ascii="Calibri" w:hAnsi="Calibri" w:cs="Times New Roman"/>
                <w:sz w:val="21"/>
                <w:lang w:eastAsia="zh-CN"/>
              </w:rPr>
              <w:t>pH值4.5-6.5</w:t>
            </w:r>
            <w:r>
              <w:rPr>
                <w:rFonts w:hint="eastAsia" w:ascii="Calibri" w:hAnsi="Calibri" w:cs="Times New Roman"/>
                <w:sz w:val="21"/>
                <w:lang w:eastAsia="zh-CN"/>
              </w:rPr>
              <w:t>)</w:t>
            </w:r>
            <w:r>
              <w:rPr>
                <w:rFonts w:ascii="Calibri" w:hAnsi="Calibri" w:cs="Times New Roman"/>
                <w:sz w:val="21"/>
                <w:lang w:eastAsia="zh-CN"/>
              </w:rPr>
              <w:t>，也可用腐殖质2份、苔屑1份、山泥7份混合使用。种植：挖掘时粧头应多保留须根，截短主根，修除与造型无关的枝条，就地带山泥，可直接上盆。</w:t>
            </w:r>
          </w:p>
        </w:tc>
      </w:tr>
      <w:tr w14:paraId="0D670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Align w:val="center"/>
          </w:tcPr>
          <w:p w14:paraId="62AACA4E">
            <w:pPr>
              <w:widowControl w:val="0"/>
              <w:spacing w:line="240" w:lineRule="auto"/>
              <w:ind w:firstLine="0" w:firstLineChars="0"/>
              <w:jc w:val="center"/>
              <w:rPr>
                <w:rFonts w:ascii="Calibri" w:hAnsi="Calibri" w:cs="Times New Roman"/>
              </w:rPr>
            </w:pPr>
            <w:r>
              <w:rPr>
                <w:rFonts w:ascii="Calibri" w:hAnsi="Calibri" w:cs="Times New Roman"/>
                <w:sz w:val="21"/>
              </w:rPr>
              <w:t>4</w:t>
            </w:r>
          </w:p>
        </w:tc>
        <w:tc>
          <w:tcPr>
            <w:tcW w:w="0" w:type="auto"/>
            <w:vAlign w:val="center"/>
          </w:tcPr>
          <w:p w14:paraId="4D1FEC2D">
            <w:pPr>
              <w:widowControl w:val="0"/>
              <w:spacing w:line="240" w:lineRule="auto"/>
              <w:ind w:firstLine="0" w:firstLineChars="0"/>
              <w:jc w:val="center"/>
              <w:rPr>
                <w:rFonts w:ascii="Calibri" w:hAnsi="Calibri" w:cs="Times New Roman"/>
              </w:rPr>
            </w:pPr>
            <w:r>
              <w:rPr>
                <w:rFonts w:ascii="Calibri" w:hAnsi="Calibri" w:cs="Times New Roman"/>
                <w:sz w:val="21"/>
              </w:rPr>
              <w:t>药材</w:t>
            </w:r>
          </w:p>
        </w:tc>
        <w:tc>
          <w:tcPr>
            <w:tcW w:w="0" w:type="auto"/>
            <w:vAlign w:val="center"/>
          </w:tcPr>
          <w:p w14:paraId="5CB44C05">
            <w:pPr>
              <w:widowControl w:val="0"/>
              <w:spacing w:line="240" w:lineRule="auto"/>
              <w:ind w:firstLine="0" w:firstLineChars="0"/>
              <w:jc w:val="center"/>
              <w:rPr>
                <w:rFonts w:ascii="Calibri" w:hAnsi="Calibri" w:cs="Times New Roman"/>
              </w:rPr>
            </w:pPr>
            <w:r>
              <w:rPr>
                <w:rFonts w:ascii="Calibri" w:hAnsi="Calibri" w:cs="Times New Roman"/>
                <w:sz w:val="21"/>
              </w:rPr>
              <w:t>食药</w:t>
            </w:r>
          </w:p>
        </w:tc>
        <w:tc>
          <w:tcPr>
            <w:tcW w:w="0" w:type="auto"/>
            <w:vAlign w:val="center"/>
          </w:tcPr>
          <w:p w14:paraId="0BD53536">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选地：应选择土层深厚、土质疏松肥沃、保水保肥能力强、富含腐殖质的沙壤土地块种植。深耕施肥：综合施用氮、磷、钾配方施肥。基肥可结合深耕，施充分腐熟的圈肥或土杂肥，过磷酸钙750kg/hm</w:t>
            </w:r>
            <w:r>
              <w:rPr>
                <w:rFonts w:ascii="Calibri" w:hAnsi="Calibri" w:cs="Times New Roman"/>
                <w:sz w:val="21"/>
                <w:vertAlign w:val="superscript"/>
                <w:lang w:eastAsia="zh-CN"/>
              </w:rPr>
              <w:t>2</w:t>
            </w:r>
            <w:r>
              <w:rPr>
                <w:rFonts w:ascii="Calibri" w:hAnsi="Calibri" w:cs="Times New Roman"/>
                <w:sz w:val="21"/>
                <w:lang w:eastAsia="zh-CN"/>
              </w:rPr>
              <w:t>，硫酸铵300kg/hm</w:t>
            </w:r>
            <w:r>
              <w:rPr>
                <w:rFonts w:ascii="Calibri" w:hAnsi="Calibri" w:cs="Times New Roman"/>
                <w:sz w:val="21"/>
                <w:vertAlign w:val="superscript"/>
                <w:lang w:eastAsia="zh-CN"/>
              </w:rPr>
              <w:t>2</w:t>
            </w:r>
            <w:r>
              <w:rPr>
                <w:rFonts w:ascii="Calibri" w:hAnsi="Calibri" w:cs="Times New Roman"/>
                <w:sz w:val="21"/>
                <w:lang w:eastAsia="zh-CN"/>
              </w:rPr>
              <w:t>。</w:t>
            </w:r>
          </w:p>
        </w:tc>
      </w:tr>
      <w:tr w14:paraId="6D094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Align w:val="center"/>
          </w:tcPr>
          <w:p w14:paraId="438A3A70">
            <w:pPr>
              <w:widowControl w:val="0"/>
              <w:spacing w:line="240" w:lineRule="auto"/>
              <w:ind w:firstLine="0" w:firstLineChars="0"/>
              <w:jc w:val="center"/>
              <w:rPr>
                <w:rFonts w:ascii="Calibri" w:hAnsi="Calibri" w:cs="Times New Roman"/>
              </w:rPr>
            </w:pPr>
            <w:r>
              <w:rPr>
                <w:rFonts w:ascii="Calibri" w:hAnsi="Calibri" w:cs="Times New Roman"/>
                <w:sz w:val="21"/>
              </w:rPr>
              <w:t>5</w:t>
            </w:r>
          </w:p>
        </w:tc>
        <w:tc>
          <w:tcPr>
            <w:tcW w:w="0" w:type="auto"/>
            <w:vAlign w:val="center"/>
          </w:tcPr>
          <w:p w14:paraId="28F0A6AB">
            <w:pPr>
              <w:widowControl w:val="0"/>
              <w:spacing w:line="240" w:lineRule="auto"/>
              <w:ind w:firstLine="0" w:firstLineChars="0"/>
              <w:jc w:val="center"/>
              <w:rPr>
                <w:rFonts w:ascii="Calibri" w:hAnsi="Calibri" w:cs="Times New Roman"/>
              </w:rPr>
            </w:pPr>
            <w:r>
              <w:rPr>
                <w:rFonts w:ascii="Calibri" w:hAnsi="Calibri" w:cs="Times New Roman"/>
                <w:sz w:val="21"/>
              </w:rPr>
              <w:t>竹笋</w:t>
            </w:r>
          </w:p>
        </w:tc>
        <w:tc>
          <w:tcPr>
            <w:tcW w:w="0" w:type="auto"/>
            <w:vAlign w:val="center"/>
          </w:tcPr>
          <w:p w14:paraId="3336A8A4">
            <w:pPr>
              <w:widowControl w:val="0"/>
              <w:spacing w:line="240" w:lineRule="auto"/>
              <w:ind w:firstLine="0" w:firstLineChars="0"/>
              <w:jc w:val="center"/>
              <w:rPr>
                <w:rFonts w:ascii="Calibri" w:hAnsi="Calibri" w:cs="Times New Roman"/>
              </w:rPr>
            </w:pPr>
            <w:r>
              <w:rPr>
                <w:rFonts w:ascii="Calibri" w:hAnsi="Calibri" w:cs="Times New Roman"/>
                <w:sz w:val="21"/>
              </w:rPr>
              <w:t>食品</w:t>
            </w:r>
          </w:p>
        </w:tc>
        <w:tc>
          <w:tcPr>
            <w:tcW w:w="0" w:type="auto"/>
            <w:vAlign w:val="center"/>
          </w:tcPr>
          <w:p w14:paraId="52F07019">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林地除杂：清除杂灌，挖除柴蔸、大石块、老鞭和腐败的树桩、竹桩。留笋养竹：留笋养竹即大年选留箨叶开张坚硬、笋叶短而紧凑、笋体粗壮的盛期笋</w:t>
            </w:r>
            <w:r>
              <w:rPr>
                <w:rFonts w:hint="eastAsia" w:ascii="Calibri" w:hAnsi="Calibri" w:cs="Times New Roman"/>
                <w:sz w:val="21"/>
                <w:lang w:eastAsia="zh-CN"/>
              </w:rPr>
              <w:t>(</w:t>
            </w:r>
            <w:r>
              <w:rPr>
                <w:rFonts w:ascii="Calibri" w:hAnsi="Calibri" w:cs="Times New Roman"/>
                <w:sz w:val="21"/>
                <w:lang w:eastAsia="zh-CN"/>
              </w:rPr>
              <w:t>30株/亩</w:t>
            </w:r>
            <w:r>
              <w:rPr>
                <w:rFonts w:hint="eastAsia" w:ascii="Calibri" w:hAnsi="Calibri" w:cs="Times New Roman"/>
                <w:sz w:val="21"/>
                <w:lang w:eastAsia="zh-CN"/>
              </w:rPr>
              <w:t>)</w:t>
            </w:r>
            <w:r>
              <w:rPr>
                <w:rFonts w:ascii="Calibri" w:hAnsi="Calibri" w:cs="Times New Roman"/>
                <w:sz w:val="21"/>
                <w:lang w:eastAsia="zh-CN"/>
              </w:rPr>
              <w:t>长成母竹，小年不留，逐步替换老龄母竹。科学挖笋：挖取冬笋时不要伤及竹鞭和鞭芽，并及时回填，避免竹鞭和鞭芽裸露。合理施肥：一般情况下每生产1000kg的竹笋需要氮肥27kg、磷肥12kg、钾肥17kg、硅酸盐21kg。</w:t>
            </w:r>
          </w:p>
        </w:tc>
      </w:tr>
    </w:tbl>
    <w:p w14:paraId="179E5EA7">
      <w:pPr>
        <w:ind w:firstLine="480"/>
        <w:rPr>
          <w:lang w:eastAsia="zh-CN"/>
        </w:rPr>
      </w:pPr>
      <w:r>
        <w:rPr>
          <w:rFonts w:hint="eastAsia"/>
          <w:lang w:eastAsia="zh-CN"/>
        </w:rPr>
        <w:t>④药材：阳明山具有丰富的药材资源，当地群众具有经营的习惯，且有良好的基础，如黄柏、厚朴、天麻以及相适宜的草本药材，计700多种，拟在叶子漯发展具有20</w:t>
      </w:r>
      <w:r>
        <w:rPr>
          <w:rFonts w:hint="eastAsia"/>
          <w:lang w:val="zh-CN" w:eastAsia="zh-CN"/>
        </w:rPr>
        <w:t>hm</w:t>
      </w:r>
      <w:r>
        <w:rPr>
          <w:rFonts w:hint="eastAsia"/>
          <w:vertAlign w:val="superscript"/>
          <w:lang w:val="zh-CN" w:eastAsia="zh-CN"/>
        </w:rPr>
        <w:t>2</w:t>
      </w:r>
      <w:r>
        <w:rPr>
          <w:rFonts w:hint="eastAsia"/>
          <w:lang w:eastAsia="zh-CN"/>
        </w:rPr>
        <w:t>天麻种植。</w:t>
      </w:r>
    </w:p>
    <w:p w14:paraId="31A1E072">
      <w:pPr>
        <w:ind w:firstLine="480"/>
        <w:rPr>
          <w:lang w:eastAsia="zh-CN"/>
        </w:rPr>
      </w:pPr>
      <w:r>
        <w:rPr>
          <w:rFonts w:hint="eastAsia"/>
          <w:lang w:eastAsia="zh-CN"/>
        </w:rPr>
        <w:t>⑤竹笋：培育笋竹两用基地，是充分利用竹资源的好办法。林场竹林资源丰富，具备优越条件，规划在海拔较低、土质好、土层深厚的裤档漕发展笋竹基地50</w:t>
      </w:r>
      <w:r>
        <w:rPr>
          <w:rFonts w:hint="eastAsia"/>
          <w:lang w:val="zh-CN" w:eastAsia="zh-CN"/>
        </w:rPr>
        <w:t>hm</w:t>
      </w:r>
      <w:r>
        <w:rPr>
          <w:rFonts w:hint="eastAsia"/>
          <w:vertAlign w:val="superscript"/>
          <w:lang w:val="zh-CN" w:eastAsia="zh-CN"/>
        </w:rPr>
        <w:t>2</w:t>
      </w:r>
      <w:r>
        <w:rPr>
          <w:rFonts w:hint="eastAsia"/>
          <w:lang w:eastAsia="zh-CN"/>
        </w:rPr>
        <w:t>。</w:t>
      </w:r>
    </w:p>
    <w:p w14:paraId="2A2C3C99">
      <w:pPr>
        <w:ind w:firstLine="480"/>
        <w:rPr>
          <w:lang w:eastAsia="zh-CN"/>
        </w:rPr>
      </w:pPr>
      <w:r>
        <w:rPr>
          <w:rFonts w:hint="eastAsia"/>
          <w:lang w:eastAsia="zh-CN"/>
        </w:rPr>
        <w:t>(2)林下养殖业</w:t>
      </w:r>
    </w:p>
    <w:p w14:paraId="7E1D827C">
      <w:pPr>
        <w:ind w:firstLine="480"/>
        <w:rPr>
          <w:lang w:eastAsia="zh-CN"/>
        </w:rPr>
      </w:pPr>
      <w:r>
        <w:rPr>
          <w:rFonts w:hint="eastAsia"/>
          <w:lang w:eastAsia="zh-CN"/>
        </w:rPr>
        <w:t>①特色动物养殖场：在黄柏洞、大田尾等地，以饲养山羊为主，年产2000只。</w:t>
      </w:r>
    </w:p>
    <w:p w14:paraId="704E8D61">
      <w:pPr>
        <w:ind w:firstLine="480"/>
        <w:rPr>
          <w:lang w:eastAsia="zh-CN"/>
        </w:rPr>
      </w:pPr>
      <w:r>
        <w:rPr>
          <w:rFonts w:hint="eastAsia"/>
          <w:lang w:val="en-US" w:eastAsia="zh-CN"/>
        </w:rPr>
        <w:t>②</w:t>
      </w:r>
      <w:r>
        <w:rPr>
          <w:rFonts w:hint="eastAsia"/>
          <w:lang w:eastAsia="zh-CN"/>
        </w:rPr>
        <w:t>雷公猪：规划在东菖源、绞车庙和太平等地，以饲养雷公猪为主，规划养殖600头。</w:t>
      </w:r>
    </w:p>
    <w:p w14:paraId="1092AEE3">
      <w:pPr>
        <w:ind w:firstLine="480"/>
        <w:rPr>
          <w:lang w:eastAsia="zh-CN"/>
        </w:rPr>
      </w:pPr>
      <w:r>
        <w:rPr>
          <w:rFonts w:hint="eastAsia"/>
          <w:lang w:eastAsia="zh-CN"/>
        </w:rPr>
        <w:t>(3)林下特色加工业</w:t>
      </w:r>
    </w:p>
    <w:p w14:paraId="540B6E0B">
      <w:pPr>
        <w:ind w:firstLine="480"/>
        <w:rPr>
          <w:lang w:eastAsia="zh-CN"/>
        </w:rPr>
      </w:pPr>
      <w:r>
        <w:rPr>
          <w:rFonts w:hint="eastAsia"/>
          <w:lang w:eastAsia="zh-CN"/>
        </w:rPr>
        <w:t>引进竹木精深加工技艺，以竹工艺品加工为主，适当进行木制品加工，产品以旅游纪念品为导向，生产具有阳明山特色的竹木工艺品。竹制工艺品年产量目标为6万件；木制工艺品产量目标为2万件。</w:t>
      </w:r>
    </w:p>
    <w:p w14:paraId="664BFCA0">
      <w:pPr>
        <w:spacing w:before="51"/>
        <w:ind w:firstLine="480"/>
        <w:rPr>
          <w:rFonts w:cs="Times New Roman"/>
          <w:szCs w:val="24"/>
          <w:lang w:eastAsia="zh-CN"/>
        </w:rPr>
      </w:pPr>
      <w:r>
        <w:rPr>
          <w:rFonts w:hint="eastAsia" w:cs="Times New Roman"/>
          <w:szCs w:val="24"/>
          <w:lang w:eastAsia="zh-CN"/>
        </w:rPr>
        <w:t>本经营期多种经营投资4</w:t>
      </w:r>
      <w:r>
        <w:rPr>
          <w:rFonts w:hint="eastAsia" w:cs="Times New Roman"/>
          <w:szCs w:val="24"/>
          <w:lang w:val="en-US" w:eastAsia="zh-CN"/>
        </w:rPr>
        <w:t>1</w:t>
      </w:r>
      <w:r>
        <w:rPr>
          <w:rFonts w:hint="eastAsia" w:cs="Times New Roman"/>
          <w:szCs w:val="24"/>
          <w:lang w:eastAsia="zh-CN"/>
        </w:rPr>
        <w:t>0万元，详见表7-3。</w:t>
      </w:r>
    </w:p>
    <w:p w14:paraId="0C276EE1">
      <w:pPr>
        <w:kinsoku/>
        <w:autoSpaceDE/>
        <w:autoSpaceDN/>
        <w:adjustRightInd/>
        <w:snapToGrid/>
        <w:spacing w:line="240" w:lineRule="auto"/>
        <w:ind w:firstLine="0" w:firstLineChars="0"/>
        <w:jc w:val="left"/>
        <w:textAlignment w:val="auto"/>
        <w:rPr>
          <w:rFonts w:eastAsia="黑体"/>
          <w:b/>
          <w:lang w:eastAsia="zh-CN"/>
        </w:rPr>
      </w:pPr>
      <w:r>
        <w:rPr>
          <w:rFonts w:hint="eastAsia" w:eastAsia="黑体"/>
          <w:b/>
          <w:lang w:eastAsia="zh-CN"/>
        </w:rPr>
        <w:br w:type="page"/>
      </w:r>
    </w:p>
    <w:p w14:paraId="5FD55EAA">
      <w:pPr>
        <w:spacing w:line="240" w:lineRule="auto"/>
        <w:ind w:firstLine="0" w:firstLineChars="0"/>
        <w:jc w:val="center"/>
        <w:rPr>
          <w:rFonts w:eastAsia="黑体"/>
          <w:b/>
          <w:lang w:eastAsia="zh-CN"/>
        </w:rPr>
      </w:pPr>
      <w:r>
        <w:rPr>
          <w:rFonts w:hint="eastAsia" w:eastAsia="黑体" w:cs="Times New Roman"/>
          <w:b/>
          <w:bCs/>
          <w:szCs w:val="24"/>
          <w:lang w:eastAsia="zh-CN"/>
        </w:rPr>
        <w:t>表</w:t>
      </w:r>
      <w:r>
        <w:rPr>
          <w:rFonts w:cs="Times New Roman"/>
          <w:b/>
          <w:bCs/>
          <w:szCs w:val="24"/>
          <w:lang w:eastAsia="zh-CN"/>
        </w:rPr>
        <w:t>7-3</w:t>
      </w:r>
      <w:r>
        <w:rPr>
          <w:rFonts w:hint="eastAsia" w:eastAsia="黑体"/>
          <w:b/>
          <w:lang w:eastAsia="zh-CN"/>
        </w:rPr>
        <w:t>阳明山国有林场多种经营项目投资规划一览表</w:t>
      </w:r>
    </w:p>
    <w:tbl>
      <w:tblPr>
        <w:tblStyle w:val="1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7"/>
        <w:gridCol w:w="1862"/>
        <w:gridCol w:w="1062"/>
        <w:gridCol w:w="1133"/>
        <w:gridCol w:w="975"/>
        <w:gridCol w:w="1938"/>
      </w:tblGrid>
      <w:tr w14:paraId="01DC2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087" w:type="pct"/>
            <w:vAlign w:val="center"/>
          </w:tcPr>
          <w:p w14:paraId="179D910D">
            <w:pPr>
              <w:spacing w:line="240" w:lineRule="auto"/>
              <w:ind w:firstLine="0" w:firstLineChars="0"/>
              <w:jc w:val="center"/>
              <w:rPr>
                <w:rFonts w:cs="Times New Roman"/>
                <w:sz w:val="21"/>
              </w:rPr>
            </w:pPr>
            <w:r>
              <w:rPr>
                <w:rFonts w:cs="Times New Roman"/>
                <w:sz w:val="21"/>
              </w:rPr>
              <w:t>类别</w:t>
            </w:r>
          </w:p>
        </w:tc>
        <w:tc>
          <w:tcPr>
            <w:tcW w:w="1045" w:type="pct"/>
            <w:vAlign w:val="center"/>
          </w:tcPr>
          <w:p w14:paraId="12D26BC7">
            <w:pPr>
              <w:spacing w:line="240" w:lineRule="auto"/>
              <w:ind w:firstLine="0" w:firstLineChars="0"/>
              <w:jc w:val="center"/>
              <w:rPr>
                <w:rFonts w:cs="Times New Roman"/>
                <w:sz w:val="21"/>
              </w:rPr>
            </w:pPr>
            <w:r>
              <w:rPr>
                <w:rFonts w:cs="Times New Roman"/>
                <w:sz w:val="21"/>
              </w:rPr>
              <w:t>项目名称</w:t>
            </w:r>
          </w:p>
        </w:tc>
        <w:tc>
          <w:tcPr>
            <w:tcW w:w="596" w:type="pct"/>
            <w:vAlign w:val="center"/>
          </w:tcPr>
          <w:p w14:paraId="2D7D72C8">
            <w:pPr>
              <w:spacing w:line="240" w:lineRule="auto"/>
              <w:ind w:firstLine="0" w:firstLineChars="0"/>
              <w:jc w:val="center"/>
              <w:rPr>
                <w:rFonts w:cs="Times New Roman"/>
                <w:sz w:val="21"/>
              </w:rPr>
            </w:pPr>
            <w:r>
              <w:rPr>
                <w:rFonts w:cs="Times New Roman"/>
                <w:sz w:val="21"/>
              </w:rPr>
              <w:t>单位</w:t>
            </w:r>
          </w:p>
        </w:tc>
        <w:tc>
          <w:tcPr>
            <w:tcW w:w="636" w:type="pct"/>
            <w:vAlign w:val="center"/>
          </w:tcPr>
          <w:p w14:paraId="40A9330E">
            <w:pPr>
              <w:spacing w:line="240" w:lineRule="auto"/>
              <w:ind w:firstLine="0" w:firstLineChars="0"/>
              <w:jc w:val="center"/>
              <w:rPr>
                <w:rFonts w:cs="Times New Roman"/>
                <w:sz w:val="21"/>
              </w:rPr>
            </w:pPr>
            <w:r>
              <w:rPr>
                <w:rFonts w:cs="Times New Roman"/>
                <w:sz w:val="21"/>
              </w:rPr>
              <w:t>规模</w:t>
            </w:r>
          </w:p>
        </w:tc>
        <w:tc>
          <w:tcPr>
            <w:tcW w:w="547" w:type="pct"/>
            <w:vAlign w:val="center"/>
          </w:tcPr>
          <w:p w14:paraId="3618761B">
            <w:pPr>
              <w:spacing w:line="240" w:lineRule="auto"/>
              <w:ind w:firstLine="0" w:firstLineChars="0"/>
              <w:jc w:val="center"/>
              <w:rPr>
                <w:rFonts w:cs="Times New Roman"/>
                <w:sz w:val="21"/>
              </w:rPr>
            </w:pPr>
            <w:r>
              <w:rPr>
                <w:rFonts w:cs="Times New Roman"/>
                <w:sz w:val="21"/>
              </w:rPr>
              <w:t>投资</w:t>
            </w:r>
          </w:p>
        </w:tc>
        <w:tc>
          <w:tcPr>
            <w:tcW w:w="1087" w:type="pct"/>
            <w:vAlign w:val="center"/>
          </w:tcPr>
          <w:p w14:paraId="6377B15D">
            <w:pPr>
              <w:spacing w:line="240" w:lineRule="auto"/>
              <w:ind w:firstLine="0" w:firstLineChars="0"/>
              <w:jc w:val="center"/>
              <w:rPr>
                <w:rFonts w:cs="Times New Roman"/>
                <w:sz w:val="21"/>
              </w:rPr>
            </w:pPr>
            <w:r>
              <w:rPr>
                <w:rFonts w:cs="Times New Roman"/>
                <w:sz w:val="21"/>
              </w:rPr>
              <w:t>备注</w:t>
            </w:r>
          </w:p>
        </w:tc>
      </w:tr>
      <w:tr w14:paraId="691EF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87" w:type="pct"/>
            <w:vMerge w:val="restart"/>
            <w:vAlign w:val="center"/>
          </w:tcPr>
          <w:p w14:paraId="760BCAE3">
            <w:pPr>
              <w:spacing w:line="240" w:lineRule="auto"/>
              <w:ind w:firstLine="0" w:firstLineChars="0"/>
              <w:jc w:val="center"/>
              <w:rPr>
                <w:rFonts w:cs="Times New Roman"/>
                <w:sz w:val="21"/>
              </w:rPr>
            </w:pPr>
            <w:r>
              <w:rPr>
                <w:rFonts w:cs="Times New Roman"/>
                <w:sz w:val="21"/>
              </w:rPr>
              <w:t>林下种植业</w:t>
            </w:r>
          </w:p>
        </w:tc>
        <w:tc>
          <w:tcPr>
            <w:tcW w:w="1045" w:type="pct"/>
            <w:vAlign w:val="center"/>
          </w:tcPr>
          <w:p w14:paraId="3D734C5F">
            <w:pPr>
              <w:spacing w:line="240" w:lineRule="auto"/>
              <w:ind w:firstLine="0" w:firstLineChars="0"/>
              <w:jc w:val="center"/>
              <w:rPr>
                <w:rFonts w:cs="Times New Roman"/>
                <w:sz w:val="21"/>
              </w:rPr>
            </w:pPr>
            <w:r>
              <w:rPr>
                <w:rFonts w:cs="Times New Roman"/>
                <w:sz w:val="21"/>
              </w:rPr>
              <w:t>高山茶叶</w:t>
            </w:r>
          </w:p>
        </w:tc>
        <w:tc>
          <w:tcPr>
            <w:tcW w:w="596" w:type="pct"/>
            <w:vAlign w:val="center"/>
          </w:tcPr>
          <w:p w14:paraId="0B45A445">
            <w:pPr>
              <w:spacing w:line="240" w:lineRule="auto"/>
              <w:ind w:firstLine="0" w:firstLineChars="0"/>
              <w:jc w:val="center"/>
              <w:rPr>
                <w:rFonts w:cs="Times New Roman"/>
                <w:sz w:val="21"/>
              </w:rPr>
            </w:pPr>
            <w:r>
              <w:rPr>
                <w:rFonts w:cs="Times New Roman"/>
                <w:sz w:val="21"/>
              </w:rPr>
              <w:t>hm</w:t>
            </w:r>
            <w:r>
              <w:rPr>
                <w:rFonts w:cs="Times New Roman"/>
                <w:sz w:val="21"/>
                <w:vertAlign w:val="superscript"/>
              </w:rPr>
              <w:t>2</w:t>
            </w:r>
          </w:p>
        </w:tc>
        <w:tc>
          <w:tcPr>
            <w:tcW w:w="636" w:type="pct"/>
            <w:vAlign w:val="center"/>
          </w:tcPr>
          <w:p w14:paraId="09BB90AF">
            <w:pPr>
              <w:spacing w:line="240" w:lineRule="auto"/>
              <w:ind w:firstLine="0" w:firstLineChars="0"/>
              <w:jc w:val="center"/>
              <w:rPr>
                <w:rFonts w:cs="Times New Roman"/>
                <w:sz w:val="21"/>
              </w:rPr>
            </w:pPr>
            <w:r>
              <w:rPr>
                <w:rFonts w:cs="Times New Roman"/>
                <w:sz w:val="21"/>
              </w:rPr>
              <w:t>30</w:t>
            </w:r>
          </w:p>
        </w:tc>
        <w:tc>
          <w:tcPr>
            <w:tcW w:w="547" w:type="pct"/>
            <w:vAlign w:val="center"/>
          </w:tcPr>
          <w:p w14:paraId="7BAA4417">
            <w:pPr>
              <w:spacing w:line="240" w:lineRule="auto"/>
              <w:ind w:firstLine="0" w:firstLineChars="0"/>
              <w:jc w:val="center"/>
              <w:rPr>
                <w:rFonts w:cs="Times New Roman"/>
                <w:sz w:val="21"/>
              </w:rPr>
            </w:pPr>
            <w:r>
              <w:rPr>
                <w:rFonts w:cs="Times New Roman"/>
                <w:sz w:val="21"/>
              </w:rPr>
              <w:t>90</w:t>
            </w:r>
          </w:p>
        </w:tc>
        <w:tc>
          <w:tcPr>
            <w:tcW w:w="1087" w:type="pct"/>
            <w:vAlign w:val="center"/>
          </w:tcPr>
          <w:p w14:paraId="4E03213D">
            <w:pPr>
              <w:spacing w:line="240" w:lineRule="auto"/>
              <w:ind w:firstLine="0" w:firstLineChars="0"/>
              <w:jc w:val="center"/>
              <w:rPr>
                <w:rFonts w:cs="Times New Roman"/>
                <w:sz w:val="21"/>
              </w:rPr>
            </w:pPr>
          </w:p>
        </w:tc>
      </w:tr>
      <w:tr w14:paraId="1D81F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87" w:type="pct"/>
            <w:vMerge w:val="continue"/>
            <w:vAlign w:val="center"/>
          </w:tcPr>
          <w:p w14:paraId="63EF07EA">
            <w:pPr>
              <w:spacing w:line="240" w:lineRule="auto"/>
              <w:ind w:firstLine="0" w:firstLineChars="0"/>
              <w:jc w:val="center"/>
              <w:rPr>
                <w:rFonts w:cs="Times New Roman"/>
                <w:sz w:val="21"/>
              </w:rPr>
            </w:pPr>
          </w:p>
        </w:tc>
        <w:tc>
          <w:tcPr>
            <w:tcW w:w="1045" w:type="pct"/>
            <w:vAlign w:val="center"/>
          </w:tcPr>
          <w:p w14:paraId="640F75FF">
            <w:pPr>
              <w:spacing w:line="240" w:lineRule="auto"/>
              <w:ind w:firstLine="0" w:firstLineChars="0"/>
              <w:jc w:val="center"/>
              <w:rPr>
                <w:rFonts w:cs="Times New Roman"/>
                <w:sz w:val="21"/>
              </w:rPr>
            </w:pPr>
            <w:r>
              <w:rPr>
                <w:rFonts w:cs="Times New Roman"/>
                <w:sz w:val="21"/>
              </w:rPr>
              <w:t>雪莲果</w:t>
            </w:r>
          </w:p>
        </w:tc>
        <w:tc>
          <w:tcPr>
            <w:tcW w:w="596" w:type="pct"/>
            <w:vAlign w:val="center"/>
          </w:tcPr>
          <w:p w14:paraId="402E973F">
            <w:pPr>
              <w:spacing w:line="240" w:lineRule="auto"/>
              <w:ind w:firstLine="0" w:firstLineChars="0"/>
              <w:jc w:val="center"/>
              <w:rPr>
                <w:rFonts w:cs="Times New Roman"/>
                <w:sz w:val="21"/>
              </w:rPr>
            </w:pPr>
            <w:r>
              <w:rPr>
                <w:rFonts w:cs="Times New Roman"/>
                <w:sz w:val="21"/>
              </w:rPr>
              <w:t>hm</w:t>
            </w:r>
            <w:r>
              <w:rPr>
                <w:rFonts w:cs="Times New Roman"/>
                <w:sz w:val="21"/>
                <w:vertAlign w:val="superscript"/>
              </w:rPr>
              <w:t>2</w:t>
            </w:r>
          </w:p>
        </w:tc>
        <w:tc>
          <w:tcPr>
            <w:tcW w:w="636" w:type="pct"/>
            <w:vAlign w:val="center"/>
          </w:tcPr>
          <w:p w14:paraId="566D1D08">
            <w:pPr>
              <w:spacing w:line="240" w:lineRule="auto"/>
              <w:ind w:firstLine="0" w:firstLineChars="0"/>
              <w:jc w:val="center"/>
              <w:rPr>
                <w:rFonts w:cs="Times New Roman"/>
                <w:sz w:val="21"/>
              </w:rPr>
            </w:pPr>
            <w:r>
              <w:rPr>
                <w:rFonts w:cs="Times New Roman"/>
                <w:sz w:val="21"/>
              </w:rPr>
              <w:t>40</w:t>
            </w:r>
          </w:p>
        </w:tc>
        <w:tc>
          <w:tcPr>
            <w:tcW w:w="547" w:type="pct"/>
            <w:vAlign w:val="center"/>
          </w:tcPr>
          <w:p w14:paraId="32FFB13F">
            <w:pPr>
              <w:spacing w:line="240" w:lineRule="auto"/>
              <w:ind w:firstLine="0" w:firstLineChars="0"/>
              <w:jc w:val="center"/>
              <w:rPr>
                <w:rFonts w:cs="Times New Roman"/>
                <w:sz w:val="21"/>
              </w:rPr>
            </w:pPr>
            <w:r>
              <w:rPr>
                <w:rFonts w:cs="Times New Roman"/>
                <w:sz w:val="21"/>
              </w:rPr>
              <w:t>120</w:t>
            </w:r>
          </w:p>
        </w:tc>
        <w:tc>
          <w:tcPr>
            <w:tcW w:w="1087" w:type="pct"/>
            <w:vAlign w:val="center"/>
          </w:tcPr>
          <w:p w14:paraId="163F8299">
            <w:pPr>
              <w:spacing w:line="240" w:lineRule="auto"/>
              <w:ind w:firstLine="0" w:firstLineChars="0"/>
              <w:jc w:val="center"/>
              <w:rPr>
                <w:rFonts w:cs="Times New Roman"/>
                <w:sz w:val="21"/>
              </w:rPr>
            </w:pPr>
          </w:p>
        </w:tc>
      </w:tr>
      <w:tr w14:paraId="0362F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87" w:type="pct"/>
            <w:vMerge w:val="continue"/>
            <w:vAlign w:val="center"/>
          </w:tcPr>
          <w:p w14:paraId="1CFC5AC0">
            <w:pPr>
              <w:spacing w:line="240" w:lineRule="auto"/>
              <w:ind w:firstLine="0" w:firstLineChars="0"/>
              <w:jc w:val="center"/>
              <w:rPr>
                <w:rFonts w:cs="Times New Roman"/>
                <w:sz w:val="21"/>
              </w:rPr>
            </w:pPr>
          </w:p>
        </w:tc>
        <w:tc>
          <w:tcPr>
            <w:tcW w:w="1045" w:type="pct"/>
            <w:vAlign w:val="center"/>
          </w:tcPr>
          <w:p w14:paraId="1832290E">
            <w:pPr>
              <w:spacing w:line="240" w:lineRule="auto"/>
              <w:ind w:firstLine="0" w:firstLineChars="0"/>
              <w:jc w:val="center"/>
              <w:rPr>
                <w:rFonts w:cs="Times New Roman"/>
                <w:sz w:val="21"/>
              </w:rPr>
            </w:pPr>
            <w:r>
              <w:rPr>
                <w:rFonts w:cs="Times New Roman"/>
                <w:sz w:val="21"/>
              </w:rPr>
              <w:t>杜鹃盆景</w:t>
            </w:r>
          </w:p>
        </w:tc>
        <w:tc>
          <w:tcPr>
            <w:tcW w:w="596" w:type="pct"/>
            <w:vAlign w:val="center"/>
          </w:tcPr>
          <w:p w14:paraId="575DC57E">
            <w:pPr>
              <w:spacing w:line="240" w:lineRule="auto"/>
              <w:ind w:firstLine="0" w:firstLineChars="0"/>
              <w:jc w:val="center"/>
              <w:rPr>
                <w:rFonts w:cs="Times New Roman"/>
                <w:sz w:val="21"/>
              </w:rPr>
            </w:pPr>
            <w:r>
              <w:rPr>
                <w:rFonts w:cs="Times New Roman"/>
                <w:sz w:val="21"/>
              </w:rPr>
              <w:t>盆/年</w:t>
            </w:r>
          </w:p>
        </w:tc>
        <w:tc>
          <w:tcPr>
            <w:tcW w:w="636" w:type="pct"/>
            <w:vAlign w:val="center"/>
          </w:tcPr>
          <w:p w14:paraId="436E5095">
            <w:pPr>
              <w:spacing w:line="240" w:lineRule="auto"/>
              <w:ind w:firstLine="0" w:firstLineChars="0"/>
              <w:jc w:val="center"/>
              <w:rPr>
                <w:rFonts w:cs="Times New Roman"/>
                <w:sz w:val="21"/>
              </w:rPr>
            </w:pPr>
            <w:r>
              <w:rPr>
                <w:rFonts w:cs="Times New Roman"/>
                <w:sz w:val="21"/>
              </w:rPr>
              <w:t>10000</w:t>
            </w:r>
          </w:p>
        </w:tc>
        <w:tc>
          <w:tcPr>
            <w:tcW w:w="547" w:type="pct"/>
            <w:vAlign w:val="center"/>
          </w:tcPr>
          <w:p w14:paraId="7A164DD9">
            <w:pPr>
              <w:spacing w:line="240" w:lineRule="auto"/>
              <w:ind w:firstLine="0" w:firstLineChars="0"/>
              <w:jc w:val="center"/>
              <w:rPr>
                <w:rFonts w:cs="Times New Roman"/>
                <w:sz w:val="21"/>
              </w:rPr>
            </w:pPr>
            <w:r>
              <w:rPr>
                <w:rFonts w:cs="Times New Roman"/>
                <w:sz w:val="21"/>
              </w:rPr>
              <w:t>10</w:t>
            </w:r>
          </w:p>
        </w:tc>
        <w:tc>
          <w:tcPr>
            <w:tcW w:w="1087" w:type="pct"/>
            <w:vAlign w:val="center"/>
          </w:tcPr>
          <w:p w14:paraId="44B58959">
            <w:pPr>
              <w:spacing w:line="240" w:lineRule="auto"/>
              <w:ind w:firstLine="0" w:firstLineChars="0"/>
              <w:jc w:val="center"/>
              <w:rPr>
                <w:rFonts w:cs="Times New Roman"/>
                <w:sz w:val="21"/>
              </w:rPr>
            </w:pPr>
          </w:p>
        </w:tc>
      </w:tr>
      <w:tr w14:paraId="23984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87" w:type="pct"/>
            <w:vMerge w:val="continue"/>
            <w:vAlign w:val="center"/>
          </w:tcPr>
          <w:p w14:paraId="07A65C2D">
            <w:pPr>
              <w:spacing w:line="240" w:lineRule="auto"/>
              <w:ind w:firstLine="0" w:firstLineChars="0"/>
              <w:jc w:val="center"/>
              <w:rPr>
                <w:rFonts w:cs="Times New Roman"/>
                <w:sz w:val="21"/>
              </w:rPr>
            </w:pPr>
          </w:p>
        </w:tc>
        <w:tc>
          <w:tcPr>
            <w:tcW w:w="1045" w:type="pct"/>
            <w:vAlign w:val="center"/>
          </w:tcPr>
          <w:p w14:paraId="142ADC2E">
            <w:pPr>
              <w:spacing w:line="240" w:lineRule="auto"/>
              <w:ind w:firstLine="0" w:firstLineChars="0"/>
              <w:jc w:val="center"/>
              <w:rPr>
                <w:rFonts w:cs="Times New Roman"/>
                <w:sz w:val="21"/>
              </w:rPr>
            </w:pPr>
            <w:r>
              <w:rPr>
                <w:rFonts w:cs="Times New Roman"/>
                <w:sz w:val="21"/>
              </w:rPr>
              <w:t>药材</w:t>
            </w:r>
          </w:p>
        </w:tc>
        <w:tc>
          <w:tcPr>
            <w:tcW w:w="596" w:type="pct"/>
            <w:vAlign w:val="center"/>
          </w:tcPr>
          <w:p w14:paraId="4B4D7C2B">
            <w:pPr>
              <w:spacing w:line="240" w:lineRule="auto"/>
              <w:ind w:firstLine="0" w:firstLineChars="0"/>
              <w:jc w:val="center"/>
              <w:rPr>
                <w:rFonts w:cs="Times New Roman"/>
                <w:sz w:val="21"/>
              </w:rPr>
            </w:pPr>
            <w:r>
              <w:rPr>
                <w:rFonts w:cs="Times New Roman"/>
                <w:sz w:val="21"/>
              </w:rPr>
              <w:t>hm</w:t>
            </w:r>
            <w:r>
              <w:rPr>
                <w:rFonts w:cs="Times New Roman"/>
                <w:sz w:val="21"/>
                <w:vertAlign w:val="superscript"/>
              </w:rPr>
              <w:t>2</w:t>
            </w:r>
          </w:p>
        </w:tc>
        <w:tc>
          <w:tcPr>
            <w:tcW w:w="636" w:type="pct"/>
            <w:vAlign w:val="center"/>
          </w:tcPr>
          <w:p w14:paraId="76A164F2">
            <w:pPr>
              <w:spacing w:line="240" w:lineRule="auto"/>
              <w:ind w:firstLine="0" w:firstLineChars="0"/>
              <w:jc w:val="center"/>
              <w:rPr>
                <w:rFonts w:cs="Times New Roman"/>
                <w:sz w:val="21"/>
              </w:rPr>
            </w:pPr>
            <w:r>
              <w:rPr>
                <w:rFonts w:cs="Times New Roman"/>
                <w:sz w:val="21"/>
              </w:rPr>
              <w:t>20</w:t>
            </w:r>
          </w:p>
        </w:tc>
        <w:tc>
          <w:tcPr>
            <w:tcW w:w="547" w:type="pct"/>
            <w:vAlign w:val="center"/>
          </w:tcPr>
          <w:p w14:paraId="28AA8443">
            <w:pPr>
              <w:spacing w:line="240" w:lineRule="auto"/>
              <w:ind w:firstLine="0" w:firstLineChars="0"/>
              <w:jc w:val="center"/>
              <w:rPr>
                <w:rFonts w:cs="Times New Roman"/>
                <w:sz w:val="21"/>
              </w:rPr>
            </w:pPr>
            <w:r>
              <w:rPr>
                <w:rFonts w:cs="Times New Roman"/>
                <w:sz w:val="21"/>
              </w:rPr>
              <w:t>30</w:t>
            </w:r>
          </w:p>
        </w:tc>
        <w:tc>
          <w:tcPr>
            <w:tcW w:w="1087" w:type="pct"/>
            <w:vAlign w:val="center"/>
          </w:tcPr>
          <w:p w14:paraId="30A0CAFE">
            <w:pPr>
              <w:spacing w:line="240" w:lineRule="auto"/>
              <w:ind w:firstLine="0" w:firstLineChars="0"/>
              <w:jc w:val="center"/>
              <w:rPr>
                <w:rFonts w:cs="Times New Roman"/>
                <w:sz w:val="21"/>
              </w:rPr>
            </w:pPr>
          </w:p>
        </w:tc>
      </w:tr>
      <w:tr w14:paraId="33B98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87" w:type="pct"/>
            <w:vMerge w:val="continue"/>
            <w:vAlign w:val="center"/>
          </w:tcPr>
          <w:p w14:paraId="23A1723D">
            <w:pPr>
              <w:spacing w:line="240" w:lineRule="auto"/>
              <w:ind w:firstLine="0" w:firstLineChars="0"/>
              <w:jc w:val="center"/>
              <w:rPr>
                <w:rFonts w:cs="Times New Roman"/>
                <w:sz w:val="21"/>
              </w:rPr>
            </w:pPr>
          </w:p>
        </w:tc>
        <w:tc>
          <w:tcPr>
            <w:tcW w:w="1045" w:type="pct"/>
            <w:vAlign w:val="center"/>
          </w:tcPr>
          <w:p w14:paraId="03A840D1">
            <w:pPr>
              <w:spacing w:line="240" w:lineRule="auto"/>
              <w:ind w:firstLine="0" w:firstLineChars="0"/>
              <w:jc w:val="center"/>
              <w:rPr>
                <w:rFonts w:cs="Times New Roman"/>
                <w:sz w:val="21"/>
                <w:lang w:eastAsia="zh-CN"/>
              </w:rPr>
            </w:pPr>
            <w:r>
              <w:rPr>
                <w:rFonts w:cs="Times New Roman"/>
                <w:sz w:val="21"/>
              </w:rPr>
              <w:t>竹笋</w:t>
            </w:r>
          </w:p>
        </w:tc>
        <w:tc>
          <w:tcPr>
            <w:tcW w:w="596" w:type="pct"/>
            <w:vAlign w:val="center"/>
          </w:tcPr>
          <w:p w14:paraId="68CB3D4F">
            <w:pPr>
              <w:spacing w:line="240" w:lineRule="auto"/>
              <w:ind w:firstLine="0" w:firstLineChars="0"/>
              <w:jc w:val="center"/>
              <w:rPr>
                <w:rFonts w:cs="Times New Roman"/>
                <w:sz w:val="21"/>
              </w:rPr>
            </w:pPr>
            <w:r>
              <w:rPr>
                <w:rFonts w:cs="Times New Roman"/>
                <w:sz w:val="21"/>
              </w:rPr>
              <w:t>hm</w:t>
            </w:r>
            <w:r>
              <w:rPr>
                <w:rFonts w:cs="Times New Roman"/>
                <w:sz w:val="21"/>
                <w:vertAlign w:val="superscript"/>
              </w:rPr>
              <w:t>2</w:t>
            </w:r>
          </w:p>
        </w:tc>
        <w:tc>
          <w:tcPr>
            <w:tcW w:w="636" w:type="pct"/>
            <w:vAlign w:val="center"/>
          </w:tcPr>
          <w:p w14:paraId="57FBE00E">
            <w:pPr>
              <w:spacing w:line="240" w:lineRule="auto"/>
              <w:ind w:firstLine="0" w:firstLineChars="0"/>
              <w:jc w:val="center"/>
              <w:rPr>
                <w:rFonts w:cs="Times New Roman"/>
                <w:sz w:val="21"/>
              </w:rPr>
            </w:pPr>
            <w:r>
              <w:rPr>
                <w:rFonts w:cs="Times New Roman"/>
                <w:sz w:val="21"/>
              </w:rPr>
              <w:t>50</w:t>
            </w:r>
          </w:p>
        </w:tc>
        <w:tc>
          <w:tcPr>
            <w:tcW w:w="547" w:type="pct"/>
            <w:vAlign w:val="center"/>
          </w:tcPr>
          <w:p w14:paraId="74CF698D">
            <w:pPr>
              <w:spacing w:line="240" w:lineRule="auto"/>
              <w:ind w:firstLine="0" w:firstLineChars="0"/>
              <w:jc w:val="center"/>
              <w:rPr>
                <w:rFonts w:cs="Times New Roman"/>
                <w:sz w:val="21"/>
              </w:rPr>
            </w:pPr>
            <w:r>
              <w:rPr>
                <w:rFonts w:cs="Times New Roman"/>
                <w:sz w:val="21"/>
              </w:rPr>
              <w:t>30</w:t>
            </w:r>
          </w:p>
        </w:tc>
        <w:tc>
          <w:tcPr>
            <w:tcW w:w="1087" w:type="pct"/>
            <w:vAlign w:val="center"/>
          </w:tcPr>
          <w:p w14:paraId="541138B6">
            <w:pPr>
              <w:spacing w:line="240" w:lineRule="auto"/>
              <w:ind w:firstLine="0" w:firstLineChars="0"/>
              <w:jc w:val="center"/>
              <w:rPr>
                <w:rFonts w:cs="Times New Roman"/>
                <w:sz w:val="21"/>
              </w:rPr>
            </w:pPr>
          </w:p>
        </w:tc>
      </w:tr>
      <w:tr w14:paraId="2B719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87" w:type="pct"/>
            <w:vMerge w:val="continue"/>
            <w:vAlign w:val="center"/>
          </w:tcPr>
          <w:p w14:paraId="70609F76">
            <w:pPr>
              <w:spacing w:line="240" w:lineRule="auto"/>
              <w:ind w:firstLine="0" w:firstLineChars="0"/>
              <w:jc w:val="center"/>
              <w:rPr>
                <w:rFonts w:cs="Times New Roman"/>
                <w:sz w:val="21"/>
              </w:rPr>
            </w:pPr>
          </w:p>
        </w:tc>
        <w:tc>
          <w:tcPr>
            <w:tcW w:w="1045" w:type="pct"/>
            <w:vAlign w:val="center"/>
          </w:tcPr>
          <w:p w14:paraId="45D26E9F">
            <w:pPr>
              <w:spacing w:line="240" w:lineRule="auto"/>
              <w:ind w:firstLine="0" w:firstLineChars="0"/>
              <w:jc w:val="center"/>
              <w:rPr>
                <w:rFonts w:cs="Times New Roman"/>
                <w:sz w:val="21"/>
              </w:rPr>
            </w:pPr>
            <w:r>
              <w:rPr>
                <w:rFonts w:cs="Times New Roman"/>
                <w:sz w:val="21"/>
              </w:rPr>
              <w:t>小计</w:t>
            </w:r>
          </w:p>
        </w:tc>
        <w:tc>
          <w:tcPr>
            <w:tcW w:w="596" w:type="pct"/>
            <w:vAlign w:val="center"/>
          </w:tcPr>
          <w:p w14:paraId="34EAB43C">
            <w:pPr>
              <w:spacing w:line="240" w:lineRule="auto"/>
              <w:ind w:firstLine="0" w:firstLineChars="0"/>
              <w:jc w:val="center"/>
              <w:rPr>
                <w:rFonts w:cs="Times New Roman"/>
                <w:sz w:val="21"/>
              </w:rPr>
            </w:pPr>
          </w:p>
        </w:tc>
        <w:tc>
          <w:tcPr>
            <w:tcW w:w="636" w:type="pct"/>
            <w:vAlign w:val="center"/>
          </w:tcPr>
          <w:p w14:paraId="2B113FE9">
            <w:pPr>
              <w:spacing w:line="240" w:lineRule="auto"/>
              <w:ind w:firstLine="0" w:firstLineChars="0"/>
              <w:jc w:val="center"/>
              <w:rPr>
                <w:rFonts w:cs="Times New Roman"/>
                <w:sz w:val="21"/>
              </w:rPr>
            </w:pPr>
          </w:p>
        </w:tc>
        <w:tc>
          <w:tcPr>
            <w:tcW w:w="547" w:type="pct"/>
            <w:vAlign w:val="center"/>
          </w:tcPr>
          <w:p w14:paraId="4FCD8684">
            <w:pPr>
              <w:spacing w:line="240" w:lineRule="auto"/>
              <w:ind w:firstLine="0" w:firstLineChars="0"/>
              <w:jc w:val="center"/>
              <w:rPr>
                <w:rFonts w:cs="Times New Roman"/>
                <w:sz w:val="21"/>
              </w:rPr>
            </w:pPr>
            <w:r>
              <w:rPr>
                <w:rFonts w:cs="Times New Roman"/>
                <w:sz w:val="21"/>
              </w:rPr>
              <w:t>280</w:t>
            </w:r>
          </w:p>
        </w:tc>
        <w:tc>
          <w:tcPr>
            <w:tcW w:w="1087" w:type="pct"/>
            <w:vAlign w:val="center"/>
          </w:tcPr>
          <w:p w14:paraId="1AAE4AA0">
            <w:pPr>
              <w:spacing w:line="240" w:lineRule="auto"/>
              <w:ind w:firstLine="0" w:firstLineChars="0"/>
              <w:jc w:val="center"/>
              <w:rPr>
                <w:rFonts w:cs="Times New Roman"/>
                <w:sz w:val="21"/>
              </w:rPr>
            </w:pPr>
          </w:p>
        </w:tc>
      </w:tr>
      <w:tr w14:paraId="111FE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87" w:type="pct"/>
            <w:vMerge w:val="restart"/>
            <w:vAlign w:val="center"/>
          </w:tcPr>
          <w:p w14:paraId="401487CE">
            <w:pPr>
              <w:spacing w:line="240" w:lineRule="auto"/>
              <w:ind w:firstLine="0" w:firstLineChars="0"/>
              <w:jc w:val="center"/>
              <w:rPr>
                <w:rFonts w:cs="Times New Roman"/>
                <w:sz w:val="21"/>
              </w:rPr>
            </w:pPr>
            <w:r>
              <w:rPr>
                <w:rFonts w:cs="Times New Roman"/>
                <w:sz w:val="21"/>
              </w:rPr>
              <w:t>林下养殖业</w:t>
            </w:r>
          </w:p>
        </w:tc>
        <w:tc>
          <w:tcPr>
            <w:tcW w:w="1045" w:type="pct"/>
            <w:vAlign w:val="center"/>
          </w:tcPr>
          <w:p w14:paraId="6EAAC492">
            <w:pPr>
              <w:spacing w:line="240" w:lineRule="auto"/>
              <w:ind w:firstLine="0" w:firstLineChars="0"/>
              <w:jc w:val="center"/>
              <w:rPr>
                <w:rFonts w:cs="Times New Roman"/>
                <w:sz w:val="21"/>
              </w:rPr>
            </w:pPr>
            <w:r>
              <w:rPr>
                <w:rFonts w:cs="Times New Roman"/>
                <w:sz w:val="21"/>
              </w:rPr>
              <w:t>山羊</w:t>
            </w:r>
          </w:p>
        </w:tc>
        <w:tc>
          <w:tcPr>
            <w:tcW w:w="596" w:type="pct"/>
            <w:vAlign w:val="center"/>
          </w:tcPr>
          <w:p w14:paraId="284413F8">
            <w:pPr>
              <w:spacing w:line="240" w:lineRule="auto"/>
              <w:ind w:firstLine="0" w:firstLineChars="0"/>
              <w:jc w:val="center"/>
              <w:rPr>
                <w:rFonts w:cs="Times New Roman"/>
                <w:sz w:val="21"/>
              </w:rPr>
            </w:pPr>
            <w:r>
              <w:rPr>
                <w:rFonts w:cs="Times New Roman"/>
                <w:sz w:val="21"/>
              </w:rPr>
              <w:t>处</w:t>
            </w:r>
          </w:p>
        </w:tc>
        <w:tc>
          <w:tcPr>
            <w:tcW w:w="636" w:type="pct"/>
            <w:vAlign w:val="center"/>
          </w:tcPr>
          <w:p w14:paraId="56BEDF8B">
            <w:pPr>
              <w:spacing w:line="240" w:lineRule="auto"/>
              <w:ind w:firstLine="0" w:firstLineChars="0"/>
              <w:jc w:val="center"/>
              <w:rPr>
                <w:rFonts w:cs="Times New Roman"/>
                <w:sz w:val="21"/>
              </w:rPr>
            </w:pPr>
            <w:r>
              <w:rPr>
                <w:rFonts w:cs="Times New Roman"/>
                <w:sz w:val="21"/>
              </w:rPr>
              <w:t>10</w:t>
            </w:r>
          </w:p>
        </w:tc>
        <w:tc>
          <w:tcPr>
            <w:tcW w:w="547" w:type="pct"/>
            <w:vAlign w:val="center"/>
          </w:tcPr>
          <w:p w14:paraId="7392B827">
            <w:pPr>
              <w:spacing w:line="240" w:lineRule="auto"/>
              <w:ind w:firstLine="0" w:firstLineChars="0"/>
              <w:jc w:val="center"/>
              <w:rPr>
                <w:rFonts w:cs="Times New Roman"/>
                <w:sz w:val="21"/>
              </w:rPr>
            </w:pPr>
            <w:r>
              <w:rPr>
                <w:rFonts w:cs="Times New Roman"/>
                <w:sz w:val="21"/>
              </w:rPr>
              <w:t>60</w:t>
            </w:r>
          </w:p>
        </w:tc>
        <w:tc>
          <w:tcPr>
            <w:tcW w:w="1087" w:type="pct"/>
            <w:vAlign w:val="center"/>
          </w:tcPr>
          <w:p w14:paraId="5EAF9625">
            <w:pPr>
              <w:spacing w:line="240" w:lineRule="auto"/>
              <w:ind w:firstLine="0" w:firstLineChars="0"/>
              <w:jc w:val="center"/>
              <w:rPr>
                <w:rFonts w:cs="Times New Roman"/>
                <w:sz w:val="21"/>
              </w:rPr>
            </w:pPr>
            <w:r>
              <w:rPr>
                <w:rFonts w:cs="Times New Roman"/>
                <w:sz w:val="21"/>
              </w:rPr>
              <w:t>年产2000只</w:t>
            </w:r>
          </w:p>
        </w:tc>
      </w:tr>
      <w:tr w14:paraId="28AD8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87" w:type="pct"/>
            <w:vMerge w:val="continue"/>
            <w:vAlign w:val="center"/>
          </w:tcPr>
          <w:p w14:paraId="4ED04978">
            <w:pPr>
              <w:spacing w:line="240" w:lineRule="auto"/>
              <w:ind w:firstLine="0" w:firstLineChars="0"/>
              <w:jc w:val="center"/>
              <w:rPr>
                <w:rFonts w:cs="Times New Roman"/>
                <w:sz w:val="21"/>
              </w:rPr>
            </w:pPr>
          </w:p>
        </w:tc>
        <w:tc>
          <w:tcPr>
            <w:tcW w:w="1045" w:type="pct"/>
            <w:vAlign w:val="center"/>
          </w:tcPr>
          <w:p w14:paraId="279F636D">
            <w:pPr>
              <w:spacing w:line="240" w:lineRule="auto"/>
              <w:ind w:firstLine="0" w:firstLineChars="0"/>
              <w:jc w:val="center"/>
              <w:rPr>
                <w:rFonts w:cs="Times New Roman"/>
                <w:sz w:val="21"/>
              </w:rPr>
            </w:pPr>
            <w:r>
              <w:rPr>
                <w:rFonts w:cs="Times New Roman"/>
                <w:sz w:val="21"/>
              </w:rPr>
              <w:t>雷公猪</w:t>
            </w:r>
          </w:p>
        </w:tc>
        <w:tc>
          <w:tcPr>
            <w:tcW w:w="596" w:type="pct"/>
            <w:vAlign w:val="center"/>
          </w:tcPr>
          <w:p w14:paraId="28B6167B">
            <w:pPr>
              <w:spacing w:line="240" w:lineRule="auto"/>
              <w:ind w:firstLine="0" w:firstLineChars="0"/>
              <w:jc w:val="center"/>
              <w:rPr>
                <w:rFonts w:cs="Times New Roman"/>
                <w:sz w:val="21"/>
              </w:rPr>
            </w:pPr>
            <w:r>
              <w:rPr>
                <w:rFonts w:cs="Times New Roman"/>
                <w:sz w:val="21"/>
              </w:rPr>
              <w:t>处</w:t>
            </w:r>
          </w:p>
        </w:tc>
        <w:tc>
          <w:tcPr>
            <w:tcW w:w="636" w:type="pct"/>
            <w:vAlign w:val="center"/>
          </w:tcPr>
          <w:p w14:paraId="6C8923E7">
            <w:pPr>
              <w:spacing w:line="240" w:lineRule="auto"/>
              <w:ind w:firstLine="0" w:firstLineChars="0"/>
              <w:jc w:val="center"/>
              <w:rPr>
                <w:rFonts w:cs="Times New Roman"/>
                <w:sz w:val="21"/>
              </w:rPr>
            </w:pPr>
            <w:r>
              <w:rPr>
                <w:rFonts w:cs="Times New Roman"/>
                <w:sz w:val="21"/>
              </w:rPr>
              <w:t>5</w:t>
            </w:r>
          </w:p>
        </w:tc>
        <w:tc>
          <w:tcPr>
            <w:tcW w:w="547" w:type="pct"/>
            <w:vAlign w:val="center"/>
          </w:tcPr>
          <w:p w14:paraId="64335019">
            <w:pPr>
              <w:spacing w:line="240" w:lineRule="auto"/>
              <w:ind w:firstLine="0" w:firstLineChars="0"/>
              <w:jc w:val="center"/>
              <w:rPr>
                <w:rFonts w:cs="Times New Roman"/>
                <w:sz w:val="21"/>
              </w:rPr>
            </w:pPr>
            <w:r>
              <w:rPr>
                <w:rFonts w:cs="Times New Roman"/>
                <w:sz w:val="21"/>
              </w:rPr>
              <w:t>30</w:t>
            </w:r>
          </w:p>
        </w:tc>
        <w:tc>
          <w:tcPr>
            <w:tcW w:w="1087" w:type="pct"/>
            <w:vAlign w:val="center"/>
          </w:tcPr>
          <w:p w14:paraId="1F94C09A">
            <w:pPr>
              <w:spacing w:line="240" w:lineRule="auto"/>
              <w:ind w:firstLine="0" w:firstLineChars="0"/>
              <w:jc w:val="center"/>
              <w:rPr>
                <w:rFonts w:cs="Times New Roman"/>
                <w:sz w:val="21"/>
              </w:rPr>
            </w:pPr>
            <w:r>
              <w:rPr>
                <w:rFonts w:cs="Times New Roman"/>
                <w:sz w:val="21"/>
              </w:rPr>
              <w:t>年产600头</w:t>
            </w:r>
          </w:p>
        </w:tc>
      </w:tr>
      <w:tr w14:paraId="1D141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87" w:type="pct"/>
            <w:vMerge w:val="continue"/>
            <w:vAlign w:val="center"/>
          </w:tcPr>
          <w:p w14:paraId="25421F9F">
            <w:pPr>
              <w:spacing w:line="240" w:lineRule="auto"/>
              <w:ind w:firstLine="0" w:firstLineChars="0"/>
              <w:jc w:val="center"/>
              <w:rPr>
                <w:rFonts w:cs="Times New Roman"/>
                <w:sz w:val="21"/>
              </w:rPr>
            </w:pPr>
          </w:p>
        </w:tc>
        <w:tc>
          <w:tcPr>
            <w:tcW w:w="1045" w:type="pct"/>
            <w:vAlign w:val="center"/>
          </w:tcPr>
          <w:p w14:paraId="74C3E848">
            <w:pPr>
              <w:spacing w:line="240" w:lineRule="auto"/>
              <w:ind w:firstLine="0" w:firstLineChars="0"/>
              <w:jc w:val="center"/>
              <w:rPr>
                <w:rFonts w:cs="Times New Roman"/>
                <w:sz w:val="21"/>
              </w:rPr>
            </w:pPr>
            <w:r>
              <w:rPr>
                <w:rFonts w:cs="Times New Roman"/>
                <w:sz w:val="21"/>
              </w:rPr>
              <w:t>小计</w:t>
            </w:r>
          </w:p>
        </w:tc>
        <w:tc>
          <w:tcPr>
            <w:tcW w:w="596" w:type="pct"/>
            <w:vAlign w:val="center"/>
          </w:tcPr>
          <w:p w14:paraId="1AB303FA">
            <w:pPr>
              <w:spacing w:line="240" w:lineRule="auto"/>
              <w:ind w:firstLine="0" w:firstLineChars="0"/>
              <w:jc w:val="center"/>
              <w:rPr>
                <w:rFonts w:cs="Times New Roman"/>
                <w:sz w:val="21"/>
              </w:rPr>
            </w:pPr>
          </w:p>
        </w:tc>
        <w:tc>
          <w:tcPr>
            <w:tcW w:w="636" w:type="pct"/>
            <w:vAlign w:val="center"/>
          </w:tcPr>
          <w:p w14:paraId="60AC3DFF">
            <w:pPr>
              <w:spacing w:line="240" w:lineRule="auto"/>
              <w:ind w:firstLine="0" w:firstLineChars="0"/>
              <w:jc w:val="center"/>
              <w:rPr>
                <w:rFonts w:cs="Times New Roman"/>
                <w:sz w:val="21"/>
              </w:rPr>
            </w:pPr>
          </w:p>
        </w:tc>
        <w:tc>
          <w:tcPr>
            <w:tcW w:w="547" w:type="pct"/>
            <w:vAlign w:val="center"/>
          </w:tcPr>
          <w:p w14:paraId="4AD357F9">
            <w:pPr>
              <w:spacing w:line="240" w:lineRule="auto"/>
              <w:ind w:firstLine="0" w:firstLineChars="0"/>
              <w:jc w:val="center"/>
              <w:rPr>
                <w:rFonts w:cs="Times New Roman"/>
                <w:sz w:val="21"/>
              </w:rPr>
            </w:pPr>
            <w:r>
              <w:rPr>
                <w:rFonts w:cs="Times New Roman"/>
                <w:sz w:val="21"/>
              </w:rPr>
              <w:t>90</w:t>
            </w:r>
          </w:p>
        </w:tc>
        <w:tc>
          <w:tcPr>
            <w:tcW w:w="1087" w:type="pct"/>
            <w:vAlign w:val="center"/>
          </w:tcPr>
          <w:p w14:paraId="28E2BA5C">
            <w:pPr>
              <w:spacing w:line="240" w:lineRule="auto"/>
              <w:ind w:firstLine="0" w:firstLineChars="0"/>
              <w:jc w:val="center"/>
              <w:rPr>
                <w:rFonts w:cs="Times New Roman"/>
                <w:sz w:val="21"/>
              </w:rPr>
            </w:pPr>
          </w:p>
        </w:tc>
      </w:tr>
      <w:tr w14:paraId="35E72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87" w:type="pct"/>
            <w:vMerge w:val="restart"/>
            <w:vAlign w:val="center"/>
          </w:tcPr>
          <w:p w14:paraId="27162D83">
            <w:pPr>
              <w:spacing w:line="240" w:lineRule="auto"/>
              <w:ind w:firstLine="0" w:firstLineChars="0"/>
              <w:jc w:val="center"/>
              <w:rPr>
                <w:rFonts w:cs="Times New Roman"/>
                <w:sz w:val="21"/>
              </w:rPr>
            </w:pPr>
            <w:r>
              <w:rPr>
                <w:rFonts w:cs="Times New Roman"/>
                <w:sz w:val="21"/>
              </w:rPr>
              <w:t>林下加工业</w:t>
            </w:r>
          </w:p>
          <w:p w14:paraId="18DCB87C">
            <w:pPr>
              <w:spacing w:line="240" w:lineRule="auto"/>
              <w:ind w:firstLine="0" w:firstLineChars="0"/>
              <w:jc w:val="center"/>
              <w:rPr>
                <w:rFonts w:cs="Times New Roman"/>
                <w:sz w:val="21"/>
              </w:rPr>
            </w:pPr>
          </w:p>
        </w:tc>
        <w:tc>
          <w:tcPr>
            <w:tcW w:w="1045" w:type="pct"/>
            <w:vAlign w:val="center"/>
          </w:tcPr>
          <w:p w14:paraId="669E21DF">
            <w:pPr>
              <w:spacing w:line="240" w:lineRule="auto"/>
              <w:ind w:firstLine="0" w:firstLineChars="0"/>
              <w:jc w:val="center"/>
              <w:rPr>
                <w:rFonts w:cs="Times New Roman"/>
                <w:sz w:val="21"/>
              </w:rPr>
            </w:pPr>
            <w:r>
              <w:rPr>
                <w:rFonts w:cs="Times New Roman"/>
                <w:sz w:val="21"/>
              </w:rPr>
              <w:t>竹工艺品</w:t>
            </w:r>
          </w:p>
        </w:tc>
        <w:tc>
          <w:tcPr>
            <w:tcW w:w="596" w:type="pct"/>
            <w:vAlign w:val="center"/>
          </w:tcPr>
          <w:p w14:paraId="5B864406">
            <w:pPr>
              <w:spacing w:line="240" w:lineRule="auto"/>
              <w:ind w:firstLine="0" w:firstLineChars="0"/>
              <w:jc w:val="center"/>
              <w:rPr>
                <w:rFonts w:cs="Times New Roman"/>
                <w:sz w:val="21"/>
              </w:rPr>
            </w:pPr>
            <w:r>
              <w:rPr>
                <w:rFonts w:cs="Times New Roman"/>
                <w:sz w:val="21"/>
              </w:rPr>
              <w:t>件</w:t>
            </w:r>
          </w:p>
        </w:tc>
        <w:tc>
          <w:tcPr>
            <w:tcW w:w="636" w:type="pct"/>
            <w:vAlign w:val="center"/>
          </w:tcPr>
          <w:p w14:paraId="48EC761E">
            <w:pPr>
              <w:spacing w:line="240" w:lineRule="auto"/>
              <w:ind w:firstLine="0" w:firstLineChars="0"/>
              <w:jc w:val="center"/>
              <w:rPr>
                <w:rFonts w:cs="Times New Roman"/>
                <w:sz w:val="21"/>
              </w:rPr>
            </w:pPr>
            <w:r>
              <w:rPr>
                <w:rFonts w:cs="Times New Roman"/>
                <w:sz w:val="21"/>
              </w:rPr>
              <w:t>6</w:t>
            </w:r>
          </w:p>
        </w:tc>
        <w:tc>
          <w:tcPr>
            <w:tcW w:w="547" w:type="pct"/>
            <w:vAlign w:val="center"/>
          </w:tcPr>
          <w:p w14:paraId="327C31DE">
            <w:pPr>
              <w:spacing w:line="240" w:lineRule="auto"/>
              <w:ind w:firstLine="0" w:firstLineChars="0"/>
              <w:jc w:val="center"/>
              <w:rPr>
                <w:rFonts w:cs="Times New Roman"/>
                <w:sz w:val="21"/>
              </w:rPr>
            </w:pPr>
            <w:r>
              <w:rPr>
                <w:rFonts w:cs="Times New Roman"/>
                <w:sz w:val="21"/>
              </w:rPr>
              <w:t>30</w:t>
            </w:r>
          </w:p>
        </w:tc>
        <w:tc>
          <w:tcPr>
            <w:tcW w:w="1087" w:type="pct"/>
            <w:vAlign w:val="center"/>
          </w:tcPr>
          <w:p w14:paraId="6191EABD">
            <w:pPr>
              <w:spacing w:line="240" w:lineRule="auto"/>
              <w:ind w:firstLine="0" w:firstLineChars="0"/>
              <w:jc w:val="center"/>
              <w:rPr>
                <w:rFonts w:cs="Times New Roman"/>
                <w:sz w:val="21"/>
              </w:rPr>
            </w:pPr>
          </w:p>
        </w:tc>
      </w:tr>
      <w:tr w14:paraId="3198E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87" w:type="pct"/>
            <w:vMerge w:val="continue"/>
            <w:vAlign w:val="center"/>
          </w:tcPr>
          <w:p w14:paraId="00C4981E">
            <w:pPr>
              <w:spacing w:line="240" w:lineRule="auto"/>
              <w:ind w:firstLine="0" w:firstLineChars="0"/>
              <w:jc w:val="center"/>
              <w:rPr>
                <w:rFonts w:cs="Times New Roman"/>
                <w:sz w:val="21"/>
              </w:rPr>
            </w:pPr>
          </w:p>
        </w:tc>
        <w:tc>
          <w:tcPr>
            <w:tcW w:w="1045" w:type="pct"/>
            <w:vAlign w:val="center"/>
          </w:tcPr>
          <w:p w14:paraId="110C5B04">
            <w:pPr>
              <w:spacing w:line="240" w:lineRule="auto"/>
              <w:ind w:firstLine="0" w:firstLineChars="0"/>
              <w:jc w:val="center"/>
              <w:rPr>
                <w:rFonts w:cs="Times New Roman"/>
                <w:sz w:val="21"/>
              </w:rPr>
            </w:pPr>
            <w:r>
              <w:rPr>
                <w:rFonts w:cs="Times New Roman"/>
                <w:sz w:val="21"/>
              </w:rPr>
              <w:t>木制品</w:t>
            </w:r>
          </w:p>
        </w:tc>
        <w:tc>
          <w:tcPr>
            <w:tcW w:w="596" w:type="pct"/>
            <w:vAlign w:val="center"/>
          </w:tcPr>
          <w:p w14:paraId="220C7110">
            <w:pPr>
              <w:spacing w:line="240" w:lineRule="auto"/>
              <w:ind w:firstLine="0" w:firstLineChars="0"/>
              <w:jc w:val="center"/>
              <w:rPr>
                <w:rFonts w:cs="Times New Roman"/>
                <w:sz w:val="21"/>
              </w:rPr>
            </w:pPr>
            <w:r>
              <w:rPr>
                <w:rFonts w:cs="Times New Roman"/>
                <w:sz w:val="21"/>
              </w:rPr>
              <w:t>件</w:t>
            </w:r>
          </w:p>
        </w:tc>
        <w:tc>
          <w:tcPr>
            <w:tcW w:w="636" w:type="pct"/>
            <w:vAlign w:val="center"/>
          </w:tcPr>
          <w:p w14:paraId="525A322A">
            <w:pPr>
              <w:spacing w:line="240" w:lineRule="auto"/>
              <w:ind w:firstLine="0" w:firstLineChars="0"/>
              <w:jc w:val="center"/>
              <w:rPr>
                <w:rFonts w:cs="Times New Roman"/>
                <w:sz w:val="21"/>
              </w:rPr>
            </w:pPr>
            <w:r>
              <w:rPr>
                <w:rFonts w:cs="Times New Roman"/>
                <w:sz w:val="21"/>
              </w:rPr>
              <w:t>2</w:t>
            </w:r>
          </w:p>
        </w:tc>
        <w:tc>
          <w:tcPr>
            <w:tcW w:w="547" w:type="pct"/>
            <w:vAlign w:val="center"/>
          </w:tcPr>
          <w:p w14:paraId="6943520E">
            <w:pPr>
              <w:spacing w:line="240" w:lineRule="auto"/>
              <w:ind w:firstLine="0" w:firstLineChars="0"/>
              <w:jc w:val="center"/>
              <w:rPr>
                <w:rFonts w:cs="Times New Roman"/>
                <w:sz w:val="21"/>
              </w:rPr>
            </w:pPr>
            <w:r>
              <w:rPr>
                <w:rFonts w:cs="Times New Roman"/>
                <w:sz w:val="21"/>
              </w:rPr>
              <w:t>10</w:t>
            </w:r>
          </w:p>
        </w:tc>
        <w:tc>
          <w:tcPr>
            <w:tcW w:w="1087" w:type="pct"/>
            <w:vAlign w:val="center"/>
          </w:tcPr>
          <w:p w14:paraId="56AFCEAF">
            <w:pPr>
              <w:spacing w:line="240" w:lineRule="auto"/>
              <w:ind w:firstLine="0" w:firstLineChars="0"/>
              <w:jc w:val="center"/>
              <w:rPr>
                <w:rFonts w:cs="Times New Roman"/>
                <w:sz w:val="21"/>
              </w:rPr>
            </w:pPr>
          </w:p>
        </w:tc>
      </w:tr>
      <w:tr w14:paraId="295E4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87" w:type="pct"/>
            <w:vMerge w:val="continue"/>
            <w:vAlign w:val="center"/>
          </w:tcPr>
          <w:p w14:paraId="514DE40B">
            <w:pPr>
              <w:spacing w:line="240" w:lineRule="auto"/>
              <w:ind w:firstLine="0" w:firstLineChars="0"/>
              <w:jc w:val="center"/>
              <w:rPr>
                <w:rFonts w:cs="Times New Roman"/>
                <w:sz w:val="21"/>
              </w:rPr>
            </w:pPr>
          </w:p>
        </w:tc>
        <w:tc>
          <w:tcPr>
            <w:tcW w:w="1045" w:type="pct"/>
            <w:vAlign w:val="center"/>
          </w:tcPr>
          <w:p w14:paraId="34325449">
            <w:pPr>
              <w:spacing w:line="240" w:lineRule="auto"/>
              <w:ind w:firstLine="0" w:firstLineChars="0"/>
              <w:jc w:val="center"/>
              <w:rPr>
                <w:rFonts w:cs="Times New Roman"/>
                <w:sz w:val="21"/>
              </w:rPr>
            </w:pPr>
            <w:r>
              <w:rPr>
                <w:rFonts w:cs="Times New Roman"/>
                <w:sz w:val="21"/>
              </w:rPr>
              <w:t>小计</w:t>
            </w:r>
          </w:p>
        </w:tc>
        <w:tc>
          <w:tcPr>
            <w:tcW w:w="596" w:type="pct"/>
            <w:vAlign w:val="center"/>
          </w:tcPr>
          <w:p w14:paraId="09D849A4">
            <w:pPr>
              <w:spacing w:line="240" w:lineRule="auto"/>
              <w:ind w:firstLine="0" w:firstLineChars="0"/>
              <w:jc w:val="center"/>
              <w:rPr>
                <w:rFonts w:cs="Times New Roman"/>
                <w:sz w:val="21"/>
              </w:rPr>
            </w:pPr>
          </w:p>
        </w:tc>
        <w:tc>
          <w:tcPr>
            <w:tcW w:w="636" w:type="pct"/>
            <w:vAlign w:val="center"/>
          </w:tcPr>
          <w:p w14:paraId="498DD93E">
            <w:pPr>
              <w:spacing w:line="240" w:lineRule="auto"/>
              <w:ind w:firstLine="0" w:firstLineChars="0"/>
              <w:jc w:val="center"/>
              <w:rPr>
                <w:rFonts w:cs="Times New Roman"/>
                <w:sz w:val="21"/>
              </w:rPr>
            </w:pPr>
          </w:p>
        </w:tc>
        <w:tc>
          <w:tcPr>
            <w:tcW w:w="547" w:type="pct"/>
            <w:vAlign w:val="center"/>
          </w:tcPr>
          <w:p w14:paraId="61D3EFFF">
            <w:pPr>
              <w:spacing w:line="240" w:lineRule="auto"/>
              <w:ind w:firstLine="0" w:firstLineChars="0"/>
              <w:jc w:val="center"/>
              <w:rPr>
                <w:rFonts w:cs="Times New Roman"/>
                <w:sz w:val="21"/>
              </w:rPr>
            </w:pPr>
            <w:r>
              <w:rPr>
                <w:rFonts w:cs="Times New Roman"/>
                <w:sz w:val="21"/>
              </w:rPr>
              <w:t>40</w:t>
            </w:r>
          </w:p>
        </w:tc>
        <w:tc>
          <w:tcPr>
            <w:tcW w:w="1087" w:type="pct"/>
            <w:vAlign w:val="center"/>
          </w:tcPr>
          <w:p w14:paraId="1AAAE6A0">
            <w:pPr>
              <w:spacing w:line="240" w:lineRule="auto"/>
              <w:ind w:firstLine="0" w:firstLineChars="0"/>
              <w:jc w:val="center"/>
              <w:rPr>
                <w:rFonts w:cs="Times New Roman"/>
                <w:sz w:val="21"/>
              </w:rPr>
            </w:pPr>
          </w:p>
        </w:tc>
      </w:tr>
      <w:tr w14:paraId="3E1A7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87" w:type="pct"/>
            <w:vAlign w:val="center"/>
          </w:tcPr>
          <w:p w14:paraId="21859913">
            <w:pPr>
              <w:spacing w:line="240" w:lineRule="auto"/>
              <w:ind w:firstLine="0" w:firstLineChars="0"/>
              <w:jc w:val="center"/>
              <w:rPr>
                <w:rFonts w:cs="Times New Roman"/>
                <w:sz w:val="21"/>
              </w:rPr>
            </w:pPr>
            <w:r>
              <w:rPr>
                <w:rFonts w:cs="Times New Roman"/>
                <w:sz w:val="21"/>
              </w:rPr>
              <w:t>合计</w:t>
            </w:r>
          </w:p>
        </w:tc>
        <w:tc>
          <w:tcPr>
            <w:tcW w:w="1045" w:type="pct"/>
            <w:vAlign w:val="center"/>
          </w:tcPr>
          <w:p w14:paraId="1D4E2580">
            <w:pPr>
              <w:spacing w:line="240" w:lineRule="auto"/>
              <w:ind w:firstLine="0" w:firstLineChars="0"/>
              <w:jc w:val="center"/>
              <w:rPr>
                <w:rFonts w:cs="Times New Roman"/>
                <w:sz w:val="21"/>
              </w:rPr>
            </w:pPr>
          </w:p>
        </w:tc>
        <w:tc>
          <w:tcPr>
            <w:tcW w:w="596" w:type="pct"/>
            <w:vAlign w:val="center"/>
          </w:tcPr>
          <w:p w14:paraId="5A0170CC">
            <w:pPr>
              <w:spacing w:line="240" w:lineRule="auto"/>
              <w:ind w:firstLine="0" w:firstLineChars="0"/>
              <w:jc w:val="center"/>
              <w:rPr>
                <w:rFonts w:cs="Times New Roman"/>
                <w:sz w:val="21"/>
              </w:rPr>
            </w:pPr>
          </w:p>
        </w:tc>
        <w:tc>
          <w:tcPr>
            <w:tcW w:w="636" w:type="pct"/>
            <w:vAlign w:val="center"/>
          </w:tcPr>
          <w:p w14:paraId="04511F06">
            <w:pPr>
              <w:spacing w:line="240" w:lineRule="auto"/>
              <w:ind w:firstLine="0" w:firstLineChars="0"/>
              <w:jc w:val="center"/>
              <w:rPr>
                <w:rFonts w:cs="Times New Roman"/>
                <w:sz w:val="21"/>
              </w:rPr>
            </w:pPr>
          </w:p>
        </w:tc>
        <w:tc>
          <w:tcPr>
            <w:tcW w:w="547" w:type="pct"/>
            <w:vAlign w:val="center"/>
          </w:tcPr>
          <w:p w14:paraId="371FE5A6">
            <w:pPr>
              <w:spacing w:line="240" w:lineRule="auto"/>
              <w:ind w:firstLine="0" w:firstLineChars="0"/>
              <w:jc w:val="center"/>
              <w:rPr>
                <w:rFonts w:hint="default" w:eastAsia="宋体" w:cs="Times New Roman"/>
                <w:sz w:val="21"/>
                <w:lang w:val="en-US" w:eastAsia="zh-CN"/>
              </w:rPr>
            </w:pPr>
            <w:r>
              <w:rPr>
                <w:rFonts w:hint="eastAsia" w:cs="Times New Roman"/>
                <w:sz w:val="21"/>
                <w:lang w:val="en-US" w:eastAsia="zh-CN"/>
              </w:rPr>
              <w:t>410</w:t>
            </w:r>
          </w:p>
        </w:tc>
        <w:tc>
          <w:tcPr>
            <w:tcW w:w="1087" w:type="pct"/>
            <w:vAlign w:val="center"/>
          </w:tcPr>
          <w:p w14:paraId="5DB9DB2F">
            <w:pPr>
              <w:spacing w:line="240" w:lineRule="auto"/>
              <w:ind w:firstLine="0" w:firstLineChars="0"/>
              <w:jc w:val="center"/>
              <w:rPr>
                <w:rFonts w:cs="Times New Roman"/>
                <w:sz w:val="21"/>
              </w:rPr>
            </w:pPr>
          </w:p>
        </w:tc>
      </w:tr>
    </w:tbl>
    <w:p w14:paraId="37840022">
      <w:pPr>
        <w:pStyle w:val="4"/>
      </w:pPr>
      <w:r>
        <w:rPr>
          <w:rFonts w:hint="eastAsia"/>
        </w:rPr>
        <w:t>7.2.4林下经济经营项目效益分析</w:t>
      </w:r>
    </w:p>
    <w:p w14:paraId="5E05F94F">
      <w:pPr>
        <w:ind w:firstLine="480"/>
        <w:rPr>
          <w:lang w:eastAsia="zh-CN"/>
        </w:rPr>
      </w:pPr>
      <w:r>
        <w:rPr>
          <w:rFonts w:hint="eastAsia"/>
          <w:lang w:eastAsia="zh-CN"/>
        </w:rPr>
        <w:t>种植业利润按年产值20%计，养殖业纯利润按年产值的30%计，加工业纯利润按折产值的25%计，则多种经营年总利润为：720×20%+</w:t>
      </w:r>
      <w:r>
        <w:rPr>
          <w:rFonts w:hint="eastAsia"/>
          <w:lang w:val="en-US" w:eastAsia="zh-CN"/>
        </w:rPr>
        <w:t>220</w:t>
      </w:r>
      <w:r>
        <w:rPr>
          <w:rFonts w:hint="eastAsia"/>
          <w:lang w:eastAsia="zh-CN"/>
        </w:rPr>
        <w:t>×30%+</w:t>
      </w:r>
      <w:r>
        <w:rPr>
          <w:rFonts w:hint="eastAsia"/>
          <w:lang w:val="en-US" w:eastAsia="zh-CN"/>
        </w:rPr>
        <w:t>90</w:t>
      </w:r>
      <w:r>
        <w:rPr>
          <w:rFonts w:hint="eastAsia"/>
          <w:lang w:eastAsia="zh-CN"/>
        </w:rPr>
        <w:t>×25%=144+</w:t>
      </w:r>
      <w:r>
        <w:rPr>
          <w:rFonts w:hint="eastAsia"/>
          <w:lang w:val="en-US" w:eastAsia="zh-CN"/>
        </w:rPr>
        <w:t>66</w:t>
      </w:r>
      <w:r>
        <w:rPr>
          <w:rFonts w:hint="eastAsia"/>
          <w:lang w:eastAsia="zh-CN"/>
        </w:rPr>
        <w:t>+2</w:t>
      </w:r>
      <w:r>
        <w:rPr>
          <w:rFonts w:hint="eastAsia"/>
          <w:lang w:val="en-US" w:eastAsia="zh-CN"/>
        </w:rPr>
        <w:t>2.5</w:t>
      </w:r>
      <w:r>
        <w:rPr>
          <w:rFonts w:hint="eastAsia"/>
          <w:lang w:eastAsia="zh-CN"/>
        </w:rPr>
        <w:t>=</w:t>
      </w:r>
      <w:r>
        <w:rPr>
          <w:rFonts w:hint="eastAsia"/>
          <w:lang w:val="en-US" w:eastAsia="zh-CN"/>
        </w:rPr>
        <w:t>232.5</w:t>
      </w:r>
      <w:r>
        <w:rPr>
          <w:rFonts w:hint="eastAsia"/>
          <w:lang w:eastAsia="zh-CN"/>
        </w:rPr>
        <w:t>(万元)。</w:t>
      </w:r>
    </w:p>
    <w:p w14:paraId="263A2730">
      <w:pPr>
        <w:ind w:firstLine="480"/>
        <w:rPr>
          <w:rFonts w:cs="宋体"/>
          <w:lang w:eastAsia="zh-CN"/>
        </w:rPr>
      </w:pPr>
      <w:r>
        <w:rPr>
          <w:rFonts w:hint="eastAsia"/>
          <w:lang w:eastAsia="zh-CN"/>
        </w:rPr>
        <w:t>综上静态分析，开展多种经营需投入建设资金4</w:t>
      </w:r>
      <w:r>
        <w:rPr>
          <w:rFonts w:hint="eastAsia"/>
          <w:lang w:val="en-US" w:eastAsia="zh-CN"/>
        </w:rPr>
        <w:t>10</w:t>
      </w:r>
      <w:r>
        <w:rPr>
          <w:rFonts w:hint="eastAsia"/>
          <w:lang w:eastAsia="zh-CN"/>
        </w:rPr>
        <w:t>万元，年创产值1</w:t>
      </w:r>
      <w:r>
        <w:rPr>
          <w:rFonts w:hint="eastAsia"/>
          <w:lang w:val="en-US" w:eastAsia="zh-CN"/>
        </w:rPr>
        <w:t>030</w:t>
      </w:r>
      <w:r>
        <w:rPr>
          <w:rFonts w:hint="eastAsia"/>
          <w:lang w:eastAsia="zh-CN"/>
        </w:rPr>
        <w:t>万元，纯利达</w:t>
      </w:r>
      <w:r>
        <w:rPr>
          <w:rFonts w:hint="eastAsia"/>
          <w:lang w:val="en-US" w:eastAsia="zh-CN"/>
        </w:rPr>
        <w:t>235.5</w:t>
      </w:r>
      <w:r>
        <w:rPr>
          <w:rFonts w:hint="eastAsia"/>
          <w:lang w:eastAsia="zh-CN"/>
        </w:rPr>
        <w:t>万元，经济效益是比较好的。产品销售收入情况见表7-4。</w:t>
      </w:r>
    </w:p>
    <w:p w14:paraId="1FFE2DF6">
      <w:pPr>
        <w:kinsoku/>
        <w:autoSpaceDE/>
        <w:autoSpaceDN/>
        <w:adjustRightInd/>
        <w:snapToGrid/>
        <w:spacing w:line="240" w:lineRule="auto"/>
        <w:ind w:firstLine="0" w:firstLineChars="0"/>
        <w:jc w:val="left"/>
        <w:textAlignment w:val="auto"/>
        <w:rPr>
          <w:rFonts w:eastAsia="黑体" w:cs="Times New Roman"/>
          <w:b/>
          <w:bCs/>
          <w:szCs w:val="24"/>
          <w:lang w:eastAsia="zh-CN"/>
        </w:rPr>
      </w:pPr>
      <w:r>
        <w:rPr>
          <w:rFonts w:hint="eastAsia" w:eastAsia="黑体" w:cs="Times New Roman"/>
          <w:b/>
          <w:bCs/>
          <w:szCs w:val="24"/>
          <w:lang w:eastAsia="zh-CN"/>
        </w:rPr>
        <w:br w:type="page"/>
      </w:r>
    </w:p>
    <w:p w14:paraId="753601D1">
      <w:pPr>
        <w:spacing w:line="240" w:lineRule="auto"/>
        <w:ind w:firstLine="0" w:firstLineChars="0"/>
        <w:jc w:val="center"/>
        <w:rPr>
          <w:lang w:eastAsia="zh-CN"/>
        </w:rPr>
      </w:pPr>
      <w:r>
        <w:rPr>
          <w:rFonts w:hint="eastAsia" w:eastAsia="黑体" w:cs="Times New Roman"/>
          <w:b/>
          <w:bCs/>
          <w:szCs w:val="24"/>
          <w:lang w:eastAsia="zh-CN"/>
        </w:rPr>
        <w:t>表</w:t>
      </w:r>
      <w:r>
        <w:rPr>
          <w:rFonts w:eastAsia="黑体" w:cs="Times New Roman"/>
          <w:b/>
          <w:bCs/>
          <w:szCs w:val="24"/>
          <w:lang w:eastAsia="zh-CN"/>
        </w:rPr>
        <w:t>7-</w:t>
      </w:r>
      <w:r>
        <w:rPr>
          <w:rFonts w:hint="eastAsia" w:eastAsia="黑体" w:cs="Times New Roman"/>
          <w:b/>
          <w:bCs/>
          <w:szCs w:val="24"/>
          <w:lang w:eastAsia="zh-CN"/>
        </w:rPr>
        <w:t>4</w:t>
      </w:r>
      <w:r>
        <w:rPr>
          <w:rFonts w:hint="eastAsia"/>
          <w:b/>
          <w:lang w:eastAsia="zh-CN"/>
        </w:rPr>
        <w:t>阳明山国有林场多种经营产品产量及销售收入一览表</w:t>
      </w:r>
    </w:p>
    <w:tbl>
      <w:tblPr>
        <w:tblStyle w:val="1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5"/>
        <w:gridCol w:w="1388"/>
        <w:gridCol w:w="834"/>
        <w:gridCol w:w="970"/>
        <w:gridCol w:w="1294"/>
        <w:gridCol w:w="1110"/>
        <w:gridCol w:w="1656"/>
      </w:tblGrid>
      <w:tr w14:paraId="5B767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929" w:type="pct"/>
            <w:vAlign w:val="center"/>
          </w:tcPr>
          <w:p w14:paraId="33F0ABC2">
            <w:pPr>
              <w:spacing w:line="240" w:lineRule="auto"/>
              <w:ind w:firstLine="0" w:firstLineChars="0"/>
              <w:jc w:val="center"/>
              <w:rPr>
                <w:rFonts w:cs="Times New Roman"/>
                <w:sz w:val="21"/>
              </w:rPr>
            </w:pPr>
            <w:r>
              <w:rPr>
                <w:rFonts w:cs="Times New Roman"/>
                <w:sz w:val="21"/>
              </w:rPr>
              <w:t>类别</w:t>
            </w:r>
          </w:p>
        </w:tc>
        <w:tc>
          <w:tcPr>
            <w:tcW w:w="779" w:type="pct"/>
            <w:vAlign w:val="center"/>
          </w:tcPr>
          <w:p w14:paraId="32F9FCA1">
            <w:pPr>
              <w:spacing w:line="240" w:lineRule="auto"/>
              <w:ind w:firstLine="0" w:firstLineChars="0"/>
              <w:jc w:val="center"/>
              <w:rPr>
                <w:rFonts w:cs="Times New Roman"/>
                <w:sz w:val="21"/>
              </w:rPr>
            </w:pPr>
            <w:r>
              <w:rPr>
                <w:rFonts w:cs="Times New Roman"/>
                <w:sz w:val="21"/>
              </w:rPr>
              <w:t>产品名称</w:t>
            </w:r>
          </w:p>
        </w:tc>
        <w:tc>
          <w:tcPr>
            <w:tcW w:w="468" w:type="pct"/>
            <w:vAlign w:val="center"/>
          </w:tcPr>
          <w:p w14:paraId="3B5D8D72">
            <w:pPr>
              <w:spacing w:line="240" w:lineRule="auto"/>
              <w:ind w:firstLine="0" w:firstLineChars="0"/>
              <w:jc w:val="center"/>
              <w:rPr>
                <w:rFonts w:cs="Times New Roman"/>
                <w:sz w:val="21"/>
              </w:rPr>
            </w:pPr>
            <w:r>
              <w:rPr>
                <w:rFonts w:cs="Times New Roman"/>
                <w:sz w:val="21"/>
              </w:rPr>
              <w:t>单位</w:t>
            </w:r>
          </w:p>
        </w:tc>
        <w:tc>
          <w:tcPr>
            <w:tcW w:w="544" w:type="pct"/>
            <w:vAlign w:val="center"/>
          </w:tcPr>
          <w:p w14:paraId="0F0829E8">
            <w:pPr>
              <w:spacing w:line="240" w:lineRule="auto"/>
              <w:ind w:firstLine="0" w:firstLineChars="0"/>
              <w:jc w:val="center"/>
              <w:rPr>
                <w:rFonts w:cs="Times New Roman"/>
                <w:sz w:val="21"/>
              </w:rPr>
            </w:pPr>
            <w:r>
              <w:rPr>
                <w:rFonts w:cs="Times New Roman"/>
                <w:sz w:val="21"/>
              </w:rPr>
              <w:t>产量</w:t>
            </w:r>
          </w:p>
        </w:tc>
        <w:tc>
          <w:tcPr>
            <w:tcW w:w="726" w:type="pct"/>
            <w:vAlign w:val="center"/>
          </w:tcPr>
          <w:p w14:paraId="473C5471">
            <w:pPr>
              <w:spacing w:line="240" w:lineRule="auto"/>
              <w:ind w:firstLine="0" w:firstLineChars="0"/>
              <w:jc w:val="center"/>
              <w:rPr>
                <w:rFonts w:hint="eastAsia" w:eastAsia="宋体" w:cs="Times New Roman"/>
                <w:sz w:val="21"/>
                <w:lang w:eastAsia="zh-CN"/>
              </w:rPr>
            </w:pPr>
            <w:r>
              <w:rPr>
                <w:rFonts w:cs="Times New Roman"/>
                <w:sz w:val="21"/>
              </w:rPr>
              <w:t>单价</w:t>
            </w:r>
            <w:r>
              <w:rPr>
                <w:rFonts w:hint="eastAsia" w:cs="Times New Roman"/>
                <w:sz w:val="21"/>
                <w:lang w:eastAsia="zh-CN"/>
              </w:rPr>
              <w:t>(</w:t>
            </w:r>
            <w:r>
              <w:rPr>
                <w:rFonts w:cs="Times New Roman"/>
                <w:sz w:val="21"/>
              </w:rPr>
              <w:t>元</w:t>
            </w:r>
            <w:r>
              <w:rPr>
                <w:rFonts w:hint="eastAsia" w:cs="Times New Roman"/>
                <w:sz w:val="21"/>
                <w:lang w:eastAsia="zh-CN"/>
              </w:rPr>
              <w:t>)</w:t>
            </w:r>
          </w:p>
        </w:tc>
        <w:tc>
          <w:tcPr>
            <w:tcW w:w="623" w:type="pct"/>
            <w:vAlign w:val="center"/>
          </w:tcPr>
          <w:p w14:paraId="70803E80">
            <w:pPr>
              <w:spacing w:line="240" w:lineRule="auto"/>
              <w:ind w:firstLine="0" w:firstLineChars="0"/>
              <w:jc w:val="center"/>
              <w:rPr>
                <w:rFonts w:cs="Times New Roman"/>
                <w:sz w:val="21"/>
              </w:rPr>
            </w:pPr>
            <w:r>
              <w:rPr>
                <w:rFonts w:cs="Times New Roman"/>
                <w:sz w:val="21"/>
              </w:rPr>
              <w:t>年产值</w:t>
            </w:r>
          </w:p>
          <w:p w14:paraId="02EAB156">
            <w:pPr>
              <w:spacing w:line="240" w:lineRule="auto"/>
              <w:ind w:firstLine="0" w:firstLineChars="0"/>
              <w:jc w:val="center"/>
              <w:rPr>
                <w:rFonts w:hint="eastAsia" w:eastAsia="宋体" w:cs="Times New Roman"/>
                <w:sz w:val="21"/>
                <w:lang w:eastAsia="zh-CN"/>
              </w:rPr>
            </w:pPr>
            <w:r>
              <w:rPr>
                <w:rFonts w:hint="eastAsia" w:cs="Times New Roman"/>
                <w:sz w:val="21"/>
                <w:lang w:eastAsia="zh-CN"/>
              </w:rPr>
              <w:t>(</w:t>
            </w:r>
            <w:r>
              <w:rPr>
                <w:rFonts w:cs="Times New Roman"/>
                <w:sz w:val="21"/>
              </w:rPr>
              <w:t>万元</w:t>
            </w:r>
            <w:r>
              <w:rPr>
                <w:rFonts w:hint="eastAsia" w:cs="Times New Roman"/>
                <w:sz w:val="21"/>
                <w:lang w:eastAsia="zh-CN"/>
              </w:rPr>
              <w:t>)</w:t>
            </w:r>
          </w:p>
        </w:tc>
        <w:tc>
          <w:tcPr>
            <w:tcW w:w="929" w:type="pct"/>
            <w:vAlign w:val="center"/>
          </w:tcPr>
          <w:p w14:paraId="00A1D509">
            <w:pPr>
              <w:spacing w:line="240" w:lineRule="auto"/>
              <w:ind w:firstLine="0" w:firstLineChars="0"/>
              <w:jc w:val="center"/>
              <w:rPr>
                <w:rFonts w:cs="Times New Roman"/>
                <w:sz w:val="21"/>
              </w:rPr>
            </w:pPr>
            <w:r>
              <w:rPr>
                <w:rFonts w:cs="Times New Roman"/>
                <w:sz w:val="21"/>
              </w:rPr>
              <w:t>备注</w:t>
            </w:r>
          </w:p>
        </w:tc>
      </w:tr>
      <w:tr w14:paraId="687EE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9" w:type="pct"/>
            <w:vMerge w:val="restart"/>
            <w:vAlign w:val="center"/>
          </w:tcPr>
          <w:p w14:paraId="6A6E34C4">
            <w:pPr>
              <w:spacing w:line="240" w:lineRule="auto"/>
              <w:ind w:firstLine="0" w:firstLineChars="0"/>
              <w:jc w:val="center"/>
              <w:rPr>
                <w:rFonts w:cs="Times New Roman"/>
                <w:sz w:val="21"/>
              </w:rPr>
            </w:pPr>
            <w:r>
              <w:rPr>
                <w:rFonts w:cs="Times New Roman"/>
                <w:sz w:val="21"/>
              </w:rPr>
              <w:t>林下种植业</w:t>
            </w:r>
          </w:p>
        </w:tc>
        <w:tc>
          <w:tcPr>
            <w:tcW w:w="779" w:type="pct"/>
            <w:vAlign w:val="center"/>
          </w:tcPr>
          <w:p w14:paraId="20EB4548">
            <w:pPr>
              <w:spacing w:line="240" w:lineRule="auto"/>
              <w:ind w:firstLine="0" w:firstLineChars="0"/>
              <w:jc w:val="center"/>
              <w:rPr>
                <w:rFonts w:cs="Times New Roman"/>
                <w:sz w:val="21"/>
              </w:rPr>
            </w:pPr>
            <w:r>
              <w:rPr>
                <w:rFonts w:cs="Times New Roman"/>
                <w:sz w:val="21"/>
              </w:rPr>
              <w:t>高山茶叶</w:t>
            </w:r>
          </w:p>
        </w:tc>
        <w:tc>
          <w:tcPr>
            <w:tcW w:w="468" w:type="pct"/>
            <w:vAlign w:val="center"/>
          </w:tcPr>
          <w:p w14:paraId="7CCD9B37">
            <w:pPr>
              <w:spacing w:line="240" w:lineRule="auto"/>
              <w:ind w:firstLine="0" w:firstLineChars="0"/>
              <w:jc w:val="center"/>
              <w:rPr>
                <w:rFonts w:cs="Times New Roman"/>
                <w:sz w:val="21"/>
              </w:rPr>
            </w:pPr>
            <w:r>
              <w:rPr>
                <w:rFonts w:cs="Times New Roman"/>
                <w:sz w:val="21"/>
              </w:rPr>
              <w:t>kg</w:t>
            </w:r>
          </w:p>
        </w:tc>
        <w:tc>
          <w:tcPr>
            <w:tcW w:w="544" w:type="pct"/>
            <w:vAlign w:val="center"/>
          </w:tcPr>
          <w:p w14:paraId="76C898CB">
            <w:pPr>
              <w:spacing w:line="240" w:lineRule="auto"/>
              <w:ind w:firstLine="0" w:firstLineChars="0"/>
              <w:jc w:val="center"/>
              <w:rPr>
                <w:rFonts w:cs="Times New Roman"/>
                <w:sz w:val="21"/>
              </w:rPr>
            </w:pPr>
            <w:r>
              <w:rPr>
                <w:rFonts w:cs="Times New Roman"/>
                <w:sz w:val="21"/>
              </w:rPr>
              <w:t>9000</w:t>
            </w:r>
          </w:p>
        </w:tc>
        <w:tc>
          <w:tcPr>
            <w:tcW w:w="726" w:type="pct"/>
            <w:vAlign w:val="center"/>
          </w:tcPr>
          <w:p w14:paraId="089AA1DB">
            <w:pPr>
              <w:spacing w:line="240" w:lineRule="auto"/>
              <w:ind w:firstLine="0" w:firstLineChars="0"/>
              <w:jc w:val="center"/>
              <w:rPr>
                <w:rFonts w:cs="Times New Roman"/>
                <w:sz w:val="21"/>
              </w:rPr>
            </w:pPr>
            <w:r>
              <w:rPr>
                <w:rFonts w:cs="Times New Roman"/>
                <w:sz w:val="21"/>
              </w:rPr>
              <w:t>200</w:t>
            </w:r>
          </w:p>
        </w:tc>
        <w:tc>
          <w:tcPr>
            <w:tcW w:w="623" w:type="pct"/>
            <w:vAlign w:val="center"/>
          </w:tcPr>
          <w:p w14:paraId="2F3FF6A6">
            <w:pPr>
              <w:spacing w:line="240" w:lineRule="auto"/>
              <w:ind w:firstLine="0" w:firstLineChars="0"/>
              <w:jc w:val="center"/>
              <w:rPr>
                <w:rFonts w:cs="Times New Roman"/>
                <w:sz w:val="21"/>
              </w:rPr>
            </w:pPr>
            <w:r>
              <w:rPr>
                <w:rFonts w:cs="Times New Roman"/>
                <w:sz w:val="21"/>
              </w:rPr>
              <w:t>180</w:t>
            </w:r>
          </w:p>
        </w:tc>
        <w:tc>
          <w:tcPr>
            <w:tcW w:w="929" w:type="pct"/>
            <w:vAlign w:val="center"/>
          </w:tcPr>
          <w:p w14:paraId="43E5F899">
            <w:pPr>
              <w:spacing w:line="240" w:lineRule="auto"/>
              <w:ind w:firstLine="0" w:firstLineChars="0"/>
              <w:jc w:val="center"/>
              <w:rPr>
                <w:rFonts w:cs="Times New Roman"/>
                <w:sz w:val="21"/>
              </w:rPr>
            </w:pPr>
          </w:p>
        </w:tc>
      </w:tr>
      <w:tr w14:paraId="5DADD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9" w:type="pct"/>
            <w:vMerge w:val="continue"/>
            <w:vAlign w:val="center"/>
          </w:tcPr>
          <w:p w14:paraId="681FAEF4">
            <w:pPr>
              <w:spacing w:line="240" w:lineRule="auto"/>
              <w:ind w:firstLine="0" w:firstLineChars="0"/>
              <w:jc w:val="center"/>
              <w:rPr>
                <w:rFonts w:cs="Times New Roman"/>
                <w:sz w:val="21"/>
              </w:rPr>
            </w:pPr>
          </w:p>
        </w:tc>
        <w:tc>
          <w:tcPr>
            <w:tcW w:w="779" w:type="pct"/>
            <w:vAlign w:val="center"/>
          </w:tcPr>
          <w:p w14:paraId="2287B6F6">
            <w:pPr>
              <w:spacing w:line="240" w:lineRule="auto"/>
              <w:ind w:firstLine="0" w:firstLineChars="0"/>
              <w:jc w:val="center"/>
              <w:rPr>
                <w:rFonts w:cs="Times New Roman"/>
                <w:sz w:val="21"/>
              </w:rPr>
            </w:pPr>
            <w:r>
              <w:rPr>
                <w:rFonts w:cs="Times New Roman"/>
                <w:sz w:val="21"/>
              </w:rPr>
              <w:t>雪莲果</w:t>
            </w:r>
          </w:p>
        </w:tc>
        <w:tc>
          <w:tcPr>
            <w:tcW w:w="468" w:type="pct"/>
            <w:vAlign w:val="center"/>
          </w:tcPr>
          <w:p w14:paraId="4B82B98F">
            <w:pPr>
              <w:spacing w:line="240" w:lineRule="auto"/>
              <w:ind w:firstLine="0" w:firstLineChars="0"/>
              <w:jc w:val="center"/>
              <w:rPr>
                <w:rFonts w:cs="Times New Roman"/>
                <w:sz w:val="21"/>
              </w:rPr>
            </w:pPr>
            <w:r>
              <w:rPr>
                <w:rFonts w:cs="Times New Roman"/>
                <w:sz w:val="21"/>
              </w:rPr>
              <w:t>t</w:t>
            </w:r>
          </w:p>
        </w:tc>
        <w:tc>
          <w:tcPr>
            <w:tcW w:w="544" w:type="pct"/>
            <w:vAlign w:val="center"/>
          </w:tcPr>
          <w:p w14:paraId="711573A5">
            <w:pPr>
              <w:spacing w:line="240" w:lineRule="auto"/>
              <w:ind w:firstLine="0" w:firstLineChars="0"/>
              <w:jc w:val="center"/>
              <w:rPr>
                <w:rFonts w:cs="Times New Roman"/>
                <w:sz w:val="21"/>
              </w:rPr>
            </w:pPr>
            <w:r>
              <w:rPr>
                <w:rFonts w:cs="Times New Roman"/>
                <w:sz w:val="21"/>
              </w:rPr>
              <w:t>900</w:t>
            </w:r>
          </w:p>
        </w:tc>
        <w:tc>
          <w:tcPr>
            <w:tcW w:w="726" w:type="pct"/>
            <w:vAlign w:val="center"/>
          </w:tcPr>
          <w:p w14:paraId="5F0272D5">
            <w:pPr>
              <w:spacing w:line="240" w:lineRule="auto"/>
              <w:ind w:firstLine="0" w:firstLineChars="0"/>
              <w:jc w:val="center"/>
              <w:rPr>
                <w:rFonts w:cs="Times New Roman"/>
                <w:sz w:val="21"/>
              </w:rPr>
            </w:pPr>
            <w:r>
              <w:rPr>
                <w:rFonts w:cs="Times New Roman"/>
                <w:sz w:val="21"/>
              </w:rPr>
              <w:t>4000</w:t>
            </w:r>
          </w:p>
        </w:tc>
        <w:tc>
          <w:tcPr>
            <w:tcW w:w="623" w:type="pct"/>
            <w:vAlign w:val="center"/>
          </w:tcPr>
          <w:p w14:paraId="7BFC32D0">
            <w:pPr>
              <w:spacing w:line="240" w:lineRule="auto"/>
              <w:ind w:firstLine="0" w:firstLineChars="0"/>
              <w:jc w:val="center"/>
              <w:rPr>
                <w:rFonts w:cs="Times New Roman"/>
                <w:sz w:val="21"/>
              </w:rPr>
            </w:pPr>
            <w:r>
              <w:rPr>
                <w:rFonts w:cs="Times New Roman"/>
                <w:sz w:val="21"/>
              </w:rPr>
              <w:t>360</w:t>
            </w:r>
          </w:p>
        </w:tc>
        <w:tc>
          <w:tcPr>
            <w:tcW w:w="929" w:type="pct"/>
            <w:vAlign w:val="center"/>
          </w:tcPr>
          <w:p w14:paraId="153642D0">
            <w:pPr>
              <w:spacing w:line="240" w:lineRule="auto"/>
              <w:ind w:firstLine="0" w:firstLineChars="0"/>
              <w:jc w:val="center"/>
              <w:rPr>
                <w:rFonts w:cs="Times New Roman"/>
                <w:sz w:val="21"/>
              </w:rPr>
            </w:pPr>
          </w:p>
        </w:tc>
      </w:tr>
      <w:tr w14:paraId="6A2ED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9" w:type="pct"/>
            <w:vMerge w:val="continue"/>
            <w:vAlign w:val="center"/>
          </w:tcPr>
          <w:p w14:paraId="707AB12A">
            <w:pPr>
              <w:spacing w:line="240" w:lineRule="auto"/>
              <w:ind w:firstLine="0" w:firstLineChars="0"/>
              <w:jc w:val="center"/>
              <w:rPr>
                <w:rFonts w:cs="Times New Roman"/>
                <w:sz w:val="21"/>
              </w:rPr>
            </w:pPr>
          </w:p>
        </w:tc>
        <w:tc>
          <w:tcPr>
            <w:tcW w:w="779" w:type="pct"/>
            <w:vAlign w:val="center"/>
          </w:tcPr>
          <w:p w14:paraId="2DEB98E9">
            <w:pPr>
              <w:spacing w:line="240" w:lineRule="auto"/>
              <w:ind w:firstLine="0" w:firstLineChars="0"/>
              <w:jc w:val="center"/>
              <w:rPr>
                <w:rFonts w:cs="Times New Roman"/>
                <w:sz w:val="21"/>
              </w:rPr>
            </w:pPr>
            <w:r>
              <w:rPr>
                <w:rFonts w:cs="Times New Roman"/>
                <w:sz w:val="21"/>
              </w:rPr>
              <w:t>杜鹃盆景</w:t>
            </w:r>
          </w:p>
        </w:tc>
        <w:tc>
          <w:tcPr>
            <w:tcW w:w="468" w:type="pct"/>
            <w:vAlign w:val="center"/>
          </w:tcPr>
          <w:p w14:paraId="4255F7D7">
            <w:pPr>
              <w:spacing w:line="240" w:lineRule="auto"/>
              <w:ind w:firstLine="0" w:firstLineChars="0"/>
              <w:jc w:val="center"/>
              <w:rPr>
                <w:rFonts w:cs="Times New Roman"/>
                <w:sz w:val="21"/>
              </w:rPr>
            </w:pPr>
            <w:r>
              <w:rPr>
                <w:rFonts w:cs="Times New Roman"/>
                <w:sz w:val="21"/>
              </w:rPr>
              <w:t>盆</w:t>
            </w:r>
          </w:p>
        </w:tc>
        <w:tc>
          <w:tcPr>
            <w:tcW w:w="544" w:type="pct"/>
            <w:vAlign w:val="center"/>
          </w:tcPr>
          <w:p w14:paraId="7711BABC">
            <w:pPr>
              <w:spacing w:line="240" w:lineRule="auto"/>
              <w:ind w:firstLine="0" w:firstLineChars="0"/>
              <w:jc w:val="center"/>
              <w:rPr>
                <w:rFonts w:cs="Times New Roman"/>
                <w:sz w:val="21"/>
              </w:rPr>
            </w:pPr>
            <w:r>
              <w:rPr>
                <w:rFonts w:cs="Times New Roman"/>
                <w:sz w:val="21"/>
              </w:rPr>
              <w:t>10000</w:t>
            </w:r>
          </w:p>
        </w:tc>
        <w:tc>
          <w:tcPr>
            <w:tcW w:w="726" w:type="pct"/>
            <w:vAlign w:val="center"/>
          </w:tcPr>
          <w:p w14:paraId="7E35B102">
            <w:pPr>
              <w:spacing w:line="240" w:lineRule="auto"/>
              <w:ind w:firstLine="0" w:firstLineChars="0"/>
              <w:jc w:val="center"/>
              <w:rPr>
                <w:rFonts w:cs="Times New Roman"/>
                <w:sz w:val="21"/>
              </w:rPr>
            </w:pPr>
            <w:r>
              <w:rPr>
                <w:rFonts w:cs="Times New Roman"/>
                <w:sz w:val="21"/>
              </w:rPr>
              <w:t>30</w:t>
            </w:r>
          </w:p>
        </w:tc>
        <w:tc>
          <w:tcPr>
            <w:tcW w:w="623" w:type="pct"/>
            <w:vAlign w:val="center"/>
          </w:tcPr>
          <w:p w14:paraId="6CD49D86">
            <w:pPr>
              <w:spacing w:line="240" w:lineRule="auto"/>
              <w:ind w:firstLine="0" w:firstLineChars="0"/>
              <w:jc w:val="center"/>
              <w:rPr>
                <w:rFonts w:cs="Times New Roman"/>
                <w:sz w:val="21"/>
              </w:rPr>
            </w:pPr>
            <w:r>
              <w:rPr>
                <w:rFonts w:cs="Times New Roman"/>
                <w:sz w:val="21"/>
              </w:rPr>
              <w:t>30</w:t>
            </w:r>
          </w:p>
        </w:tc>
        <w:tc>
          <w:tcPr>
            <w:tcW w:w="929" w:type="pct"/>
            <w:vAlign w:val="center"/>
          </w:tcPr>
          <w:p w14:paraId="33AC0B00">
            <w:pPr>
              <w:spacing w:line="240" w:lineRule="auto"/>
              <w:ind w:firstLine="0" w:firstLineChars="0"/>
              <w:jc w:val="center"/>
              <w:rPr>
                <w:rFonts w:cs="Times New Roman"/>
                <w:sz w:val="21"/>
              </w:rPr>
            </w:pPr>
          </w:p>
        </w:tc>
      </w:tr>
      <w:tr w14:paraId="6B1CB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9" w:type="pct"/>
            <w:vMerge w:val="continue"/>
            <w:vAlign w:val="center"/>
          </w:tcPr>
          <w:p w14:paraId="225880BF">
            <w:pPr>
              <w:spacing w:line="240" w:lineRule="auto"/>
              <w:ind w:firstLine="0" w:firstLineChars="0"/>
              <w:jc w:val="center"/>
              <w:rPr>
                <w:rFonts w:cs="Times New Roman"/>
                <w:sz w:val="21"/>
              </w:rPr>
            </w:pPr>
          </w:p>
        </w:tc>
        <w:tc>
          <w:tcPr>
            <w:tcW w:w="779" w:type="pct"/>
            <w:vAlign w:val="center"/>
          </w:tcPr>
          <w:p w14:paraId="384FD7CF">
            <w:pPr>
              <w:spacing w:line="240" w:lineRule="auto"/>
              <w:ind w:firstLine="0" w:firstLineChars="0"/>
              <w:jc w:val="center"/>
              <w:rPr>
                <w:rFonts w:cs="Times New Roman"/>
                <w:sz w:val="21"/>
              </w:rPr>
            </w:pPr>
            <w:r>
              <w:rPr>
                <w:rFonts w:cs="Times New Roman"/>
                <w:sz w:val="21"/>
              </w:rPr>
              <w:t>药材</w:t>
            </w:r>
          </w:p>
        </w:tc>
        <w:tc>
          <w:tcPr>
            <w:tcW w:w="468" w:type="pct"/>
            <w:vAlign w:val="center"/>
          </w:tcPr>
          <w:p w14:paraId="6A16F16B">
            <w:pPr>
              <w:spacing w:line="240" w:lineRule="auto"/>
              <w:ind w:firstLine="0" w:firstLineChars="0"/>
              <w:jc w:val="center"/>
              <w:rPr>
                <w:rFonts w:cs="Times New Roman"/>
                <w:sz w:val="21"/>
              </w:rPr>
            </w:pPr>
            <w:r>
              <w:rPr>
                <w:rFonts w:cs="Times New Roman"/>
                <w:sz w:val="21"/>
              </w:rPr>
              <w:t>kg</w:t>
            </w:r>
          </w:p>
        </w:tc>
        <w:tc>
          <w:tcPr>
            <w:tcW w:w="544" w:type="pct"/>
            <w:vAlign w:val="center"/>
          </w:tcPr>
          <w:p w14:paraId="0D38922E">
            <w:pPr>
              <w:spacing w:line="240" w:lineRule="auto"/>
              <w:ind w:firstLine="0" w:firstLineChars="0"/>
              <w:jc w:val="center"/>
              <w:rPr>
                <w:rFonts w:cs="Times New Roman"/>
                <w:sz w:val="21"/>
              </w:rPr>
            </w:pPr>
            <w:r>
              <w:rPr>
                <w:rFonts w:cs="Times New Roman"/>
                <w:sz w:val="21"/>
              </w:rPr>
              <w:t>6000</w:t>
            </w:r>
          </w:p>
        </w:tc>
        <w:tc>
          <w:tcPr>
            <w:tcW w:w="726" w:type="pct"/>
            <w:vAlign w:val="center"/>
          </w:tcPr>
          <w:p w14:paraId="4E4CAF4C">
            <w:pPr>
              <w:spacing w:line="240" w:lineRule="auto"/>
              <w:ind w:firstLine="0" w:firstLineChars="0"/>
              <w:jc w:val="center"/>
              <w:rPr>
                <w:rFonts w:cs="Times New Roman"/>
                <w:sz w:val="21"/>
              </w:rPr>
            </w:pPr>
            <w:r>
              <w:rPr>
                <w:rFonts w:cs="Times New Roman"/>
                <w:sz w:val="21"/>
              </w:rPr>
              <w:t>150</w:t>
            </w:r>
          </w:p>
        </w:tc>
        <w:tc>
          <w:tcPr>
            <w:tcW w:w="623" w:type="pct"/>
            <w:vAlign w:val="center"/>
          </w:tcPr>
          <w:p w14:paraId="6EEDE67A">
            <w:pPr>
              <w:spacing w:line="240" w:lineRule="auto"/>
              <w:ind w:firstLine="0" w:firstLineChars="0"/>
              <w:jc w:val="center"/>
              <w:rPr>
                <w:rFonts w:cs="Times New Roman"/>
                <w:sz w:val="21"/>
              </w:rPr>
            </w:pPr>
            <w:r>
              <w:rPr>
                <w:rFonts w:cs="Times New Roman"/>
                <w:sz w:val="21"/>
              </w:rPr>
              <w:t>90</w:t>
            </w:r>
          </w:p>
        </w:tc>
        <w:tc>
          <w:tcPr>
            <w:tcW w:w="929" w:type="pct"/>
            <w:vAlign w:val="center"/>
          </w:tcPr>
          <w:p w14:paraId="37AFB76E">
            <w:pPr>
              <w:spacing w:line="240" w:lineRule="auto"/>
              <w:ind w:firstLine="0" w:firstLineChars="0"/>
              <w:jc w:val="center"/>
              <w:rPr>
                <w:rFonts w:cs="Times New Roman"/>
                <w:sz w:val="21"/>
              </w:rPr>
            </w:pPr>
          </w:p>
        </w:tc>
      </w:tr>
      <w:tr w14:paraId="0D74A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9" w:type="pct"/>
            <w:vMerge w:val="continue"/>
            <w:vAlign w:val="center"/>
          </w:tcPr>
          <w:p w14:paraId="48194176">
            <w:pPr>
              <w:spacing w:line="240" w:lineRule="auto"/>
              <w:ind w:firstLine="0" w:firstLineChars="0"/>
              <w:jc w:val="center"/>
              <w:rPr>
                <w:rFonts w:cs="Times New Roman"/>
                <w:sz w:val="21"/>
              </w:rPr>
            </w:pPr>
          </w:p>
        </w:tc>
        <w:tc>
          <w:tcPr>
            <w:tcW w:w="779" w:type="pct"/>
            <w:vAlign w:val="center"/>
          </w:tcPr>
          <w:p w14:paraId="0BF11839">
            <w:pPr>
              <w:spacing w:line="240" w:lineRule="auto"/>
              <w:ind w:firstLine="0" w:firstLineChars="0"/>
              <w:jc w:val="center"/>
              <w:rPr>
                <w:rFonts w:cs="Times New Roman"/>
                <w:sz w:val="21"/>
                <w:lang w:eastAsia="zh-CN"/>
              </w:rPr>
            </w:pPr>
            <w:r>
              <w:rPr>
                <w:rFonts w:cs="Times New Roman"/>
                <w:sz w:val="21"/>
              </w:rPr>
              <w:t>干竹笋</w:t>
            </w:r>
          </w:p>
        </w:tc>
        <w:tc>
          <w:tcPr>
            <w:tcW w:w="468" w:type="pct"/>
            <w:vAlign w:val="center"/>
          </w:tcPr>
          <w:p w14:paraId="3B3AF9B4">
            <w:pPr>
              <w:spacing w:line="240" w:lineRule="auto"/>
              <w:ind w:firstLine="0" w:firstLineChars="0"/>
              <w:jc w:val="center"/>
              <w:rPr>
                <w:rFonts w:cs="Times New Roman"/>
                <w:sz w:val="21"/>
              </w:rPr>
            </w:pPr>
            <w:r>
              <w:rPr>
                <w:rFonts w:cs="Times New Roman"/>
                <w:sz w:val="21"/>
              </w:rPr>
              <w:t>t</w:t>
            </w:r>
          </w:p>
        </w:tc>
        <w:tc>
          <w:tcPr>
            <w:tcW w:w="544" w:type="pct"/>
            <w:vAlign w:val="center"/>
          </w:tcPr>
          <w:p w14:paraId="608A54AB">
            <w:pPr>
              <w:spacing w:line="240" w:lineRule="auto"/>
              <w:ind w:firstLine="0" w:firstLineChars="0"/>
              <w:jc w:val="center"/>
              <w:rPr>
                <w:rFonts w:cs="Times New Roman"/>
                <w:sz w:val="21"/>
              </w:rPr>
            </w:pPr>
            <w:r>
              <w:rPr>
                <w:rFonts w:cs="Times New Roman"/>
                <w:sz w:val="21"/>
              </w:rPr>
              <w:t>150</w:t>
            </w:r>
          </w:p>
        </w:tc>
        <w:tc>
          <w:tcPr>
            <w:tcW w:w="726" w:type="pct"/>
            <w:vAlign w:val="center"/>
          </w:tcPr>
          <w:p w14:paraId="35DEFBA3">
            <w:pPr>
              <w:spacing w:line="240" w:lineRule="auto"/>
              <w:ind w:firstLine="0" w:firstLineChars="0"/>
              <w:jc w:val="center"/>
              <w:rPr>
                <w:rFonts w:cs="Times New Roman"/>
                <w:sz w:val="21"/>
              </w:rPr>
            </w:pPr>
            <w:r>
              <w:rPr>
                <w:rFonts w:cs="Times New Roman"/>
                <w:sz w:val="21"/>
              </w:rPr>
              <w:t>4000</w:t>
            </w:r>
          </w:p>
        </w:tc>
        <w:tc>
          <w:tcPr>
            <w:tcW w:w="623" w:type="pct"/>
            <w:vAlign w:val="center"/>
          </w:tcPr>
          <w:p w14:paraId="46687C0C">
            <w:pPr>
              <w:spacing w:line="240" w:lineRule="auto"/>
              <w:ind w:firstLine="0" w:firstLineChars="0"/>
              <w:jc w:val="center"/>
              <w:rPr>
                <w:rFonts w:cs="Times New Roman"/>
                <w:sz w:val="21"/>
              </w:rPr>
            </w:pPr>
            <w:r>
              <w:rPr>
                <w:rFonts w:cs="Times New Roman"/>
                <w:sz w:val="21"/>
              </w:rPr>
              <w:t>60</w:t>
            </w:r>
          </w:p>
        </w:tc>
        <w:tc>
          <w:tcPr>
            <w:tcW w:w="929" w:type="pct"/>
            <w:vAlign w:val="center"/>
          </w:tcPr>
          <w:p w14:paraId="316BBE6A">
            <w:pPr>
              <w:spacing w:line="240" w:lineRule="auto"/>
              <w:ind w:firstLine="0" w:firstLineChars="0"/>
              <w:jc w:val="center"/>
              <w:rPr>
                <w:rFonts w:cs="Times New Roman"/>
                <w:sz w:val="21"/>
              </w:rPr>
            </w:pPr>
          </w:p>
        </w:tc>
      </w:tr>
      <w:tr w14:paraId="3FE6D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9" w:type="pct"/>
            <w:vMerge w:val="continue"/>
            <w:vAlign w:val="center"/>
          </w:tcPr>
          <w:p w14:paraId="4FD58A18">
            <w:pPr>
              <w:spacing w:line="240" w:lineRule="auto"/>
              <w:ind w:firstLine="0" w:firstLineChars="0"/>
              <w:jc w:val="center"/>
              <w:rPr>
                <w:rFonts w:cs="Times New Roman"/>
                <w:sz w:val="21"/>
              </w:rPr>
            </w:pPr>
          </w:p>
        </w:tc>
        <w:tc>
          <w:tcPr>
            <w:tcW w:w="779" w:type="pct"/>
            <w:vAlign w:val="center"/>
          </w:tcPr>
          <w:p w14:paraId="4E1F9FA6">
            <w:pPr>
              <w:spacing w:line="240" w:lineRule="auto"/>
              <w:ind w:firstLine="0" w:firstLineChars="0"/>
              <w:jc w:val="center"/>
              <w:rPr>
                <w:rFonts w:cs="Times New Roman"/>
                <w:sz w:val="21"/>
              </w:rPr>
            </w:pPr>
            <w:r>
              <w:rPr>
                <w:rFonts w:cs="Times New Roman"/>
                <w:sz w:val="21"/>
              </w:rPr>
              <w:t>小计</w:t>
            </w:r>
          </w:p>
        </w:tc>
        <w:tc>
          <w:tcPr>
            <w:tcW w:w="468" w:type="pct"/>
            <w:vAlign w:val="center"/>
          </w:tcPr>
          <w:p w14:paraId="2E3C707B">
            <w:pPr>
              <w:spacing w:line="240" w:lineRule="auto"/>
              <w:ind w:firstLine="0" w:firstLineChars="0"/>
              <w:jc w:val="center"/>
              <w:rPr>
                <w:rFonts w:cs="Times New Roman"/>
                <w:sz w:val="21"/>
              </w:rPr>
            </w:pPr>
          </w:p>
        </w:tc>
        <w:tc>
          <w:tcPr>
            <w:tcW w:w="544" w:type="pct"/>
            <w:vAlign w:val="center"/>
          </w:tcPr>
          <w:p w14:paraId="5FB3FBF8">
            <w:pPr>
              <w:spacing w:line="240" w:lineRule="auto"/>
              <w:ind w:firstLine="0" w:firstLineChars="0"/>
              <w:jc w:val="center"/>
              <w:rPr>
                <w:rFonts w:cs="Times New Roman"/>
                <w:sz w:val="21"/>
              </w:rPr>
            </w:pPr>
          </w:p>
        </w:tc>
        <w:tc>
          <w:tcPr>
            <w:tcW w:w="726" w:type="pct"/>
            <w:vAlign w:val="center"/>
          </w:tcPr>
          <w:p w14:paraId="16D63868">
            <w:pPr>
              <w:spacing w:line="240" w:lineRule="auto"/>
              <w:ind w:firstLine="0" w:firstLineChars="0"/>
              <w:jc w:val="center"/>
              <w:rPr>
                <w:rFonts w:cs="Times New Roman"/>
                <w:sz w:val="21"/>
              </w:rPr>
            </w:pPr>
          </w:p>
        </w:tc>
        <w:tc>
          <w:tcPr>
            <w:tcW w:w="623" w:type="pct"/>
            <w:vAlign w:val="center"/>
          </w:tcPr>
          <w:p w14:paraId="333EA30E">
            <w:pPr>
              <w:spacing w:line="240" w:lineRule="auto"/>
              <w:ind w:firstLine="0" w:firstLineChars="0"/>
              <w:jc w:val="center"/>
              <w:rPr>
                <w:rFonts w:cs="Times New Roman"/>
                <w:sz w:val="21"/>
              </w:rPr>
            </w:pPr>
            <w:r>
              <w:rPr>
                <w:rFonts w:cs="Times New Roman"/>
                <w:sz w:val="21"/>
              </w:rPr>
              <w:t>720</w:t>
            </w:r>
          </w:p>
        </w:tc>
        <w:tc>
          <w:tcPr>
            <w:tcW w:w="929" w:type="pct"/>
            <w:vAlign w:val="center"/>
          </w:tcPr>
          <w:p w14:paraId="05022F8C">
            <w:pPr>
              <w:spacing w:line="240" w:lineRule="auto"/>
              <w:ind w:firstLine="0" w:firstLineChars="0"/>
              <w:jc w:val="center"/>
              <w:rPr>
                <w:rFonts w:cs="Times New Roman"/>
                <w:sz w:val="21"/>
              </w:rPr>
            </w:pPr>
          </w:p>
        </w:tc>
      </w:tr>
      <w:tr w14:paraId="5FF82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9" w:type="pct"/>
            <w:vMerge w:val="restart"/>
            <w:vAlign w:val="center"/>
          </w:tcPr>
          <w:p w14:paraId="14EF76C2">
            <w:pPr>
              <w:spacing w:line="240" w:lineRule="auto"/>
              <w:ind w:firstLine="0" w:firstLineChars="0"/>
              <w:jc w:val="center"/>
              <w:rPr>
                <w:rFonts w:cs="Times New Roman"/>
                <w:sz w:val="21"/>
              </w:rPr>
            </w:pPr>
            <w:r>
              <w:rPr>
                <w:rFonts w:cs="Times New Roman"/>
                <w:sz w:val="21"/>
              </w:rPr>
              <w:t>林下养殖业</w:t>
            </w:r>
          </w:p>
        </w:tc>
        <w:tc>
          <w:tcPr>
            <w:tcW w:w="779" w:type="pct"/>
            <w:vAlign w:val="center"/>
          </w:tcPr>
          <w:p w14:paraId="41ABB470">
            <w:pPr>
              <w:spacing w:line="240" w:lineRule="auto"/>
              <w:ind w:firstLine="0" w:firstLineChars="0"/>
              <w:jc w:val="center"/>
              <w:rPr>
                <w:rFonts w:cs="Times New Roman"/>
                <w:sz w:val="21"/>
              </w:rPr>
            </w:pPr>
            <w:r>
              <w:rPr>
                <w:rFonts w:cs="Times New Roman"/>
                <w:sz w:val="21"/>
              </w:rPr>
              <w:t>山羊</w:t>
            </w:r>
          </w:p>
        </w:tc>
        <w:tc>
          <w:tcPr>
            <w:tcW w:w="468" w:type="pct"/>
            <w:vAlign w:val="center"/>
          </w:tcPr>
          <w:p w14:paraId="7335FCDC">
            <w:pPr>
              <w:spacing w:line="240" w:lineRule="auto"/>
              <w:ind w:firstLine="0" w:firstLineChars="0"/>
              <w:jc w:val="center"/>
              <w:rPr>
                <w:rFonts w:cs="Times New Roman"/>
                <w:sz w:val="21"/>
              </w:rPr>
            </w:pPr>
            <w:r>
              <w:rPr>
                <w:rFonts w:cs="Times New Roman"/>
                <w:sz w:val="21"/>
              </w:rPr>
              <w:t>kg</w:t>
            </w:r>
          </w:p>
        </w:tc>
        <w:tc>
          <w:tcPr>
            <w:tcW w:w="544" w:type="pct"/>
            <w:vAlign w:val="center"/>
          </w:tcPr>
          <w:p w14:paraId="79326B65">
            <w:pPr>
              <w:spacing w:line="240" w:lineRule="auto"/>
              <w:ind w:firstLine="0" w:firstLineChars="0"/>
              <w:jc w:val="center"/>
              <w:rPr>
                <w:rFonts w:cs="Times New Roman"/>
                <w:sz w:val="21"/>
              </w:rPr>
            </w:pPr>
            <w:r>
              <w:rPr>
                <w:rFonts w:cs="Times New Roman"/>
                <w:sz w:val="21"/>
              </w:rPr>
              <w:t>40000</w:t>
            </w:r>
          </w:p>
        </w:tc>
        <w:tc>
          <w:tcPr>
            <w:tcW w:w="726" w:type="pct"/>
            <w:vAlign w:val="center"/>
          </w:tcPr>
          <w:p w14:paraId="1E4EFC0D">
            <w:pPr>
              <w:spacing w:line="240" w:lineRule="auto"/>
              <w:ind w:firstLine="0" w:firstLineChars="0"/>
              <w:jc w:val="center"/>
              <w:rPr>
                <w:rFonts w:cs="Times New Roman"/>
                <w:sz w:val="21"/>
              </w:rPr>
            </w:pPr>
            <w:r>
              <w:rPr>
                <w:rFonts w:cs="Times New Roman"/>
                <w:sz w:val="21"/>
              </w:rPr>
              <w:t>40</w:t>
            </w:r>
          </w:p>
        </w:tc>
        <w:tc>
          <w:tcPr>
            <w:tcW w:w="623" w:type="pct"/>
            <w:vAlign w:val="center"/>
          </w:tcPr>
          <w:p w14:paraId="57284A06">
            <w:pPr>
              <w:spacing w:line="240" w:lineRule="auto"/>
              <w:ind w:firstLine="0" w:firstLineChars="0"/>
              <w:jc w:val="center"/>
              <w:rPr>
                <w:rFonts w:cs="Times New Roman"/>
                <w:sz w:val="21"/>
              </w:rPr>
            </w:pPr>
            <w:r>
              <w:rPr>
                <w:rFonts w:cs="Times New Roman"/>
                <w:sz w:val="21"/>
              </w:rPr>
              <w:t>160</w:t>
            </w:r>
          </w:p>
        </w:tc>
        <w:tc>
          <w:tcPr>
            <w:tcW w:w="929" w:type="pct"/>
            <w:vAlign w:val="center"/>
          </w:tcPr>
          <w:p w14:paraId="3FACB713">
            <w:pPr>
              <w:spacing w:line="240" w:lineRule="auto"/>
              <w:ind w:firstLine="0" w:firstLineChars="0"/>
              <w:jc w:val="center"/>
              <w:rPr>
                <w:rFonts w:cs="Times New Roman"/>
                <w:sz w:val="21"/>
              </w:rPr>
            </w:pPr>
            <w:r>
              <w:rPr>
                <w:rFonts w:cs="Times New Roman"/>
                <w:sz w:val="21"/>
              </w:rPr>
              <w:t>年产2000只</w:t>
            </w:r>
          </w:p>
        </w:tc>
      </w:tr>
      <w:tr w14:paraId="5619E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9" w:type="pct"/>
            <w:vMerge w:val="continue"/>
            <w:vAlign w:val="center"/>
          </w:tcPr>
          <w:p w14:paraId="2C29D105">
            <w:pPr>
              <w:spacing w:line="240" w:lineRule="auto"/>
              <w:ind w:firstLine="0" w:firstLineChars="0"/>
              <w:jc w:val="center"/>
              <w:rPr>
                <w:rFonts w:cs="Times New Roman"/>
                <w:sz w:val="21"/>
              </w:rPr>
            </w:pPr>
          </w:p>
        </w:tc>
        <w:tc>
          <w:tcPr>
            <w:tcW w:w="779" w:type="pct"/>
            <w:vAlign w:val="center"/>
          </w:tcPr>
          <w:p w14:paraId="5B447DF6">
            <w:pPr>
              <w:spacing w:line="240" w:lineRule="auto"/>
              <w:ind w:firstLine="0" w:firstLineChars="0"/>
              <w:jc w:val="center"/>
              <w:rPr>
                <w:rFonts w:cs="Times New Roman"/>
                <w:sz w:val="21"/>
              </w:rPr>
            </w:pPr>
            <w:r>
              <w:rPr>
                <w:rFonts w:cs="Times New Roman"/>
                <w:sz w:val="21"/>
              </w:rPr>
              <w:t>雷公猪</w:t>
            </w:r>
          </w:p>
        </w:tc>
        <w:tc>
          <w:tcPr>
            <w:tcW w:w="468" w:type="pct"/>
            <w:vAlign w:val="center"/>
          </w:tcPr>
          <w:p w14:paraId="6DA13BB4">
            <w:pPr>
              <w:spacing w:line="240" w:lineRule="auto"/>
              <w:ind w:firstLine="0" w:firstLineChars="0"/>
              <w:jc w:val="center"/>
              <w:rPr>
                <w:rFonts w:cs="Times New Roman"/>
                <w:sz w:val="21"/>
              </w:rPr>
            </w:pPr>
            <w:r>
              <w:rPr>
                <w:rFonts w:cs="Times New Roman"/>
                <w:sz w:val="21"/>
              </w:rPr>
              <w:t>kg</w:t>
            </w:r>
          </w:p>
        </w:tc>
        <w:tc>
          <w:tcPr>
            <w:tcW w:w="544" w:type="pct"/>
            <w:vAlign w:val="center"/>
          </w:tcPr>
          <w:p w14:paraId="5D7C5376">
            <w:pPr>
              <w:spacing w:line="240" w:lineRule="auto"/>
              <w:ind w:firstLine="0" w:firstLineChars="0"/>
              <w:jc w:val="center"/>
              <w:rPr>
                <w:rFonts w:cs="Times New Roman"/>
                <w:sz w:val="21"/>
              </w:rPr>
            </w:pPr>
            <w:r>
              <w:rPr>
                <w:rFonts w:cs="Times New Roman"/>
                <w:sz w:val="21"/>
              </w:rPr>
              <w:t>30000</w:t>
            </w:r>
          </w:p>
        </w:tc>
        <w:tc>
          <w:tcPr>
            <w:tcW w:w="726" w:type="pct"/>
            <w:vAlign w:val="center"/>
          </w:tcPr>
          <w:p w14:paraId="059AC570">
            <w:pPr>
              <w:spacing w:line="240" w:lineRule="auto"/>
              <w:ind w:firstLine="0" w:firstLineChars="0"/>
              <w:jc w:val="center"/>
              <w:rPr>
                <w:rFonts w:cs="Times New Roman"/>
                <w:sz w:val="21"/>
              </w:rPr>
            </w:pPr>
            <w:r>
              <w:rPr>
                <w:rFonts w:cs="Times New Roman"/>
                <w:sz w:val="21"/>
              </w:rPr>
              <w:t>20</w:t>
            </w:r>
          </w:p>
        </w:tc>
        <w:tc>
          <w:tcPr>
            <w:tcW w:w="623" w:type="pct"/>
            <w:vAlign w:val="center"/>
          </w:tcPr>
          <w:p w14:paraId="1D951EEC">
            <w:pPr>
              <w:spacing w:line="240" w:lineRule="auto"/>
              <w:ind w:firstLine="0" w:firstLineChars="0"/>
              <w:jc w:val="center"/>
              <w:rPr>
                <w:rFonts w:cs="Times New Roman"/>
                <w:sz w:val="21"/>
              </w:rPr>
            </w:pPr>
            <w:r>
              <w:rPr>
                <w:rFonts w:cs="Times New Roman"/>
                <w:sz w:val="21"/>
              </w:rPr>
              <w:t>60</w:t>
            </w:r>
          </w:p>
        </w:tc>
        <w:tc>
          <w:tcPr>
            <w:tcW w:w="929" w:type="pct"/>
            <w:vAlign w:val="center"/>
          </w:tcPr>
          <w:p w14:paraId="7CD01747">
            <w:pPr>
              <w:spacing w:line="240" w:lineRule="auto"/>
              <w:ind w:firstLine="0" w:firstLineChars="0"/>
              <w:jc w:val="center"/>
              <w:rPr>
                <w:rFonts w:cs="Times New Roman"/>
                <w:sz w:val="21"/>
              </w:rPr>
            </w:pPr>
            <w:r>
              <w:rPr>
                <w:rFonts w:cs="Times New Roman"/>
                <w:sz w:val="21"/>
              </w:rPr>
              <w:t>年产600头</w:t>
            </w:r>
          </w:p>
        </w:tc>
      </w:tr>
      <w:tr w14:paraId="2023B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9" w:type="pct"/>
            <w:vMerge w:val="continue"/>
            <w:vAlign w:val="center"/>
          </w:tcPr>
          <w:p w14:paraId="3BA38DA0">
            <w:pPr>
              <w:spacing w:line="240" w:lineRule="auto"/>
              <w:ind w:firstLine="0" w:firstLineChars="0"/>
              <w:jc w:val="center"/>
              <w:rPr>
                <w:rFonts w:cs="Times New Roman"/>
                <w:sz w:val="21"/>
              </w:rPr>
            </w:pPr>
          </w:p>
        </w:tc>
        <w:tc>
          <w:tcPr>
            <w:tcW w:w="779" w:type="pct"/>
            <w:vAlign w:val="center"/>
          </w:tcPr>
          <w:p w14:paraId="0C7D162F">
            <w:pPr>
              <w:spacing w:line="240" w:lineRule="auto"/>
              <w:ind w:firstLine="0" w:firstLineChars="0"/>
              <w:jc w:val="center"/>
              <w:rPr>
                <w:rFonts w:cs="Times New Roman"/>
                <w:sz w:val="21"/>
              </w:rPr>
            </w:pPr>
            <w:r>
              <w:rPr>
                <w:rFonts w:cs="Times New Roman"/>
                <w:sz w:val="21"/>
              </w:rPr>
              <w:t>小计</w:t>
            </w:r>
          </w:p>
        </w:tc>
        <w:tc>
          <w:tcPr>
            <w:tcW w:w="468" w:type="pct"/>
            <w:vAlign w:val="center"/>
          </w:tcPr>
          <w:p w14:paraId="35C8C17F">
            <w:pPr>
              <w:spacing w:line="240" w:lineRule="auto"/>
              <w:ind w:firstLine="0" w:firstLineChars="0"/>
              <w:jc w:val="center"/>
              <w:rPr>
                <w:rFonts w:cs="Times New Roman"/>
                <w:sz w:val="21"/>
              </w:rPr>
            </w:pPr>
          </w:p>
        </w:tc>
        <w:tc>
          <w:tcPr>
            <w:tcW w:w="544" w:type="pct"/>
            <w:vAlign w:val="center"/>
          </w:tcPr>
          <w:p w14:paraId="71B3F65B">
            <w:pPr>
              <w:spacing w:line="240" w:lineRule="auto"/>
              <w:ind w:firstLine="0" w:firstLineChars="0"/>
              <w:jc w:val="center"/>
              <w:rPr>
                <w:rFonts w:cs="Times New Roman"/>
                <w:sz w:val="21"/>
              </w:rPr>
            </w:pPr>
          </w:p>
        </w:tc>
        <w:tc>
          <w:tcPr>
            <w:tcW w:w="726" w:type="pct"/>
            <w:vAlign w:val="center"/>
          </w:tcPr>
          <w:p w14:paraId="1FFEFD5E">
            <w:pPr>
              <w:spacing w:line="240" w:lineRule="auto"/>
              <w:ind w:firstLine="0" w:firstLineChars="0"/>
              <w:jc w:val="center"/>
              <w:rPr>
                <w:rFonts w:cs="Times New Roman"/>
                <w:sz w:val="21"/>
              </w:rPr>
            </w:pPr>
          </w:p>
        </w:tc>
        <w:tc>
          <w:tcPr>
            <w:tcW w:w="623" w:type="pct"/>
            <w:vAlign w:val="center"/>
          </w:tcPr>
          <w:p w14:paraId="144ABFD1">
            <w:pPr>
              <w:spacing w:line="240" w:lineRule="auto"/>
              <w:ind w:firstLine="0" w:firstLineChars="0"/>
              <w:jc w:val="center"/>
              <w:rPr>
                <w:rFonts w:hint="default" w:eastAsia="宋体" w:cs="Times New Roman"/>
                <w:sz w:val="21"/>
                <w:lang w:val="en-US" w:eastAsia="zh-CN"/>
              </w:rPr>
            </w:pPr>
            <w:r>
              <w:rPr>
                <w:rFonts w:hint="eastAsia" w:cs="Times New Roman"/>
                <w:sz w:val="21"/>
                <w:lang w:val="en-US" w:eastAsia="zh-CN"/>
              </w:rPr>
              <w:t>220</w:t>
            </w:r>
          </w:p>
        </w:tc>
        <w:tc>
          <w:tcPr>
            <w:tcW w:w="929" w:type="pct"/>
            <w:vAlign w:val="center"/>
          </w:tcPr>
          <w:p w14:paraId="12AD5F0A">
            <w:pPr>
              <w:spacing w:line="240" w:lineRule="auto"/>
              <w:ind w:firstLine="0" w:firstLineChars="0"/>
              <w:jc w:val="center"/>
              <w:rPr>
                <w:rFonts w:cs="Times New Roman"/>
                <w:sz w:val="21"/>
              </w:rPr>
            </w:pPr>
          </w:p>
        </w:tc>
      </w:tr>
      <w:tr w14:paraId="06634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9" w:type="pct"/>
            <w:vMerge w:val="restart"/>
            <w:vAlign w:val="center"/>
          </w:tcPr>
          <w:p w14:paraId="1586DC6A">
            <w:pPr>
              <w:spacing w:line="240" w:lineRule="auto"/>
              <w:ind w:firstLine="0" w:firstLineChars="0"/>
              <w:jc w:val="center"/>
              <w:rPr>
                <w:rFonts w:cs="Times New Roman"/>
                <w:sz w:val="21"/>
              </w:rPr>
            </w:pPr>
            <w:r>
              <w:rPr>
                <w:rFonts w:cs="Times New Roman"/>
                <w:sz w:val="21"/>
              </w:rPr>
              <w:t>林下加工业</w:t>
            </w:r>
          </w:p>
        </w:tc>
        <w:tc>
          <w:tcPr>
            <w:tcW w:w="779" w:type="pct"/>
            <w:vAlign w:val="center"/>
          </w:tcPr>
          <w:p w14:paraId="71C29443">
            <w:pPr>
              <w:spacing w:line="240" w:lineRule="auto"/>
              <w:ind w:firstLine="0" w:firstLineChars="0"/>
              <w:jc w:val="center"/>
              <w:rPr>
                <w:rFonts w:cs="Times New Roman"/>
                <w:sz w:val="21"/>
              </w:rPr>
            </w:pPr>
            <w:r>
              <w:rPr>
                <w:rFonts w:cs="Times New Roman"/>
                <w:sz w:val="21"/>
              </w:rPr>
              <w:t>竹工艺品</w:t>
            </w:r>
          </w:p>
        </w:tc>
        <w:tc>
          <w:tcPr>
            <w:tcW w:w="468" w:type="pct"/>
            <w:vAlign w:val="center"/>
          </w:tcPr>
          <w:p w14:paraId="50BED2AA">
            <w:pPr>
              <w:spacing w:line="240" w:lineRule="auto"/>
              <w:ind w:firstLine="0" w:firstLineChars="0"/>
              <w:jc w:val="center"/>
              <w:rPr>
                <w:rFonts w:cs="Times New Roman"/>
                <w:sz w:val="21"/>
              </w:rPr>
            </w:pPr>
            <w:r>
              <w:rPr>
                <w:rFonts w:cs="Times New Roman"/>
                <w:sz w:val="21"/>
              </w:rPr>
              <w:t>件</w:t>
            </w:r>
          </w:p>
        </w:tc>
        <w:tc>
          <w:tcPr>
            <w:tcW w:w="544" w:type="pct"/>
            <w:vAlign w:val="center"/>
          </w:tcPr>
          <w:p w14:paraId="43A49534">
            <w:pPr>
              <w:spacing w:line="240" w:lineRule="auto"/>
              <w:ind w:firstLine="0" w:firstLineChars="0"/>
              <w:jc w:val="center"/>
              <w:rPr>
                <w:rFonts w:cs="Times New Roman"/>
                <w:sz w:val="21"/>
              </w:rPr>
            </w:pPr>
            <w:r>
              <w:rPr>
                <w:rFonts w:cs="Times New Roman"/>
                <w:sz w:val="21"/>
              </w:rPr>
              <w:t>60000</w:t>
            </w:r>
          </w:p>
        </w:tc>
        <w:tc>
          <w:tcPr>
            <w:tcW w:w="726" w:type="pct"/>
            <w:vAlign w:val="center"/>
          </w:tcPr>
          <w:p w14:paraId="1BFCD6BE">
            <w:pPr>
              <w:spacing w:line="240" w:lineRule="auto"/>
              <w:ind w:firstLine="0" w:firstLineChars="0"/>
              <w:jc w:val="center"/>
              <w:rPr>
                <w:rFonts w:cs="Times New Roman"/>
                <w:sz w:val="21"/>
              </w:rPr>
            </w:pPr>
            <w:r>
              <w:rPr>
                <w:rFonts w:cs="Times New Roman"/>
                <w:sz w:val="21"/>
              </w:rPr>
              <w:t>10</w:t>
            </w:r>
          </w:p>
        </w:tc>
        <w:tc>
          <w:tcPr>
            <w:tcW w:w="623" w:type="pct"/>
            <w:vAlign w:val="center"/>
          </w:tcPr>
          <w:p w14:paraId="4DC6EB3F">
            <w:pPr>
              <w:spacing w:line="240" w:lineRule="auto"/>
              <w:ind w:firstLine="0" w:firstLineChars="0"/>
              <w:jc w:val="center"/>
              <w:rPr>
                <w:rFonts w:cs="Times New Roman"/>
                <w:sz w:val="21"/>
              </w:rPr>
            </w:pPr>
            <w:r>
              <w:rPr>
                <w:rFonts w:cs="Times New Roman"/>
                <w:sz w:val="21"/>
              </w:rPr>
              <w:t>60</w:t>
            </w:r>
          </w:p>
        </w:tc>
        <w:tc>
          <w:tcPr>
            <w:tcW w:w="929" w:type="pct"/>
            <w:vAlign w:val="center"/>
          </w:tcPr>
          <w:p w14:paraId="633BC0E0">
            <w:pPr>
              <w:spacing w:line="240" w:lineRule="auto"/>
              <w:ind w:firstLine="0" w:firstLineChars="0"/>
              <w:jc w:val="center"/>
              <w:rPr>
                <w:rFonts w:cs="Times New Roman"/>
                <w:sz w:val="21"/>
              </w:rPr>
            </w:pPr>
          </w:p>
        </w:tc>
      </w:tr>
      <w:tr w14:paraId="57D27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9" w:type="pct"/>
            <w:vMerge w:val="continue"/>
            <w:vAlign w:val="center"/>
          </w:tcPr>
          <w:p w14:paraId="2ABEF221">
            <w:pPr>
              <w:spacing w:line="240" w:lineRule="auto"/>
              <w:ind w:firstLine="0" w:firstLineChars="0"/>
              <w:jc w:val="center"/>
              <w:rPr>
                <w:rFonts w:cs="Times New Roman"/>
                <w:sz w:val="21"/>
              </w:rPr>
            </w:pPr>
          </w:p>
        </w:tc>
        <w:tc>
          <w:tcPr>
            <w:tcW w:w="779" w:type="pct"/>
            <w:vAlign w:val="center"/>
          </w:tcPr>
          <w:p w14:paraId="7A5BAAE2">
            <w:pPr>
              <w:spacing w:line="240" w:lineRule="auto"/>
              <w:ind w:firstLine="0" w:firstLineChars="0"/>
              <w:jc w:val="center"/>
              <w:rPr>
                <w:rFonts w:cs="Times New Roman"/>
                <w:sz w:val="21"/>
              </w:rPr>
            </w:pPr>
            <w:r>
              <w:rPr>
                <w:rFonts w:cs="Times New Roman"/>
                <w:sz w:val="21"/>
              </w:rPr>
              <w:t>木制品</w:t>
            </w:r>
          </w:p>
        </w:tc>
        <w:tc>
          <w:tcPr>
            <w:tcW w:w="468" w:type="pct"/>
            <w:vAlign w:val="center"/>
          </w:tcPr>
          <w:p w14:paraId="29B7AA92">
            <w:pPr>
              <w:spacing w:line="240" w:lineRule="auto"/>
              <w:ind w:firstLine="0" w:firstLineChars="0"/>
              <w:jc w:val="center"/>
              <w:rPr>
                <w:rFonts w:cs="Times New Roman"/>
                <w:sz w:val="21"/>
              </w:rPr>
            </w:pPr>
            <w:r>
              <w:rPr>
                <w:rFonts w:cs="Times New Roman"/>
                <w:sz w:val="21"/>
              </w:rPr>
              <w:t>件</w:t>
            </w:r>
          </w:p>
        </w:tc>
        <w:tc>
          <w:tcPr>
            <w:tcW w:w="544" w:type="pct"/>
            <w:vAlign w:val="center"/>
          </w:tcPr>
          <w:p w14:paraId="0617704B">
            <w:pPr>
              <w:spacing w:line="240" w:lineRule="auto"/>
              <w:ind w:firstLine="0" w:firstLineChars="0"/>
              <w:jc w:val="center"/>
              <w:rPr>
                <w:rFonts w:cs="Times New Roman"/>
                <w:sz w:val="21"/>
              </w:rPr>
            </w:pPr>
            <w:r>
              <w:rPr>
                <w:rFonts w:cs="Times New Roman"/>
                <w:sz w:val="21"/>
              </w:rPr>
              <w:t>20000</w:t>
            </w:r>
          </w:p>
        </w:tc>
        <w:tc>
          <w:tcPr>
            <w:tcW w:w="726" w:type="pct"/>
            <w:vAlign w:val="center"/>
          </w:tcPr>
          <w:p w14:paraId="4C3BAB23">
            <w:pPr>
              <w:spacing w:line="240" w:lineRule="auto"/>
              <w:ind w:firstLine="0" w:firstLineChars="0"/>
              <w:jc w:val="center"/>
              <w:rPr>
                <w:rFonts w:cs="Times New Roman"/>
                <w:sz w:val="21"/>
              </w:rPr>
            </w:pPr>
            <w:r>
              <w:rPr>
                <w:rFonts w:cs="Times New Roman"/>
                <w:sz w:val="21"/>
              </w:rPr>
              <w:t>15</w:t>
            </w:r>
          </w:p>
        </w:tc>
        <w:tc>
          <w:tcPr>
            <w:tcW w:w="623" w:type="pct"/>
            <w:vAlign w:val="center"/>
          </w:tcPr>
          <w:p w14:paraId="282138E8">
            <w:pPr>
              <w:spacing w:line="240" w:lineRule="auto"/>
              <w:ind w:firstLine="0" w:firstLineChars="0"/>
              <w:jc w:val="center"/>
              <w:rPr>
                <w:rFonts w:cs="Times New Roman"/>
                <w:sz w:val="21"/>
              </w:rPr>
            </w:pPr>
            <w:r>
              <w:rPr>
                <w:rFonts w:cs="Times New Roman"/>
                <w:sz w:val="21"/>
              </w:rPr>
              <w:t>30</w:t>
            </w:r>
          </w:p>
        </w:tc>
        <w:tc>
          <w:tcPr>
            <w:tcW w:w="929" w:type="pct"/>
            <w:vAlign w:val="center"/>
          </w:tcPr>
          <w:p w14:paraId="1D90D1EF">
            <w:pPr>
              <w:spacing w:line="240" w:lineRule="auto"/>
              <w:ind w:firstLine="0" w:firstLineChars="0"/>
              <w:jc w:val="center"/>
              <w:rPr>
                <w:rFonts w:cs="Times New Roman"/>
                <w:sz w:val="21"/>
              </w:rPr>
            </w:pPr>
          </w:p>
        </w:tc>
      </w:tr>
      <w:tr w14:paraId="19EB2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9" w:type="pct"/>
            <w:vMerge w:val="continue"/>
            <w:vAlign w:val="center"/>
          </w:tcPr>
          <w:p w14:paraId="3FA1E506">
            <w:pPr>
              <w:spacing w:line="240" w:lineRule="auto"/>
              <w:ind w:firstLine="0" w:firstLineChars="0"/>
              <w:jc w:val="center"/>
              <w:rPr>
                <w:rFonts w:cs="Times New Roman"/>
                <w:sz w:val="21"/>
              </w:rPr>
            </w:pPr>
          </w:p>
        </w:tc>
        <w:tc>
          <w:tcPr>
            <w:tcW w:w="779" w:type="pct"/>
            <w:vAlign w:val="center"/>
          </w:tcPr>
          <w:p w14:paraId="40DBF045">
            <w:pPr>
              <w:spacing w:line="240" w:lineRule="auto"/>
              <w:ind w:firstLine="0" w:firstLineChars="0"/>
              <w:jc w:val="center"/>
              <w:rPr>
                <w:rFonts w:cs="Times New Roman"/>
                <w:sz w:val="21"/>
              </w:rPr>
            </w:pPr>
            <w:r>
              <w:rPr>
                <w:rFonts w:cs="Times New Roman"/>
                <w:sz w:val="21"/>
              </w:rPr>
              <w:t>小计</w:t>
            </w:r>
          </w:p>
        </w:tc>
        <w:tc>
          <w:tcPr>
            <w:tcW w:w="468" w:type="pct"/>
            <w:vAlign w:val="center"/>
          </w:tcPr>
          <w:p w14:paraId="509D5FC8">
            <w:pPr>
              <w:spacing w:line="240" w:lineRule="auto"/>
              <w:ind w:firstLine="0" w:firstLineChars="0"/>
              <w:jc w:val="center"/>
              <w:rPr>
                <w:rFonts w:cs="Times New Roman"/>
                <w:sz w:val="21"/>
              </w:rPr>
            </w:pPr>
          </w:p>
        </w:tc>
        <w:tc>
          <w:tcPr>
            <w:tcW w:w="544" w:type="pct"/>
            <w:vAlign w:val="center"/>
          </w:tcPr>
          <w:p w14:paraId="407057E5">
            <w:pPr>
              <w:spacing w:line="240" w:lineRule="auto"/>
              <w:ind w:firstLine="0" w:firstLineChars="0"/>
              <w:jc w:val="center"/>
              <w:rPr>
                <w:rFonts w:cs="Times New Roman"/>
                <w:sz w:val="21"/>
              </w:rPr>
            </w:pPr>
          </w:p>
        </w:tc>
        <w:tc>
          <w:tcPr>
            <w:tcW w:w="726" w:type="pct"/>
            <w:vAlign w:val="center"/>
          </w:tcPr>
          <w:p w14:paraId="30E8B6AC">
            <w:pPr>
              <w:spacing w:line="240" w:lineRule="auto"/>
              <w:ind w:firstLine="0" w:firstLineChars="0"/>
              <w:jc w:val="center"/>
              <w:rPr>
                <w:rFonts w:cs="Times New Roman"/>
                <w:sz w:val="21"/>
              </w:rPr>
            </w:pPr>
          </w:p>
        </w:tc>
        <w:tc>
          <w:tcPr>
            <w:tcW w:w="623" w:type="pct"/>
            <w:vAlign w:val="center"/>
          </w:tcPr>
          <w:p w14:paraId="6AB4AD16">
            <w:pPr>
              <w:spacing w:line="240" w:lineRule="auto"/>
              <w:ind w:firstLine="0" w:firstLineChars="0"/>
              <w:jc w:val="center"/>
              <w:rPr>
                <w:rFonts w:cs="Times New Roman"/>
                <w:sz w:val="21"/>
              </w:rPr>
            </w:pPr>
            <w:r>
              <w:rPr>
                <w:rFonts w:cs="Times New Roman"/>
                <w:sz w:val="21"/>
              </w:rPr>
              <w:t>90</w:t>
            </w:r>
          </w:p>
        </w:tc>
        <w:tc>
          <w:tcPr>
            <w:tcW w:w="929" w:type="pct"/>
            <w:vAlign w:val="center"/>
          </w:tcPr>
          <w:p w14:paraId="30612592">
            <w:pPr>
              <w:spacing w:line="240" w:lineRule="auto"/>
              <w:ind w:firstLine="0" w:firstLineChars="0"/>
              <w:jc w:val="center"/>
              <w:rPr>
                <w:rFonts w:cs="Times New Roman"/>
                <w:sz w:val="21"/>
              </w:rPr>
            </w:pPr>
          </w:p>
        </w:tc>
      </w:tr>
      <w:tr w14:paraId="4F58A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08" w:type="pct"/>
            <w:gridSpan w:val="2"/>
            <w:vAlign w:val="center"/>
          </w:tcPr>
          <w:p w14:paraId="6C3EBC95">
            <w:pPr>
              <w:spacing w:line="240" w:lineRule="auto"/>
              <w:ind w:firstLine="0" w:firstLineChars="0"/>
              <w:jc w:val="center"/>
              <w:rPr>
                <w:rFonts w:cs="Times New Roman"/>
                <w:sz w:val="21"/>
              </w:rPr>
            </w:pPr>
            <w:r>
              <w:rPr>
                <w:rFonts w:cs="Times New Roman"/>
                <w:sz w:val="21"/>
              </w:rPr>
              <w:t>合计</w:t>
            </w:r>
          </w:p>
        </w:tc>
        <w:tc>
          <w:tcPr>
            <w:tcW w:w="468" w:type="pct"/>
            <w:vAlign w:val="center"/>
          </w:tcPr>
          <w:p w14:paraId="3DD59697">
            <w:pPr>
              <w:spacing w:line="240" w:lineRule="auto"/>
              <w:ind w:firstLine="0" w:firstLineChars="0"/>
              <w:jc w:val="center"/>
              <w:rPr>
                <w:rFonts w:cs="Times New Roman"/>
                <w:sz w:val="21"/>
              </w:rPr>
            </w:pPr>
          </w:p>
        </w:tc>
        <w:tc>
          <w:tcPr>
            <w:tcW w:w="544" w:type="pct"/>
            <w:vAlign w:val="center"/>
          </w:tcPr>
          <w:p w14:paraId="45FEFF70">
            <w:pPr>
              <w:spacing w:line="240" w:lineRule="auto"/>
              <w:ind w:firstLine="0" w:firstLineChars="0"/>
              <w:jc w:val="center"/>
              <w:rPr>
                <w:rFonts w:cs="Times New Roman"/>
                <w:sz w:val="21"/>
              </w:rPr>
            </w:pPr>
          </w:p>
        </w:tc>
        <w:tc>
          <w:tcPr>
            <w:tcW w:w="726" w:type="pct"/>
            <w:vAlign w:val="center"/>
          </w:tcPr>
          <w:p w14:paraId="629A4AB2">
            <w:pPr>
              <w:spacing w:line="240" w:lineRule="auto"/>
              <w:ind w:firstLine="0" w:firstLineChars="0"/>
              <w:jc w:val="center"/>
              <w:rPr>
                <w:rFonts w:cs="Times New Roman"/>
                <w:sz w:val="21"/>
              </w:rPr>
            </w:pPr>
          </w:p>
        </w:tc>
        <w:tc>
          <w:tcPr>
            <w:tcW w:w="623" w:type="pct"/>
            <w:vAlign w:val="center"/>
          </w:tcPr>
          <w:p w14:paraId="543074CA">
            <w:pPr>
              <w:spacing w:line="240" w:lineRule="auto"/>
              <w:ind w:firstLine="0" w:firstLineChars="0"/>
              <w:jc w:val="center"/>
              <w:rPr>
                <w:rFonts w:hint="default" w:eastAsia="宋体" w:cs="Times New Roman"/>
                <w:sz w:val="21"/>
                <w:lang w:val="en-US" w:eastAsia="zh-CN"/>
              </w:rPr>
            </w:pPr>
            <w:r>
              <w:rPr>
                <w:rFonts w:cs="Times New Roman"/>
                <w:sz w:val="21"/>
              </w:rPr>
              <w:t>1</w:t>
            </w:r>
            <w:r>
              <w:rPr>
                <w:rFonts w:hint="eastAsia" w:cs="Times New Roman"/>
                <w:sz w:val="21"/>
                <w:lang w:val="en-US" w:eastAsia="zh-CN"/>
              </w:rPr>
              <w:t>030</w:t>
            </w:r>
          </w:p>
        </w:tc>
        <w:tc>
          <w:tcPr>
            <w:tcW w:w="929" w:type="pct"/>
            <w:vAlign w:val="center"/>
          </w:tcPr>
          <w:p w14:paraId="61FD5953">
            <w:pPr>
              <w:spacing w:line="240" w:lineRule="auto"/>
              <w:ind w:firstLine="0" w:firstLineChars="0"/>
              <w:jc w:val="center"/>
              <w:rPr>
                <w:rFonts w:cs="Times New Roman"/>
                <w:sz w:val="21"/>
              </w:rPr>
            </w:pPr>
          </w:p>
        </w:tc>
      </w:tr>
    </w:tbl>
    <w:p w14:paraId="17FA6F60">
      <w:pPr>
        <w:pStyle w:val="7"/>
        <w:ind w:firstLine="480"/>
        <w:rPr>
          <w:rFonts w:cs="Times New Roman"/>
        </w:rPr>
      </w:pPr>
    </w:p>
    <w:p w14:paraId="6CCB5557">
      <w:pPr>
        <w:ind w:firstLine="480"/>
        <w:rPr>
          <w:rFonts w:cs="Times New Roman"/>
        </w:rPr>
        <w:sectPr>
          <w:footerReference r:id="rId40" w:type="default"/>
          <w:pgSz w:w="11905" w:h="16843"/>
          <w:pgMar w:top="1440" w:right="1406" w:bottom="1440" w:left="1803" w:header="873" w:footer="1276" w:gutter="0"/>
          <w:cols w:space="0" w:num="1"/>
          <w:rtlGutter w:val="0"/>
          <w:docGrid w:linePitch="326" w:charSpace="0"/>
        </w:sectPr>
      </w:pPr>
    </w:p>
    <w:p w14:paraId="051C4D17">
      <w:pPr>
        <w:pStyle w:val="2"/>
        <w:spacing w:before="120" w:after="120"/>
        <w:rPr>
          <w:lang w:eastAsia="zh-CN"/>
        </w:rPr>
      </w:pPr>
      <w:bookmarkStart w:id="113" w:name="bookmark80"/>
      <w:bookmarkEnd w:id="113"/>
      <w:bookmarkStart w:id="114" w:name="bookmark78"/>
      <w:bookmarkEnd w:id="114"/>
      <w:bookmarkStart w:id="115" w:name="_Toc2964"/>
      <w:r>
        <w:rPr>
          <w:lang w:eastAsia="zh-CN"/>
        </w:rPr>
        <w:t>第八章</w:t>
      </w:r>
      <w:r>
        <w:rPr>
          <w:rFonts w:hint="eastAsia"/>
          <w:lang w:eastAsia="zh-CN"/>
        </w:rPr>
        <w:t xml:space="preserve"> </w:t>
      </w:r>
      <w:r>
        <w:rPr>
          <w:lang w:eastAsia="zh-CN"/>
        </w:rPr>
        <w:t>森林健康与森林保护规划</w:t>
      </w:r>
      <w:bookmarkEnd w:id="115"/>
    </w:p>
    <w:p w14:paraId="29C62653">
      <w:pPr>
        <w:pStyle w:val="3"/>
        <w:rPr>
          <w:lang w:eastAsia="zh-CN"/>
        </w:rPr>
      </w:pPr>
      <w:bookmarkStart w:id="116" w:name="bookmark95"/>
      <w:bookmarkEnd w:id="116"/>
      <w:bookmarkStart w:id="117" w:name="_Toc26598"/>
      <w:r>
        <w:rPr>
          <w:lang w:eastAsia="zh-CN"/>
        </w:rPr>
        <w:t>8.</w:t>
      </w:r>
      <w:r>
        <w:rPr>
          <w:rFonts w:hint="eastAsia"/>
          <w:lang w:eastAsia="zh-CN"/>
        </w:rPr>
        <w:t>1林地权属</w:t>
      </w:r>
      <w:r>
        <w:rPr>
          <w:lang w:eastAsia="zh-CN"/>
        </w:rPr>
        <w:t>维护</w:t>
      </w:r>
      <w:bookmarkEnd w:id="117"/>
    </w:p>
    <w:p w14:paraId="31B9161F">
      <w:pPr>
        <w:ind w:firstLine="480"/>
        <w:rPr>
          <w:lang w:eastAsia="zh-CN"/>
        </w:rPr>
      </w:pPr>
      <w:r>
        <w:rPr>
          <w:rFonts w:hint="eastAsia"/>
          <w:lang w:eastAsia="zh-CN"/>
        </w:rPr>
        <w:t>(1)进一步明晰产权，以利林地资源管理</w:t>
      </w:r>
    </w:p>
    <w:p w14:paraId="2492602E">
      <w:pPr>
        <w:ind w:firstLine="480"/>
        <w:rPr>
          <w:lang w:eastAsia="zh-CN"/>
        </w:rPr>
      </w:pPr>
      <w:r>
        <w:rPr>
          <w:rFonts w:hint="eastAsia"/>
          <w:lang w:eastAsia="zh-CN"/>
        </w:rPr>
        <w:t>由于林场早年历史原因，部分林地权属有所争议，建议存在争议的林场、各个乡镇村的农户、国土部门和林业部门等利益各方在协调下进行权属的确认，以保障林场的林地权属明晰。同时，依据湖南省人民政府颁布的《湖南省林木、林地权属争议处理办法》，国有林场、苗圃、林科所、采育场和其他全民所有制单位与集体所有制单位和个人之间、以及全民所有制单位相互之间发生的林木、林地权属争议，以全民所有制单位组建或扩建时县级以上(含县、下同)人民政府及其林业行政主管部门等有权批准机关批准的规划设计图、文件所确认的权属为依据，以期解决林场权属争议问题。</w:t>
      </w:r>
    </w:p>
    <w:p w14:paraId="1E80920A">
      <w:pPr>
        <w:ind w:firstLine="480"/>
        <w:rPr>
          <w:lang w:eastAsia="zh-CN"/>
        </w:rPr>
      </w:pPr>
      <w:r>
        <w:rPr>
          <w:rFonts w:hint="eastAsia"/>
          <w:lang w:eastAsia="zh-CN"/>
        </w:rPr>
        <w:t>(2)依法管理林地，防止毁坏林地资源</w:t>
      </w:r>
    </w:p>
    <w:p w14:paraId="456F4E7E">
      <w:pPr>
        <w:ind w:firstLine="480"/>
        <w:rPr>
          <w:lang w:eastAsia="zh-CN"/>
        </w:rPr>
      </w:pPr>
      <w:r>
        <w:rPr>
          <w:rFonts w:hint="eastAsia"/>
          <w:lang w:eastAsia="zh-CN"/>
        </w:rPr>
        <w:t>以《中华人民共和国森林法》等有关法律、法规为武器，加强林地管理，非国家重大项目保护林地面积不变，森林资源总体状况不变，合理使用林地，杜绝非法侵占林地。</w:t>
      </w:r>
    </w:p>
    <w:p w14:paraId="5A230ED7">
      <w:pPr>
        <w:ind w:firstLine="480"/>
        <w:rPr>
          <w:lang w:eastAsia="zh-CN"/>
        </w:rPr>
      </w:pPr>
      <w:r>
        <w:rPr>
          <w:rFonts w:hint="eastAsia"/>
          <w:lang w:eastAsia="zh-CN"/>
        </w:rPr>
        <w:t>①杜绝毁林开垦和毁林采石、采矿、采土修坟、建房及其他毁坏林地资源行为。</w:t>
      </w:r>
    </w:p>
    <w:p w14:paraId="0DFD2A7F">
      <w:pPr>
        <w:ind w:firstLine="480"/>
        <w:rPr>
          <w:lang w:eastAsia="zh-CN"/>
        </w:rPr>
      </w:pPr>
      <w:r>
        <w:rPr>
          <w:rFonts w:hint="eastAsia"/>
          <w:lang w:eastAsia="zh-CN"/>
        </w:rPr>
        <w:t>②科学合理经营管理林地，防止林地地力衰退和水土流失。</w:t>
      </w:r>
    </w:p>
    <w:p w14:paraId="4453FC30">
      <w:pPr>
        <w:ind w:firstLine="480"/>
        <w:rPr>
          <w:lang w:eastAsia="zh-CN"/>
        </w:rPr>
      </w:pPr>
      <w:r>
        <w:rPr>
          <w:rFonts w:hint="eastAsia"/>
          <w:lang w:eastAsia="zh-CN"/>
        </w:rPr>
        <w:t>③禁止从事有害于林地资源保护的生产经营活动。</w:t>
      </w:r>
    </w:p>
    <w:p w14:paraId="64FEA42A">
      <w:pPr>
        <w:ind w:firstLine="480"/>
        <w:rPr>
          <w:lang w:eastAsia="zh-CN"/>
        </w:rPr>
      </w:pPr>
      <w:r>
        <w:rPr>
          <w:rFonts w:hint="eastAsia"/>
          <w:lang w:eastAsia="zh-CN"/>
        </w:rPr>
        <w:t>④临时使用林地收回后，应当及时复垦还林。</w:t>
      </w:r>
    </w:p>
    <w:p w14:paraId="17ECBA39">
      <w:pPr>
        <w:pStyle w:val="3"/>
        <w:rPr>
          <w:lang w:eastAsia="zh-CN"/>
        </w:rPr>
      </w:pPr>
      <w:bookmarkStart w:id="118" w:name="_Toc24281"/>
      <w:r>
        <w:rPr>
          <w:lang w:eastAsia="zh-CN"/>
        </w:rPr>
        <w:t>8.</w:t>
      </w:r>
      <w:r>
        <w:rPr>
          <w:rFonts w:hint="eastAsia"/>
          <w:lang w:eastAsia="zh-CN"/>
        </w:rPr>
        <w:t>2</w:t>
      </w:r>
      <w:r>
        <w:rPr>
          <w:lang w:eastAsia="zh-CN"/>
        </w:rPr>
        <w:t>地力维护</w:t>
      </w:r>
      <w:bookmarkEnd w:id="118"/>
    </w:p>
    <w:p w14:paraId="6FB0E3D0">
      <w:pPr>
        <w:ind w:firstLine="480"/>
        <w:rPr>
          <w:lang w:eastAsia="zh-CN"/>
        </w:rPr>
      </w:pPr>
      <w:r>
        <w:rPr>
          <w:lang w:eastAsia="zh-CN"/>
        </w:rPr>
        <w:t>林地生产力是森林资源可持续发展的基础，林场的任何经营活动都应以维护林地生产力为前提，以保证林地具有良好的生产力。根据林场资源现状，重点在于杉木、桉树林地地力的维护。为减小林地地力的退化，经理期内应采取如下措施：</w:t>
      </w:r>
    </w:p>
    <w:p w14:paraId="70208ADC">
      <w:pPr>
        <w:ind w:firstLine="480"/>
        <w:rPr>
          <w:lang w:eastAsia="zh-CN"/>
        </w:rPr>
      </w:pPr>
      <w:r>
        <w:rPr>
          <w:rFonts w:hint="eastAsia"/>
          <w:lang w:eastAsia="zh-CN"/>
        </w:rPr>
        <w:t>(</w:t>
      </w:r>
      <w:r>
        <w:rPr>
          <w:lang w:eastAsia="zh-CN"/>
        </w:rPr>
        <w:t>1</w:t>
      </w:r>
      <w:r>
        <w:rPr>
          <w:rFonts w:hint="eastAsia"/>
          <w:lang w:eastAsia="zh-CN"/>
        </w:rPr>
        <w:t>)</w:t>
      </w:r>
      <w:r>
        <w:rPr>
          <w:lang w:eastAsia="zh-CN"/>
        </w:rPr>
        <w:t>改变不合理的作业方式。尽可能采用带状、穴状整地，减少抚育强度，实行局部抚育及生态系统管理，各个作业环节紧扣有利养分的保存，减少养分的流失，使养分朝着良性循环方向发展。</w:t>
      </w:r>
    </w:p>
    <w:p w14:paraId="2B7C1422">
      <w:pPr>
        <w:ind w:firstLine="480"/>
        <w:rPr>
          <w:lang w:eastAsia="zh-CN"/>
        </w:rPr>
      </w:pPr>
      <w:r>
        <w:rPr>
          <w:rFonts w:hint="eastAsia"/>
          <w:lang w:eastAsia="zh-CN"/>
        </w:rPr>
        <w:t>(</w:t>
      </w:r>
      <w:r>
        <w:rPr>
          <w:lang w:eastAsia="zh-CN"/>
        </w:rPr>
        <w:t>2</w:t>
      </w:r>
      <w:r>
        <w:rPr>
          <w:rFonts w:hint="eastAsia"/>
          <w:lang w:eastAsia="zh-CN"/>
        </w:rPr>
        <w:t>)</w:t>
      </w:r>
      <w:r>
        <w:rPr>
          <w:lang w:eastAsia="zh-CN"/>
        </w:rPr>
        <w:t>营造混交林。根据林地条件，在营造林中尽可能混种阔叶树，营造混交林，以增加枯落物及物种多样性，防止林地地力的退化。</w:t>
      </w:r>
    </w:p>
    <w:p w14:paraId="521D19B8">
      <w:pPr>
        <w:ind w:firstLine="480"/>
        <w:rPr>
          <w:lang w:eastAsia="zh-CN"/>
        </w:rPr>
      </w:pPr>
      <w:r>
        <w:rPr>
          <w:rFonts w:hint="eastAsia"/>
          <w:lang w:eastAsia="zh-CN"/>
        </w:rPr>
        <w:t>(</w:t>
      </w:r>
      <w:r>
        <w:rPr>
          <w:lang w:eastAsia="zh-CN"/>
        </w:rPr>
        <w:t>3</w:t>
      </w:r>
      <w:r>
        <w:rPr>
          <w:rFonts w:hint="eastAsia"/>
          <w:lang w:eastAsia="zh-CN"/>
        </w:rPr>
        <w:t>)</w:t>
      </w:r>
      <w:r>
        <w:rPr>
          <w:lang w:eastAsia="zh-CN"/>
        </w:rPr>
        <w:t>适当施肥。现代林业要有高投入才能有高产出，针对集约化经营的实际，对部分林地进行施肥，增加投入，补充养分消耗。</w:t>
      </w:r>
    </w:p>
    <w:p w14:paraId="4170789E">
      <w:pPr>
        <w:ind w:firstLine="480"/>
        <w:rPr>
          <w:lang w:eastAsia="zh-CN"/>
        </w:rPr>
      </w:pPr>
      <w:r>
        <w:rPr>
          <w:rFonts w:hint="eastAsia"/>
          <w:lang w:eastAsia="zh-CN"/>
        </w:rPr>
        <w:t>(</w:t>
      </w:r>
      <w:r>
        <w:rPr>
          <w:lang w:eastAsia="zh-CN"/>
        </w:rPr>
        <w:t>4</w:t>
      </w:r>
      <w:r>
        <w:rPr>
          <w:rFonts w:hint="eastAsia"/>
          <w:lang w:eastAsia="zh-CN"/>
        </w:rPr>
        <w:t>)</w:t>
      </w:r>
      <w:r>
        <w:rPr>
          <w:lang w:eastAsia="zh-CN"/>
        </w:rPr>
        <w:t>采伐作业中将采伐剩余物铺高在作业地段上，以减缓水土流失及土壤中有机质的分解、流失；同时有利于保护林地表土层，减轻对林地表土层的压实和破坏。</w:t>
      </w:r>
    </w:p>
    <w:p w14:paraId="12D017E6">
      <w:pPr>
        <w:pStyle w:val="3"/>
        <w:rPr>
          <w:lang w:eastAsia="zh-CN"/>
        </w:rPr>
      </w:pPr>
      <w:bookmarkStart w:id="119" w:name="bookmark82"/>
      <w:bookmarkEnd w:id="119"/>
      <w:bookmarkStart w:id="120" w:name="bookmark84"/>
      <w:bookmarkEnd w:id="120"/>
      <w:bookmarkStart w:id="121" w:name="_Toc8887"/>
      <w:r>
        <w:rPr>
          <w:rFonts w:hint="eastAsia"/>
          <w:lang w:eastAsia="zh-CN"/>
        </w:rPr>
        <w:t>8.2森林管护</w:t>
      </w:r>
      <w:bookmarkEnd w:id="121"/>
    </w:p>
    <w:p w14:paraId="54318581">
      <w:pPr>
        <w:pStyle w:val="4"/>
      </w:pPr>
      <w:r>
        <w:rPr>
          <w:rFonts w:hint="eastAsia"/>
        </w:rPr>
        <w:t>8.2.1加强对野生动物资源的保护宣传</w:t>
      </w:r>
    </w:p>
    <w:p w14:paraId="0ADB937D">
      <w:pPr>
        <w:ind w:firstLine="480"/>
        <w:rPr>
          <w:lang w:eastAsia="zh-CN"/>
        </w:rPr>
      </w:pPr>
      <w:r>
        <w:rPr>
          <w:rFonts w:hint="eastAsia"/>
          <w:lang w:eastAsia="zh-CN"/>
        </w:rPr>
        <w:t>采取利用宣传媒体、宣传窗(单)等多种形式，结合“植树节”，“爱鸟周”、“爱护野生动物宣传月”及“世界环境保护日”等活动，开展内容丰富、形式多样的宣传，使《森林法》、《环境保护法》、《中华人民共和国野生动物保护条例》等法律法规和生态保护意识深入人心，提高生态环保意识，从根本上防止一切不利于生态保护的行为发生，使天然林、生态公益林、野生动物资源及林区水库的保护真正成为周边村民和游人的自觉行为。</w:t>
      </w:r>
    </w:p>
    <w:p w14:paraId="24B5CBEC">
      <w:pPr>
        <w:pStyle w:val="4"/>
      </w:pPr>
      <w:r>
        <w:rPr>
          <w:rFonts w:hint="eastAsia"/>
        </w:rPr>
        <w:t>8.2.2原始次生林保护</w:t>
      </w:r>
    </w:p>
    <w:p w14:paraId="6D5CE856">
      <w:pPr>
        <w:pStyle w:val="6"/>
        <w:ind w:firstLine="480"/>
        <w:rPr>
          <w:rFonts w:ascii="Times New Roman" w:hAnsi="Times New Roman"/>
          <w:lang w:eastAsia="zh-CN"/>
        </w:rPr>
      </w:pPr>
      <w:r>
        <w:rPr>
          <w:rFonts w:hint="eastAsia" w:ascii="Times New Roman" w:hAnsi="Times New Roman"/>
          <w:lang w:eastAsia="zh-CN"/>
        </w:rPr>
        <w:t>(1)对实行封山育林的原始次生林地块应划清边界，标明四至，设立标牌，落实责任，封育期间禁止采伐，放牧，割草，垦荒和其他一切不利于林木生长繁育的人为活动。在原始次生林保护范围外设立保护标识、标牌，严禁游人、学生进入保护区观光和采集标本，严禁乱挖、乱捕行为。</w:t>
      </w:r>
    </w:p>
    <w:p w14:paraId="204A0FA6">
      <w:pPr>
        <w:ind w:firstLine="480"/>
        <w:rPr>
          <w:lang w:eastAsia="zh-CN"/>
        </w:rPr>
      </w:pPr>
      <w:r>
        <w:rPr>
          <w:rFonts w:hint="eastAsia"/>
          <w:lang w:eastAsia="zh-CN"/>
        </w:rPr>
        <w:t>(2)对严重影响林场原始次生林生长发育的楠竹等树种进行及时清理，日常巡护中加强相关情况的巡查，做到早发现、早控制。根据影响树种的生长时间特性，定时开展专项清理行动，人工促进其向顶极生态群落方向演替。</w:t>
      </w:r>
    </w:p>
    <w:p w14:paraId="54471611">
      <w:pPr>
        <w:ind w:firstLine="480"/>
        <w:rPr>
          <w:lang w:eastAsia="zh-CN"/>
        </w:rPr>
      </w:pPr>
      <w:r>
        <w:rPr>
          <w:rFonts w:hint="eastAsia"/>
          <w:lang w:eastAsia="zh-CN"/>
        </w:rPr>
        <w:t>(3)为确保原始次生林不遭破坏，配备专职护林员，责任落实到具体山头地块，定期进行巡护，便于及时发现并制止破坏行为的发生。</w:t>
      </w:r>
    </w:p>
    <w:p w14:paraId="46265DF2">
      <w:pPr>
        <w:pStyle w:val="4"/>
      </w:pPr>
      <w:r>
        <w:rPr>
          <w:rFonts w:hint="eastAsia"/>
        </w:rPr>
        <w:t>8.2.3建立野生动植物资源档案和监测体系</w:t>
      </w:r>
    </w:p>
    <w:p w14:paraId="48EEE99A">
      <w:pPr>
        <w:ind w:firstLine="480"/>
        <w:rPr>
          <w:lang w:eastAsia="zh-CN"/>
        </w:rPr>
      </w:pPr>
      <w:r>
        <w:rPr>
          <w:rFonts w:hint="eastAsia"/>
          <w:lang w:eastAsia="zh-CN"/>
        </w:rPr>
        <w:t>本经理内每5年组织专业队伍进行野生动物和野生植物的专项资源监测调查各一次，依据调查结果和历史资料对林场内野生动植物进行名录编制，对林场内珍稀濒危野生动植物进行登记造册，编制相关调查报告。</w:t>
      </w:r>
    </w:p>
    <w:p w14:paraId="108486E0">
      <w:pPr>
        <w:ind w:firstLine="480"/>
        <w:rPr>
          <w:lang w:eastAsia="zh-CN"/>
        </w:rPr>
      </w:pPr>
      <w:r>
        <w:rPr>
          <w:rFonts w:hint="eastAsia"/>
          <w:lang w:eastAsia="zh-CN"/>
        </w:rPr>
        <w:t>本期规划50台红外相机，在动植物资源高度丰富地区进行安放，通过通信建设接入林场数字管理平台，达到长期监测的目的，从而掌握和了解森林资源的动态变化情况，为天然林、生态公益林、野生动物资源及林地保护提供科学依据，从而进一步完善林场监测体系建设。</w:t>
      </w:r>
    </w:p>
    <w:p w14:paraId="4736EF41">
      <w:pPr>
        <w:pStyle w:val="4"/>
      </w:pPr>
      <w:r>
        <w:rPr>
          <w:rFonts w:hint="eastAsia"/>
        </w:rPr>
        <w:t>8.2.4野生动物及栖息地保护</w:t>
      </w:r>
    </w:p>
    <w:p w14:paraId="21856D14">
      <w:pPr>
        <w:ind w:firstLine="480"/>
        <w:rPr>
          <w:lang w:eastAsia="zh-CN"/>
        </w:rPr>
      </w:pPr>
      <w:r>
        <w:rPr>
          <w:rFonts w:hint="eastAsia"/>
          <w:lang w:eastAsia="zh-CN"/>
        </w:rPr>
        <w:t>野生动物资源是整个自然生态系统中的重要组成部分，是确保森林生态系统稳定平衡发展的重要因素。由于人为活动对自然资源的过度开发和利用，导致野生动物的生存环境不断遭受破坏，野生动物及其栖息地保护迫在眉睫。</w:t>
      </w:r>
    </w:p>
    <w:p w14:paraId="16B6514A">
      <w:pPr>
        <w:ind w:firstLine="480"/>
        <w:rPr>
          <w:lang w:eastAsia="zh-CN"/>
        </w:rPr>
      </w:pPr>
      <w:r>
        <w:rPr>
          <w:rFonts w:hint="eastAsia"/>
          <w:lang w:eastAsia="zh-CN"/>
        </w:rPr>
        <w:t>利用防火视频监测系统共建物种保护监测系统，在野生动物关键栖息地设置红外相机，监测野生动物动态，保护其栖息地，同时监测林场内的乱捕滥猎野生动物的行为。建立一个野生动物救护站，设置专人负责救护工作，增加救护笼舍，购置相关救护设备。</w:t>
      </w:r>
    </w:p>
    <w:p w14:paraId="6B59401F">
      <w:pPr>
        <w:pStyle w:val="4"/>
      </w:pPr>
      <w:r>
        <w:rPr>
          <w:rFonts w:hint="eastAsia"/>
        </w:rPr>
        <w:t>8.2.5极小种群保护</w:t>
      </w:r>
    </w:p>
    <w:p w14:paraId="59FDE6F6">
      <w:pPr>
        <w:ind w:firstLine="480"/>
        <w:rPr>
          <w:lang w:eastAsia="zh-CN"/>
        </w:rPr>
      </w:pPr>
      <w:r>
        <w:rPr>
          <w:rFonts w:hint="eastAsia"/>
          <w:lang w:eastAsia="zh-CN"/>
        </w:rPr>
        <w:t>为了切实做好极小种群的保护工作，原国家林业局、国家发展改革委联合印发《全国野生动植物及自然保护区建设</w:t>
      </w:r>
      <w:r>
        <w:fldChar w:fldCharType="begin"/>
      </w:r>
      <w:r>
        <w:instrText xml:space="preserve"> HYPERLINK "http://gc.yuanlin.com/" \t "_blank" </w:instrText>
      </w:r>
      <w:r>
        <w:fldChar w:fldCharType="separate"/>
      </w:r>
      <w:r>
        <w:rPr>
          <w:rFonts w:hint="eastAsia"/>
          <w:lang w:eastAsia="zh-CN"/>
        </w:rPr>
        <w:t>工程</w:t>
      </w:r>
      <w:r>
        <w:rPr>
          <w:rFonts w:hint="eastAsia"/>
          <w:lang w:eastAsia="zh-CN"/>
        </w:rPr>
        <w:fldChar w:fldCharType="end"/>
      </w:r>
      <w:r>
        <w:rPr>
          <w:rFonts w:hint="eastAsia"/>
          <w:lang w:eastAsia="zh-CN"/>
        </w:rPr>
        <w:t>总体规划(2011—2015年)》，确定了首批重点保护的3类共计120种极小种群野生植物：一是野外种群数量极少、极度濒危、随时有灭绝危险的野生植物；二是生境要求独特、生态幅狭窄的野生植物；三是潜在基因价值不清楚，其灭绝将引起基因流失、生物多样性降低、社会经济价值损失巨大且种群数量相对较小的野生植物。</w:t>
      </w:r>
    </w:p>
    <w:p w14:paraId="7C925563">
      <w:pPr>
        <w:ind w:firstLine="480"/>
        <w:rPr>
          <w:lang w:eastAsia="zh-CN"/>
        </w:rPr>
      </w:pPr>
      <w:r>
        <w:rPr>
          <w:rFonts w:hint="eastAsia"/>
          <w:lang w:eastAsia="zh-CN"/>
        </w:rPr>
        <w:t>极小种群野生植物的保护工作是生物多样性保护的重中之重。一方面，极小种群野生植物为我国特有，具有重要的生态、经济、文化和科研价值；另一方面，全球气候变化、人为活动等因素导致极小种群野生植物生境缺失和生存能力下降，成为最易丧失的生物资源之一。如果保护不及时、不到位，极小种群物种的生物特征和基因价值可能在人类尚未了解之前就伴随着物种的灭绝而消失了，最终将给生态系统和人类社会带来不可估量的损失。因此，保护极小种群有助于有利于延缓物种灭绝，维护生态平衡；能够保存种质资源，提升野生植物保护能力，促进可持续发展。</w:t>
      </w:r>
    </w:p>
    <w:p w14:paraId="14E2B7FF">
      <w:pPr>
        <w:ind w:firstLine="480"/>
        <w:rPr>
          <w:lang w:eastAsia="zh-CN"/>
        </w:rPr>
      </w:pPr>
      <w:r>
        <w:rPr>
          <w:rFonts w:hint="eastAsia"/>
          <w:lang w:eastAsia="zh-CN"/>
        </w:rPr>
        <w:t>目前社会各方对极小种群野生植物拯救保护的重要性认识还非常有限，需要通过宣传教育及相关培训等方式，提高公众的保护意识和从业人员的专业素养，开展宣教培训体系建设。</w:t>
      </w:r>
    </w:p>
    <w:p w14:paraId="58B95D05">
      <w:pPr>
        <w:ind w:firstLine="480"/>
        <w:rPr>
          <w:lang w:eastAsia="zh-CN"/>
        </w:rPr>
      </w:pPr>
      <w:r>
        <w:rPr>
          <w:rFonts w:hint="eastAsia"/>
          <w:lang w:eastAsia="zh-CN"/>
        </w:rPr>
        <w:t>通过开展科学研究能力建设、常规性科研和专题性研究等技术支撑体系的建设，探索物种的致濒原因，实现物种的科学管理、有效保护和逐步恢复，最终实现物种的可持续利用。</w:t>
      </w:r>
    </w:p>
    <w:p w14:paraId="5A32692C">
      <w:pPr>
        <w:ind w:firstLine="480"/>
        <w:rPr>
          <w:lang w:eastAsia="zh-CN"/>
        </w:rPr>
      </w:pPr>
      <w:r>
        <w:rPr>
          <w:rFonts w:hint="eastAsia"/>
          <w:lang w:eastAsia="zh-CN"/>
        </w:rPr>
        <w:t>通过开展国际交流合作，加强同国内外相关组织机构交流合作是提高极小种群野生植物保护管理能力，提升我国生物多样性保护国际影响力的重要措施。</w:t>
      </w:r>
    </w:p>
    <w:p w14:paraId="5AF9AD73">
      <w:pPr>
        <w:ind w:firstLine="480"/>
        <w:rPr>
          <w:lang w:eastAsia="zh-CN"/>
        </w:rPr>
      </w:pPr>
      <w:r>
        <w:rPr>
          <w:rFonts w:hint="eastAsia"/>
          <w:lang w:eastAsia="zh-CN"/>
        </w:rPr>
        <w:t>阳明山林场通过加强血水草等极小濒危植物物种，保护血水草等极小种群野生植物物种群落及栖息地。林场的具体保护措施如下：</w:t>
      </w:r>
    </w:p>
    <w:p w14:paraId="37800745">
      <w:pPr>
        <w:ind w:firstLine="480"/>
        <w:rPr>
          <w:rFonts w:cs="宋体"/>
          <w:lang w:eastAsia="zh-CN"/>
        </w:rPr>
      </w:pPr>
      <w:r>
        <w:rPr>
          <w:rFonts w:hint="eastAsia" w:cs="宋体"/>
          <w:lang w:eastAsia="zh-CN"/>
        </w:rPr>
        <w:t>(1)就地保护。对自然现存极小种群实施就地保护，明确管理责任，指定专人负责管护；建立护照档案，掌握野生种群在其原生地的生长发育情况；实施环境监测，掌握种群及生境变化规律；加强保护管理力度，严禁一切改变原生境生态的行为；通过人工辅助措施，营造极小种群最适生境。</w:t>
      </w:r>
    </w:p>
    <w:p w14:paraId="45A3AA86">
      <w:pPr>
        <w:ind w:firstLine="480"/>
        <w:rPr>
          <w:rFonts w:cs="宋体"/>
          <w:lang w:eastAsia="zh-CN"/>
        </w:rPr>
      </w:pPr>
      <w:r>
        <w:rPr>
          <w:rFonts w:hint="eastAsia" w:cs="宋体"/>
          <w:lang w:eastAsia="zh-CN"/>
        </w:rPr>
        <w:t>(2)近地保护。选择与保护极小种群相同或相似的生境，开展近地保护，在尽可能不破坏原生境的前提下，进行自然式定植。</w:t>
      </w:r>
    </w:p>
    <w:p w14:paraId="32D1A2F5">
      <w:pPr>
        <w:ind w:firstLine="480"/>
        <w:rPr>
          <w:rFonts w:cs="宋体"/>
          <w:lang w:eastAsia="zh-CN"/>
        </w:rPr>
      </w:pPr>
      <w:r>
        <w:rPr>
          <w:rFonts w:hint="eastAsia" w:cs="宋体"/>
          <w:lang w:eastAsia="zh-CN"/>
        </w:rPr>
        <w:t>(3)迁地保护。建设人工种苗繁殖试验基地，研究繁殖方法，扩大和提供迁地保护种源；选择生态环境和植被类型相似的适宜生境，进行迁地保护。</w:t>
      </w:r>
    </w:p>
    <w:p w14:paraId="2F656766">
      <w:pPr>
        <w:ind w:firstLine="480"/>
        <w:rPr>
          <w:lang w:eastAsia="zh-CN"/>
        </w:rPr>
      </w:pPr>
      <w:r>
        <w:rPr>
          <w:rFonts w:hint="eastAsia"/>
          <w:lang w:eastAsia="zh-CN"/>
        </w:rPr>
        <w:t>(4)野外回归。在迁地保护或人工扩繁的基础上，将人工培育的植株，选择与原生地相近的自然或半自然的适宜生境，重新建立该物种种群，保护和扩大物种所在林场内的野外种群。</w:t>
      </w:r>
    </w:p>
    <w:p w14:paraId="603C7817">
      <w:pPr>
        <w:ind w:firstLine="480"/>
        <w:rPr>
          <w:lang w:eastAsia="zh-CN"/>
        </w:rPr>
      </w:pPr>
      <w:r>
        <w:rPr>
          <w:rFonts w:hint="eastAsia"/>
          <w:lang w:eastAsia="zh-CN"/>
        </w:rPr>
        <w:t>(5)种质资源保存。通过经认证的相关机构，对极小种群的种质资源进行保存，为未来发展储备战略资源。</w:t>
      </w:r>
    </w:p>
    <w:p w14:paraId="0AD7E180">
      <w:pPr>
        <w:ind w:firstLine="480"/>
        <w:rPr>
          <w:lang w:eastAsia="zh-CN"/>
        </w:rPr>
      </w:pPr>
      <w:r>
        <w:rPr>
          <w:rFonts w:hint="eastAsia"/>
          <w:lang w:eastAsia="zh-CN"/>
        </w:rPr>
        <w:t>(6)能力建设。以极小种群就地保护点及迁地保护基地、近地保护点、种质资源设施保存、人工种苗繁殖试验基地为依托，配备必要的监测设施和设备，进行监测点建设。</w:t>
      </w:r>
    </w:p>
    <w:p w14:paraId="16F2A87F">
      <w:pPr>
        <w:pStyle w:val="4"/>
      </w:pPr>
      <w:r>
        <w:rPr>
          <w:rFonts w:hint="eastAsia"/>
        </w:rPr>
        <w:t>8.2.6加强森林资源保护人才培养和引进</w:t>
      </w:r>
    </w:p>
    <w:p w14:paraId="7636BE11">
      <w:pPr>
        <w:ind w:firstLine="480"/>
        <w:rPr>
          <w:lang w:eastAsia="zh-CN"/>
        </w:rPr>
      </w:pPr>
      <w:r>
        <w:rPr>
          <w:rFonts w:hint="eastAsia"/>
          <w:lang w:eastAsia="zh-CN"/>
        </w:rPr>
        <w:t>规划每年对林场内林场人员进行森林资源保护知识和技能的系统培训2次，组织学习相关法律法规和执法依据，大力引进相关专业人才，形成各年龄、各层次和各方面齐备的人才队伍，为林场森林资源保护提供科学可靠的技术力量支撑。</w:t>
      </w:r>
    </w:p>
    <w:p w14:paraId="2D267947">
      <w:pPr>
        <w:pStyle w:val="4"/>
      </w:pPr>
      <w:r>
        <w:rPr>
          <w:rFonts w:hint="eastAsia"/>
        </w:rPr>
        <w:t>8.2.7制定和完善规章制度，形成科学有效的保护管理体系</w:t>
      </w:r>
    </w:p>
    <w:p w14:paraId="3807703C">
      <w:pPr>
        <w:ind w:firstLine="480"/>
        <w:rPr>
          <w:lang w:eastAsia="zh-CN"/>
        </w:rPr>
      </w:pPr>
      <w:r>
        <w:rPr>
          <w:rFonts w:hint="eastAsia"/>
          <w:lang w:eastAsia="zh-CN"/>
        </w:rPr>
        <w:t>要建立和完善林场动植物资源保护管理体系，除进行有限制性的森林旅游开发外，严格禁止其他一切破坏动植物栖息地的森林资源经营活动。</w:t>
      </w:r>
    </w:p>
    <w:p w14:paraId="106986AA">
      <w:pPr>
        <w:ind w:firstLine="480"/>
        <w:rPr>
          <w:lang w:eastAsia="zh-CN"/>
        </w:rPr>
      </w:pPr>
      <w:r>
        <w:rPr>
          <w:rFonts w:hint="eastAsia"/>
          <w:lang w:eastAsia="zh-CN"/>
        </w:rPr>
        <w:t>(1)按照自然保护区“一区一法”的要求，市县人大立法机构要制定专门的保护管理办法，切实落实好保护管理措施。</w:t>
      </w:r>
    </w:p>
    <w:p w14:paraId="3B5FEB92">
      <w:pPr>
        <w:ind w:firstLine="480"/>
        <w:rPr>
          <w:lang w:eastAsia="zh-CN"/>
        </w:rPr>
      </w:pPr>
      <w:r>
        <w:rPr>
          <w:rFonts w:hint="eastAsia"/>
          <w:lang w:eastAsia="zh-CN"/>
        </w:rPr>
        <w:t>(2)加大天然林、生态公益林、野生动物资源及林地保护管理的巡查力度，积极搜查林场内进行乱捕乱猎，偷砍盗伐的犯罪人员，同时利用野生动植物分布密集地布设的红外相机监测作为补充进行取证，积极配合森林公安执法，保证野生动植物的栖息地、生态环境不受破坏及其与人的和谐相处。</w:t>
      </w:r>
    </w:p>
    <w:p w14:paraId="69DD0246">
      <w:pPr>
        <w:ind w:firstLine="480"/>
        <w:rPr>
          <w:lang w:eastAsia="zh-CN"/>
        </w:rPr>
      </w:pPr>
      <w:r>
        <w:rPr>
          <w:rFonts w:hint="eastAsia"/>
          <w:lang w:eastAsia="zh-CN"/>
        </w:rPr>
        <w:t>(3)明确巡山护林人员的职责，加大巡护力度，分区定时巡逻检查。</w:t>
      </w:r>
    </w:p>
    <w:p w14:paraId="5EAD2725">
      <w:pPr>
        <w:pStyle w:val="3"/>
        <w:rPr>
          <w:lang w:eastAsia="zh-CN"/>
        </w:rPr>
      </w:pPr>
      <w:bookmarkStart w:id="122" w:name="_Toc14249"/>
      <w:r>
        <w:rPr>
          <w:lang w:eastAsia="zh-CN"/>
        </w:rPr>
        <w:t>8.3森林防火</w:t>
      </w:r>
      <w:bookmarkEnd w:id="122"/>
    </w:p>
    <w:p w14:paraId="33C3AFFA">
      <w:pPr>
        <w:ind w:firstLine="480"/>
        <w:rPr>
          <w:lang w:eastAsia="zh-CN"/>
        </w:rPr>
      </w:pPr>
      <w:r>
        <w:rPr>
          <w:rFonts w:hint="eastAsia" w:cs="宋体"/>
          <w:lang w:eastAsia="zh-CN"/>
        </w:rPr>
        <w:t>森林防火应贯彻“预防为主，积极消灭”的方针。建场以来，林场在森林防火上做了大量工作</w:t>
      </w:r>
      <w:r>
        <w:rPr>
          <w:lang w:eastAsia="zh-CN"/>
        </w:rPr>
        <w:t>，有效保护了森林资源和人民群众生命财产安全，维护了林区社会稳定。为搞好森林防火工作，本经理期重点突出基础设施建设，强化技能培训，提高处置森林火灾的能力；加强预测预报、高山瞭望、林火阻隔系统建设，提高森林火灾预防能力；加快森林防火应急救援队伍建设，提高森林防火工作效率。</w:t>
      </w:r>
    </w:p>
    <w:p w14:paraId="7542D51F">
      <w:pPr>
        <w:pStyle w:val="4"/>
      </w:pPr>
      <w:r>
        <w:t>8.3.1森林消防队伍能力建设</w:t>
      </w:r>
    </w:p>
    <w:p w14:paraId="1FF6F528">
      <w:pPr>
        <w:ind w:firstLine="480"/>
        <w:rPr>
          <w:lang w:eastAsia="zh-CN"/>
        </w:rPr>
      </w:pPr>
      <w:r>
        <w:rPr>
          <w:lang w:eastAsia="zh-CN"/>
        </w:rPr>
        <w:t>森林消防队伍是森林防火最基层的战斗实体，是扑救和处置森林火灾的主要力量，是实现“打早、打小、打了”的重要保障。森林消防队伍构建“以专为主、专群结合、群防群治”的森林消防队伍体系。重点加强森林消防专业队伍建设，提高专业队伍基础设施和装备建设水平，对应急扑火队伍和现有半专业队配备必要的机具装备，提高队伍快速处置森林火灾能力。具体规划如下：</w:t>
      </w:r>
    </w:p>
    <w:p w14:paraId="6027D2C6">
      <w:pPr>
        <w:ind w:firstLine="480"/>
        <w:rPr>
          <w:rFonts w:cs="宋体"/>
          <w:lang w:eastAsia="zh-CN"/>
        </w:rPr>
      </w:pPr>
      <w:r>
        <w:rPr>
          <w:rFonts w:hint="eastAsia" w:cs="宋体"/>
          <w:lang w:eastAsia="zh-CN"/>
        </w:rPr>
        <w:t>(1)</w:t>
      </w:r>
      <w:r>
        <w:rPr>
          <w:rFonts w:cs="宋体"/>
          <w:lang w:eastAsia="zh-CN"/>
        </w:rPr>
        <w:t>设立森林防火领导小组，一把手任组长，林场相关部门参加，林场相关部门将责任落实到具体的山头地块</w:t>
      </w:r>
    </w:p>
    <w:p w14:paraId="72CDEE90">
      <w:pPr>
        <w:ind w:firstLine="480"/>
        <w:rPr>
          <w:rFonts w:cs="宋体"/>
          <w:lang w:eastAsia="zh-CN"/>
        </w:rPr>
      </w:pPr>
      <w:r>
        <w:rPr>
          <w:rFonts w:hint="eastAsia" w:cs="宋体"/>
          <w:lang w:eastAsia="zh-CN"/>
        </w:rPr>
        <w:t>(2)</w:t>
      </w:r>
      <w:r>
        <w:rPr>
          <w:rFonts w:cs="宋体"/>
          <w:lang w:eastAsia="zh-CN"/>
        </w:rPr>
        <w:t>通过建章立制，严格考核、动态管理，落实保障，运用信息化技术手段，强化护林员管理，全面提高护林员履行职责的自觉性和积极性，充分发挥护林员在森林防火巡护、宣传、监管、扑救中的作用。</w:t>
      </w:r>
    </w:p>
    <w:p w14:paraId="6145F515">
      <w:pPr>
        <w:ind w:firstLine="480"/>
        <w:rPr>
          <w:lang w:eastAsia="zh-CN"/>
        </w:rPr>
      </w:pPr>
      <w:r>
        <w:rPr>
          <w:rFonts w:hint="eastAsia"/>
          <w:lang w:eastAsia="zh-CN"/>
        </w:rPr>
        <w:t>(3)</w:t>
      </w:r>
      <w:r>
        <w:rPr>
          <w:lang w:eastAsia="zh-CN"/>
        </w:rPr>
        <w:t>建立一</w:t>
      </w:r>
      <w:r>
        <w:rPr>
          <w:rFonts w:hint="eastAsia"/>
          <w:lang w:eastAsia="zh-CN"/>
        </w:rPr>
        <w:t>支</w:t>
      </w:r>
      <w:r>
        <w:rPr>
          <w:lang w:eastAsia="zh-CN"/>
        </w:rPr>
        <w:t>规模30人的森林消防专业队伍，根据《森林消防专业队伍建设标准》，制定专业队伍建设标准，推行森林消防专业队伍等级评定，实行森林消防专业队员持证上岗制度，提高专业化水平和灭火作战能力，同时与当地居民协同组建一支规模50人的半专业森林消防队伍，再通过与乡镇</w:t>
      </w:r>
      <w:r>
        <w:rPr>
          <w:rFonts w:hint="eastAsia"/>
          <w:lang w:eastAsia="zh-CN"/>
        </w:rPr>
        <w:t>(</w:t>
      </w:r>
      <w:r>
        <w:rPr>
          <w:lang w:eastAsia="zh-CN"/>
        </w:rPr>
        <w:t>社区</w:t>
      </w:r>
      <w:r>
        <w:rPr>
          <w:rFonts w:hint="eastAsia"/>
          <w:lang w:eastAsia="zh-CN"/>
        </w:rPr>
        <w:t>)</w:t>
      </w:r>
      <w:r>
        <w:rPr>
          <w:lang w:eastAsia="zh-CN"/>
        </w:rPr>
        <w:t>共管组织一支业余森林消防队伍，作为机动补充队伍。</w:t>
      </w:r>
    </w:p>
    <w:p w14:paraId="53D820B0">
      <w:pPr>
        <w:ind w:firstLine="480"/>
        <w:rPr>
          <w:lang w:eastAsia="zh-CN"/>
        </w:rPr>
      </w:pPr>
      <w:r>
        <w:rPr>
          <w:rFonts w:hint="eastAsia"/>
          <w:lang w:eastAsia="zh-CN"/>
        </w:rPr>
        <w:t>(4)</w:t>
      </w:r>
      <w:r>
        <w:rPr>
          <w:lang w:eastAsia="zh-CN"/>
        </w:rPr>
        <w:t>加强森林消防队伍培训。加大教育培训力度，规划每年进行4次系统的消防技能培训。创新教育培训手段，规划每年派出5人前往全省优秀防火林场进行学习，交流防火扑火经验。规划每年进行2次防火技能比武，掌握扑救实战技能，提高森林防火扑火综合能力，提升队伍整体战斗力。</w:t>
      </w:r>
    </w:p>
    <w:p w14:paraId="256AD5A8">
      <w:pPr>
        <w:pStyle w:val="4"/>
      </w:pPr>
      <w:r>
        <w:t>8.3.2森林防火基础设施建设</w:t>
      </w:r>
    </w:p>
    <w:p w14:paraId="0E936015">
      <w:pPr>
        <w:ind w:firstLine="480"/>
        <w:rPr>
          <w:lang w:eastAsia="zh-CN"/>
        </w:rPr>
      </w:pPr>
      <w:r>
        <w:rPr>
          <w:rFonts w:hint="eastAsia"/>
          <w:lang w:eastAsia="zh-CN"/>
        </w:rPr>
        <w:t>(1)</w:t>
      </w:r>
      <w:r>
        <w:rPr>
          <w:lang w:eastAsia="zh-CN"/>
        </w:rPr>
        <w:t>消防专业装备建设</w:t>
      </w:r>
    </w:p>
    <w:p w14:paraId="46D9B522">
      <w:pPr>
        <w:ind w:firstLine="480"/>
        <w:rPr>
          <w:lang w:eastAsia="zh-CN"/>
        </w:rPr>
      </w:pPr>
      <w:r>
        <w:rPr>
          <w:lang w:eastAsia="zh-CN"/>
        </w:rPr>
        <w:t>根据《森林消防专业队伍建设标准》，规划期间对现有的森林消防专业队伍按标准填平补齐，实现森林消防专业队伍装备标准化，本期规划拟新增消防头盔80个、扑火服装80套</w:t>
      </w:r>
      <w:r>
        <w:rPr>
          <w:rFonts w:hint="eastAsia"/>
          <w:lang w:eastAsia="zh-CN"/>
        </w:rPr>
        <w:t>(</w:t>
      </w:r>
      <w:r>
        <w:rPr>
          <w:lang w:eastAsia="zh-CN"/>
        </w:rPr>
        <w:t>含防火鞋</w:t>
      </w:r>
      <w:r>
        <w:rPr>
          <w:rFonts w:hint="eastAsia"/>
          <w:lang w:eastAsia="zh-CN"/>
        </w:rPr>
        <w:t>)</w:t>
      </w:r>
      <w:r>
        <w:rPr>
          <w:lang w:eastAsia="zh-CN"/>
        </w:rPr>
        <w:t>、高倍</w:t>
      </w:r>
      <w:r>
        <w:rPr>
          <w:rFonts w:hint="eastAsia"/>
          <w:lang w:eastAsia="zh-CN"/>
        </w:rPr>
        <w:t>望远镜</w:t>
      </w:r>
      <w:r>
        <w:rPr>
          <w:lang w:eastAsia="zh-CN"/>
        </w:rPr>
        <w:t>20个、2号工具200套、风力灭火把10台、油锯10台、消防铲40把、割灌机10台、发电机2个、防火运兵车1辆、皮卡车1台、巡逻摩托车10辆。</w:t>
      </w:r>
    </w:p>
    <w:p w14:paraId="2906B956">
      <w:pPr>
        <w:ind w:firstLine="480"/>
        <w:rPr>
          <w:lang w:eastAsia="zh-CN"/>
        </w:rPr>
      </w:pPr>
      <w:r>
        <w:rPr>
          <w:rFonts w:hint="eastAsia"/>
          <w:lang w:eastAsia="zh-CN"/>
        </w:rPr>
        <w:t>(2)</w:t>
      </w:r>
      <w:r>
        <w:rPr>
          <w:lang w:eastAsia="zh-CN"/>
        </w:rPr>
        <w:t>防火林道及生物防火隔离林带建设</w:t>
      </w:r>
    </w:p>
    <w:p w14:paraId="0200E5DF">
      <w:pPr>
        <w:ind w:firstLine="480"/>
        <w:rPr>
          <w:lang w:eastAsia="zh-CN"/>
        </w:rPr>
      </w:pPr>
      <w:r>
        <w:rPr>
          <w:lang w:eastAsia="zh-CN"/>
        </w:rPr>
        <w:t>一是防火林道改造及建设：为了发生火情时扑火队伍、装备能及时到达现场，拟对东菖源至黑暗漕、歇马庵至三岔水、万寿寺至神仙谷、红军亭至叶子漯、万寿寺至大漯漕五条防火林道进行维护和扩建。同时规划将林场内现有林间便道进行整理，进行适当拓宽，以满足整个林场防火巡逻要求。二是防火林带建设：规划将林场现有防火线改造成防火林带，林带长43km，宽15m，改造树种以木荷为主。本经营期规划维修防火林带54.5</w:t>
      </w:r>
      <w:r>
        <w:rPr>
          <w:rFonts w:hint="eastAsia"/>
          <w:lang w:eastAsia="zh-CN"/>
        </w:rPr>
        <w:t>km</w:t>
      </w:r>
      <w:r>
        <w:rPr>
          <w:lang w:eastAsia="zh-CN"/>
        </w:rPr>
        <w:t>。详见第九章第三节森林防火设施建设。</w:t>
      </w:r>
    </w:p>
    <w:p w14:paraId="777F5661">
      <w:pPr>
        <w:ind w:firstLine="480"/>
        <w:rPr>
          <w:lang w:eastAsia="zh-CN"/>
        </w:rPr>
      </w:pPr>
      <w:r>
        <w:rPr>
          <w:rFonts w:hint="eastAsia"/>
          <w:lang w:eastAsia="zh-CN"/>
        </w:rPr>
        <w:t>(3)</w:t>
      </w:r>
      <w:r>
        <w:rPr>
          <w:lang w:eastAsia="zh-CN"/>
        </w:rPr>
        <w:t>瞭望台建设</w:t>
      </w:r>
    </w:p>
    <w:p w14:paraId="6B21B42F">
      <w:pPr>
        <w:ind w:firstLine="480"/>
        <w:rPr>
          <w:lang w:eastAsia="zh-CN"/>
        </w:rPr>
      </w:pPr>
      <w:r>
        <w:rPr>
          <w:lang w:eastAsia="zh-CN"/>
        </w:rPr>
        <w:t>在不影响林场森林资源保护的前提下，规划新建5个监控全场的瞭望台，同时为了避免收发天线遭雷击，按照通讯设计规范要求，在新建的瞭望台平台上增加10m高的避雷针，同时每个配备高倍望</w:t>
      </w:r>
      <w:r>
        <w:rPr>
          <w:rFonts w:hint="eastAsia"/>
          <w:lang w:eastAsia="zh-CN"/>
        </w:rPr>
        <w:t>远</w:t>
      </w:r>
      <w:r>
        <w:rPr>
          <w:lang w:eastAsia="zh-CN"/>
        </w:rPr>
        <w:t>镜和红外探测仪各一个，同时利用林场内已建成的信号塔进行改造，达到瞭望台的功能，以实现全林场瞭望覆盖。本经营期规划新建5个瞭望台，每个面积60</w:t>
      </w:r>
      <w:r>
        <w:rPr>
          <w:rFonts w:hint="eastAsia"/>
          <w:lang w:eastAsia="zh-CN"/>
        </w:rPr>
        <w:t>m</w:t>
      </w:r>
      <w:r>
        <w:rPr>
          <w:rFonts w:hint="eastAsia"/>
          <w:vertAlign w:val="superscript"/>
          <w:lang w:eastAsia="zh-CN"/>
        </w:rPr>
        <w:t>2</w:t>
      </w:r>
      <w:r>
        <w:rPr>
          <w:lang w:eastAsia="zh-CN"/>
        </w:rPr>
        <w:t>。</w:t>
      </w:r>
    </w:p>
    <w:p w14:paraId="070A640B">
      <w:pPr>
        <w:ind w:firstLine="480"/>
        <w:rPr>
          <w:lang w:eastAsia="zh-CN"/>
        </w:rPr>
      </w:pPr>
      <w:r>
        <w:rPr>
          <w:rFonts w:hint="eastAsia"/>
          <w:lang w:eastAsia="zh-CN"/>
        </w:rPr>
        <w:t>(4)</w:t>
      </w:r>
      <w:r>
        <w:rPr>
          <w:lang w:eastAsia="zh-CN"/>
        </w:rPr>
        <w:t>消防水池建设</w:t>
      </w:r>
    </w:p>
    <w:p w14:paraId="34AC9BF1">
      <w:pPr>
        <w:ind w:firstLine="480"/>
        <w:rPr>
          <w:lang w:eastAsia="zh-CN"/>
        </w:rPr>
      </w:pPr>
      <w:r>
        <w:rPr>
          <w:lang w:eastAsia="zh-CN"/>
        </w:rPr>
        <w:t>为夯实森林防火基础，增强扑灭山火的时效，保障森林消防用水。计划在林区内新建8个消防水池，具体建设地点见表8-1。</w:t>
      </w:r>
    </w:p>
    <w:p w14:paraId="5CE72AE4">
      <w:pPr>
        <w:spacing w:line="240" w:lineRule="auto"/>
        <w:ind w:firstLine="0" w:firstLineChars="0"/>
        <w:jc w:val="center"/>
        <w:rPr>
          <w:rFonts w:eastAsia="黑体" w:cs="Times New Roman"/>
          <w:b/>
          <w:bCs/>
          <w:szCs w:val="24"/>
          <w:lang w:eastAsia="zh-CN"/>
        </w:rPr>
      </w:pPr>
      <w:r>
        <w:rPr>
          <w:rFonts w:eastAsia="黑体" w:cs="Times New Roman"/>
          <w:b/>
          <w:bCs/>
          <w:szCs w:val="24"/>
          <w:lang w:eastAsia="zh-CN"/>
        </w:rPr>
        <w:t>表8-1新建消防水池情况表</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3"/>
        <w:gridCol w:w="4841"/>
        <w:gridCol w:w="2034"/>
      </w:tblGrid>
      <w:tr w14:paraId="64624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41" w:type="pct"/>
            <w:vAlign w:val="center"/>
          </w:tcPr>
          <w:p w14:paraId="2B654B77">
            <w:pPr>
              <w:widowControl w:val="0"/>
              <w:spacing w:line="240" w:lineRule="auto"/>
              <w:ind w:firstLine="0" w:firstLineChars="0"/>
              <w:jc w:val="center"/>
              <w:rPr>
                <w:rFonts w:ascii="Calibri" w:hAnsi="Calibri" w:cs="宋体"/>
                <w:lang w:eastAsia="zh-CN"/>
              </w:rPr>
            </w:pPr>
            <w:r>
              <w:rPr>
                <w:rFonts w:hint="eastAsia" w:ascii="Calibri" w:hAnsi="Calibri" w:cs="宋体"/>
                <w:sz w:val="21"/>
                <w:lang w:eastAsia="zh-CN"/>
              </w:rPr>
              <w:t>序号</w:t>
            </w:r>
          </w:p>
        </w:tc>
        <w:tc>
          <w:tcPr>
            <w:tcW w:w="2716" w:type="pct"/>
            <w:vAlign w:val="center"/>
          </w:tcPr>
          <w:p w14:paraId="680CD784">
            <w:pPr>
              <w:widowControl w:val="0"/>
              <w:spacing w:line="240" w:lineRule="auto"/>
              <w:ind w:firstLine="0" w:firstLineChars="0"/>
              <w:jc w:val="center"/>
              <w:rPr>
                <w:rFonts w:ascii="Calibri" w:hAnsi="Calibri" w:cs="宋体"/>
                <w:lang w:eastAsia="zh-CN"/>
              </w:rPr>
            </w:pPr>
            <w:r>
              <w:rPr>
                <w:rFonts w:hint="eastAsia" w:ascii="Calibri" w:hAnsi="Calibri" w:cs="宋体"/>
                <w:sz w:val="21"/>
                <w:lang w:eastAsia="zh-CN"/>
              </w:rPr>
              <w:t>新建水池地点</w:t>
            </w:r>
          </w:p>
        </w:tc>
        <w:tc>
          <w:tcPr>
            <w:tcW w:w="1141" w:type="pct"/>
            <w:vAlign w:val="center"/>
          </w:tcPr>
          <w:p w14:paraId="4FB4C123">
            <w:pPr>
              <w:widowControl w:val="0"/>
              <w:spacing w:line="240" w:lineRule="auto"/>
              <w:ind w:firstLine="0" w:firstLineChars="0"/>
              <w:jc w:val="center"/>
              <w:rPr>
                <w:rFonts w:ascii="Calibri" w:hAnsi="Calibri" w:cs="宋体"/>
                <w:lang w:eastAsia="zh-CN"/>
              </w:rPr>
            </w:pPr>
            <w:r>
              <w:rPr>
                <w:rFonts w:hint="eastAsia" w:ascii="Calibri" w:hAnsi="Calibri" w:cs="宋体"/>
                <w:sz w:val="21"/>
                <w:lang w:eastAsia="zh-CN"/>
              </w:rPr>
              <w:t>数量</w:t>
            </w:r>
          </w:p>
        </w:tc>
      </w:tr>
      <w:tr w14:paraId="2678F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41" w:type="pct"/>
            <w:vAlign w:val="center"/>
          </w:tcPr>
          <w:p w14:paraId="2887A4EC">
            <w:pPr>
              <w:widowControl w:val="0"/>
              <w:spacing w:line="240" w:lineRule="auto"/>
              <w:ind w:firstLine="0" w:firstLineChars="0"/>
              <w:jc w:val="center"/>
              <w:rPr>
                <w:rFonts w:ascii="Calibri" w:hAnsi="Calibri" w:cs="宋体"/>
                <w:lang w:eastAsia="zh-CN"/>
              </w:rPr>
            </w:pPr>
            <w:r>
              <w:rPr>
                <w:rFonts w:hint="eastAsia" w:ascii="Calibri" w:hAnsi="Calibri" w:cs="宋体"/>
                <w:sz w:val="21"/>
                <w:lang w:eastAsia="zh-CN"/>
              </w:rPr>
              <w:t>1</w:t>
            </w:r>
          </w:p>
        </w:tc>
        <w:tc>
          <w:tcPr>
            <w:tcW w:w="2716" w:type="pct"/>
            <w:vAlign w:val="center"/>
          </w:tcPr>
          <w:p w14:paraId="76CEAF53">
            <w:pPr>
              <w:widowControl w:val="0"/>
              <w:spacing w:line="240" w:lineRule="auto"/>
              <w:ind w:firstLine="0" w:firstLineChars="0"/>
              <w:jc w:val="center"/>
              <w:rPr>
                <w:rFonts w:ascii="Calibri" w:hAnsi="Calibri" w:cs="宋体"/>
                <w:lang w:eastAsia="zh-CN"/>
              </w:rPr>
            </w:pPr>
            <w:r>
              <w:rPr>
                <w:rFonts w:hint="eastAsia" w:ascii="Calibri" w:hAnsi="Calibri" w:cs="宋体"/>
                <w:sz w:val="21"/>
                <w:lang w:eastAsia="zh-CN"/>
              </w:rPr>
              <w:t>万寿寺</w:t>
            </w:r>
          </w:p>
        </w:tc>
        <w:tc>
          <w:tcPr>
            <w:tcW w:w="1141" w:type="pct"/>
            <w:vAlign w:val="center"/>
          </w:tcPr>
          <w:p w14:paraId="7228E8D4">
            <w:pPr>
              <w:widowControl w:val="0"/>
              <w:spacing w:line="240" w:lineRule="auto"/>
              <w:ind w:firstLine="0" w:firstLineChars="0"/>
              <w:jc w:val="center"/>
              <w:rPr>
                <w:rFonts w:ascii="Calibri" w:hAnsi="Calibri" w:cs="宋体"/>
                <w:lang w:eastAsia="zh-CN"/>
              </w:rPr>
            </w:pPr>
            <w:r>
              <w:rPr>
                <w:rFonts w:hint="eastAsia" w:ascii="Calibri" w:hAnsi="Calibri" w:cs="宋体"/>
                <w:sz w:val="21"/>
                <w:lang w:eastAsia="zh-CN"/>
              </w:rPr>
              <w:t>1</w:t>
            </w:r>
          </w:p>
        </w:tc>
      </w:tr>
      <w:tr w14:paraId="7B298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41" w:type="pct"/>
            <w:vAlign w:val="center"/>
          </w:tcPr>
          <w:p w14:paraId="0A0BD0FA">
            <w:pPr>
              <w:widowControl w:val="0"/>
              <w:spacing w:line="240" w:lineRule="auto"/>
              <w:ind w:firstLine="0" w:firstLineChars="0"/>
              <w:jc w:val="center"/>
              <w:rPr>
                <w:rFonts w:ascii="Calibri" w:hAnsi="Calibri" w:cs="宋体"/>
                <w:lang w:eastAsia="zh-CN"/>
              </w:rPr>
            </w:pPr>
            <w:r>
              <w:rPr>
                <w:rFonts w:hint="eastAsia" w:ascii="Calibri" w:hAnsi="Calibri" w:cs="宋体"/>
                <w:sz w:val="21"/>
                <w:lang w:eastAsia="zh-CN"/>
              </w:rPr>
              <w:t>2</w:t>
            </w:r>
          </w:p>
        </w:tc>
        <w:tc>
          <w:tcPr>
            <w:tcW w:w="2716" w:type="pct"/>
            <w:vAlign w:val="center"/>
          </w:tcPr>
          <w:p w14:paraId="025CC65D">
            <w:pPr>
              <w:widowControl w:val="0"/>
              <w:spacing w:line="240" w:lineRule="auto"/>
              <w:ind w:firstLine="0" w:firstLineChars="0"/>
              <w:jc w:val="center"/>
              <w:rPr>
                <w:rFonts w:ascii="Calibri" w:hAnsi="Calibri" w:cs="宋体"/>
                <w:lang w:eastAsia="zh-CN"/>
              </w:rPr>
            </w:pPr>
            <w:r>
              <w:rPr>
                <w:rFonts w:hint="eastAsia" w:ascii="Calibri" w:hAnsi="Calibri" w:cs="宋体"/>
                <w:sz w:val="21"/>
                <w:lang w:eastAsia="zh-CN"/>
              </w:rPr>
              <w:t>微波台</w:t>
            </w:r>
          </w:p>
        </w:tc>
        <w:tc>
          <w:tcPr>
            <w:tcW w:w="1141" w:type="pct"/>
            <w:vAlign w:val="center"/>
          </w:tcPr>
          <w:p w14:paraId="3C329276">
            <w:pPr>
              <w:widowControl w:val="0"/>
              <w:spacing w:line="240" w:lineRule="auto"/>
              <w:ind w:firstLine="0" w:firstLineChars="0"/>
              <w:jc w:val="center"/>
              <w:rPr>
                <w:rFonts w:ascii="Calibri" w:hAnsi="Calibri" w:cs="宋体"/>
                <w:lang w:eastAsia="zh-CN"/>
              </w:rPr>
            </w:pPr>
            <w:r>
              <w:rPr>
                <w:rFonts w:hint="eastAsia" w:ascii="Calibri" w:hAnsi="Calibri" w:cs="宋体"/>
                <w:sz w:val="21"/>
                <w:lang w:eastAsia="zh-CN"/>
              </w:rPr>
              <w:t>1</w:t>
            </w:r>
          </w:p>
        </w:tc>
      </w:tr>
      <w:tr w14:paraId="744C1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41" w:type="pct"/>
            <w:vAlign w:val="center"/>
          </w:tcPr>
          <w:p w14:paraId="032AC6BD">
            <w:pPr>
              <w:widowControl w:val="0"/>
              <w:spacing w:line="240" w:lineRule="auto"/>
              <w:ind w:firstLine="0" w:firstLineChars="0"/>
              <w:jc w:val="center"/>
              <w:rPr>
                <w:rFonts w:ascii="Calibri" w:hAnsi="Calibri" w:cs="宋体"/>
                <w:lang w:eastAsia="zh-CN"/>
              </w:rPr>
            </w:pPr>
            <w:r>
              <w:rPr>
                <w:rFonts w:hint="eastAsia" w:ascii="Calibri" w:hAnsi="Calibri" w:cs="宋体"/>
                <w:sz w:val="21"/>
                <w:lang w:eastAsia="zh-CN"/>
              </w:rPr>
              <w:t>3</w:t>
            </w:r>
          </w:p>
        </w:tc>
        <w:tc>
          <w:tcPr>
            <w:tcW w:w="2716" w:type="pct"/>
            <w:vAlign w:val="center"/>
          </w:tcPr>
          <w:p w14:paraId="1B16E574">
            <w:pPr>
              <w:widowControl w:val="0"/>
              <w:spacing w:line="240" w:lineRule="auto"/>
              <w:ind w:firstLine="0" w:firstLineChars="0"/>
              <w:jc w:val="center"/>
              <w:rPr>
                <w:rFonts w:ascii="Calibri" w:hAnsi="Calibri" w:cs="宋体"/>
                <w:lang w:eastAsia="zh-CN"/>
              </w:rPr>
            </w:pPr>
            <w:r>
              <w:rPr>
                <w:rFonts w:hint="eastAsia" w:ascii="Calibri" w:hAnsi="Calibri" w:cs="宋体"/>
                <w:sz w:val="21"/>
                <w:lang w:eastAsia="zh-CN"/>
              </w:rPr>
              <w:t>叶子漯</w:t>
            </w:r>
          </w:p>
        </w:tc>
        <w:tc>
          <w:tcPr>
            <w:tcW w:w="1141" w:type="pct"/>
            <w:vAlign w:val="center"/>
          </w:tcPr>
          <w:p w14:paraId="586D4DBC">
            <w:pPr>
              <w:widowControl w:val="0"/>
              <w:spacing w:line="240" w:lineRule="auto"/>
              <w:ind w:firstLine="0" w:firstLineChars="0"/>
              <w:jc w:val="center"/>
              <w:rPr>
                <w:rFonts w:ascii="Calibri" w:hAnsi="Calibri" w:cs="宋体"/>
                <w:lang w:eastAsia="zh-CN"/>
              </w:rPr>
            </w:pPr>
            <w:r>
              <w:rPr>
                <w:rFonts w:hint="eastAsia" w:ascii="Calibri" w:hAnsi="Calibri" w:cs="宋体"/>
                <w:sz w:val="21"/>
                <w:lang w:eastAsia="zh-CN"/>
              </w:rPr>
              <w:t>1</w:t>
            </w:r>
          </w:p>
        </w:tc>
      </w:tr>
      <w:tr w14:paraId="56E1E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41" w:type="pct"/>
            <w:vAlign w:val="center"/>
          </w:tcPr>
          <w:p w14:paraId="263968D7">
            <w:pPr>
              <w:widowControl w:val="0"/>
              <w:spacing w:line="240" w:lineRule="auto"/>
              <w:ind w:firstLine="0" w:firstLineChars="0"/>
              <w:jc w:val="center"/>
              <w:rPr>
                <w:rFonts w:ascii="Calibri" w:hAnsi="Calibri" w:cs="宋体"/>
                <w:lang w:eastAsia="zh-CN"/>
              </w:rPr>
            </w:pPr>
            <w:r>
              <w:rPr>
                <w:rFonts w:hint="eastAsia" w:ascii="Calibri" w:hAnsi="Calibri" w:cs="宋体"/>
                <w:sz w:val="21"/>
                <w:lang w:eastAsia="zh-CN"/>
              </w:rPr>
              <w:t>4</w:t>
            </w:r>
          </w:p>
        </w:tc>
        <w:tc>
          <w:tcPr>
            <w:tcW w:w="2716" w:type="pct"/>
            <w:vAlign w:val="center"/>
          </w:tcPr>
          <w:p w14:paraId="0377CC76">
            <w:pPr>
              <w:widowControl w:val="0"/>
              <w:spacing w:line="240" w:lineRule="auto"/>
              <w:ind w:firstLine="0" w:firstLineChars="0"/>
              <w:jc w:val="center"/>
              <w:rPr>
                <w:rFonts w:ascii="Calibri" w:hAnsi="Calibri" w:cs="宋体"/>
                <w:lang w:eastAsia="zh-CN"/>
              </w:rPr>
            </w:pPr>
            <w:r>
              <w:rPr>
                <w:rFonts w:hint="eastAsia" w:ascii="Calibri" w:hAnsi="Calibri" w:cs="宋体"/>
                <w:sz w:val="21"/>
                <w:lang w:eastAsia="zh-CN"/>
              </w:rPr>
              <w:t>黄柏洞</w:t>
            </w:r>
          </w:p>
        </w:tc>
        <w:tc>
          <w:tcPr>
            <w:tcW w:w="1141" w:type="pct"/>
            <w:vAlign w:val="center"/>
          </w:tcPr>
          <w:p w14:paraId="25EB81DE">
            <w:pPr>
              <w:widowControl w:val="0"/>
              <w:spacing w:line="240" w:lineRule="auto"/>
              <w:ind w:firstLine="0" w:firstLineChars="0"/>
              <w:jc w:val="center"/>
              <w:rPr>
                <w:rFonts w:ascii="Calibri" w:hAnsi="Calibri" w:cs="宋体"/>
                <w:lang w:eastAsia="zh-CN"/>
              </w:rPr>
            </w:pPr>
            <w:r>
              <w:rPr>
                <w:rFonts w:hint="eastAsia" w:ascii="Calibri" w:hAnsi="Calibri" w:cs="宋体"/>
                <w:sz w:val="21"/>
                <w:lang w:eastAsia="zh-CN"/>
              </w:rPr>
              <w:t>1</w:t>
            </w:r>
          </w:p>
        </w:tc>
      </w:tr>
      <w:tr w14:paraId="6BBED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41" w:type="pct"/>
            <w:vAlign w:val="center"/>
          </w:tcPr>
          <w:p w14:paraId="329728D4">
            <w:pPr>
              <w:widowControl w:val="0"/>
              <w:spacing w:line="240" w:lineRule="auto"/>
              <w:ind w:firstLine="0" w:firstLineChars="0"/>
              <w:jc w:val="center"/>
              <w:rPr>
                <w:rFonts w:ascii="Calibri" w:hAnsi="Calibri" w:cs="宋体"/>
                <w:lang w:eastAsia="zh-CN"/>
              </w:rPr>
            </w:pPr>
            <w:r>
              <w:rPr>
                <w:rFonts w:hint="eastAsia" w:ascii="Calibri" w:hAnsi="Calibri" w:cs="宋体"/>
                <w:sz w:val="21"/>
                <w:lang w:eastAsia="zh-CN"/>
              </w:rPr>
              <w:t>5</w:t>
            </w:r>
          </w:p>
        </w:tc>
        <w:tc>
          <w:tcPr>
            <w:tcW w:w="2716" w:type="pct"/>
            <w:vAlign w:val="center"/>
          </w:tcPr>
          <w:p w14:paraId="6C062CD9">
            <w:pPr>
              <w:widowControl w:val="0"/>
              <w:spacing w:line="240" w:lineRule="auto"/>
              <w:ind w:firstLine="0" w:firstLineChars="0"/>
              <w:jc w:val="center"/>
              <w:rPr>
                <w:rFonts w:ascii="Calibri" w:hAnsi="Calibri" w:cs="宋体"/>
                <w:lang w:eastAsia="zh-CN"/>
              </w:rPr>
            </w:pPr>
            <w:r>
              <w:rPr>
                <w:rFonts w:hint="eastAsia" w:ascii="Calibri" w:hAnsi="Calibri" w:cs="宋体"/>
                <w:sz w:val="21"/>
                <w:lang w:eastAsia="zh-CN"/>
              </w:rPr>
              <w:t>歇马庵</w:t>
            </w:r>
          </w:p>
        </w:tc>
        <w:tc>
          <w:tcPr>
            <w:tcW w:w="1141" w:type="pct"/>
            <w:vAlign w:val="center"/>
          </w:tcPr>
          <w:p w14:paraId="43F366E2">
            <w:pPr>
              <w:widowControl w:val="0"/>
              <w:spacing w:line="240" w:lineRule="auto"/>
              <w:ind w:firstLine="0" w:firstLineChars="0"/>
              <w:jc w:val="center"/>
              <w:rPr>
                <w:rFonts w:ascii="Calibri" w:hAnsi="Calibri" w:cs="宋体"/>
                <w:lang w:eastAsia="zh-CN"/>
              </w:rPr>
            </w:pPr>
            <w:r>
              <w:rPr>
                <w:rFonts w:hint="eastAsia" w:ascii="Calibri" w:hAnsi="Calibri" w:cs="宋体"/>
                <w:sz w:val="21"/>
                <w:lang w:eastAsia="zh-CN"/>
              </w:rPr>
              <w:t>1</w:t>
            </w:r>
          </w:p>
        </w:tc>
      </w:tr>
      <w:tr w14:paraId="4C105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41" w:type="pct"/>
            <w:vAlign w:val="center"/>
          </w:tcPr>
          <w:p w14:paraId="1306E5D8">
            <w:pPr>
              <w:widowControl w:val="0"/>
              <w:spacing w:line="240" w:lineRule="auto"/>
              <w:ind w:firstLine="0" w:firstLineChars="0"/>
              <w:jc w:val="center"/>
              <w:rPr>
                <w:rFonts w:ascii="Calibri" w:hAnsi="Calibri" w:cs="宋体"/>
                <w:lang w:eastAsia="zh-CN"/>
              </w:rPr>
            </w:pPr>
            <w:r>
              <w:rPr>
                <w:rFonts w:hint="eastAsia" w:ascii="Calibri" w:hAnsi="Calibri" w:cs="宋体"/>
                <w:sz w:val="21"/>
                <w:lang w:eastAsia="zh-CN"/>
              </w:rPr>
              <w:t>6</w:t>
            </w:r>
          </w:p>
        </w:tc>
        <w:tc>
          <w:tcPr>
            <w:tcW w:w="2716" w:type="pct"/>
            <w:vAlign w:val="center"/>
          </w:tcPr>
          <w:p w14:paraId="0AAC45F2">
            <w:pPr>
              <w:widowControl w:val="0"/>
              <w:spacing w:line="240" w:lineRule="auto"/>
              <w:ind w:firstLine="0" w:firstLineChars="0"/>
              <w:jc w:val="center"/>
              <w:rPr>
                <w:rFonts w:ascii="Calibri" w:hAnsi="Calibri" w:cs="宋体"/>
                <w:lang w:eastAsia="zh-CN"/>
              </w:rPr>
            </w:pPr>
            <w:r>
              <w:rPr>
                <w:rFonts w:hint="eastAsia" w:ascii="Calibri" w:hAnsi="Calibri" w:cs="宋体"/>
                <w:sz w:val="21"/>
                <w:lang w:eastAsia="zh-CN"/>
              </w:rPr>
              <w:t>红军亭</w:t>
            </w:r>
          </w:p>
        </w:tc>
        <w:tc>
          <w:tcPr>
            <w:tcW w:w="1141" w:type="pct"/>
            <w:vAlign w:val="center"/>
          </w:tcPr>
          <w:p w14:paraId="0E040A6B">
            <w:pPr>
              <w:widowControl w:val="0"/>
              <w:spacing w:line="240" w:lineRule="auto"/>
              <w:ind w:firstLine="0" w:firstLineChars="0"/>
              <w:jc w:val="center"/>
              <w:rPr>
                <w:rFonts w:ascii="Calibri" w:hAnsi="Calibri" w:cs="宋体"/>
                <w:lang w:eastAsia="zh-CN"/>
              </w:rPr>
            </w:pPr>
            <w:r>
              <w:rPr>
                <w:rFonts w:hint="eastAsia" w:ascii="Calibri" w:hAnsi="Calibri" w:cs="宋体"/>
                <w:sz w:val="21"/>
                <w:lang w:eastAsia="zh-CN"/>
              </w:rPr>
              <w:t>1</w:t>
            </w:r>
          </w:p>
        </w:tc>
      </w:tr>
      <w:tr w14:paraId="08023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41" w:type="pct"/>
            <w:vAlign w:val="center"/>
          </w:tcPr>
          <w:p w14:paraId="293A2270">
            <w:pPr>
              <w:widowControl w:val="0"/>
              <w:spacing w:line="240" w:lineRule="auto"/>
              <w:ind w:firstLine="0" w:firstLineChars="0"/>
              <w:jc w:val="center"/>
              <w:rPr>
                <w:rFonts w:ascii="Calibri" w:hAnsi="Calibri" w:cs="宋体"/>
                <w:lang w:eastAsia="zh-CN"/>
              </w:rPr>
            </w:pPr>
            <w:r>
              <w:rPr>
                <w:rFonts w:hint="eastAsia" w:ascii="Calibri" w:hAnsi="Calibri" w:cs="宋体"/>
                <w:sz w:val="21"/>
                <w:lang w:eastAsia="zh-CN"/>
              </w:rPr>
              <w:t>7</w:t>
            </w:r>
          </w:p>
        </w:tc>
        <w:tc>
          <w:tcPr>
            <w:tcW w:w="2716" w:type="pct"/>
            <w:vAlign w:val="center"/>
          </w:tcPr>
          <w:p w14:paraId="3647FB07">
            <w:pPr>
              <w:widowControl w:val="0"/>
              <w:spacing w:line="240" w:lineRule="auto"/>
              <w:ind w:firstLine="0" w:firstLineChars="0"/>
              <w:jc w:val="center"/>
              <w:rPr>
                <w:rFonts w:ascii="Calibri" w:hAnsi="Calibri" w:cs="宋体"/>
                <w:lang w:eastAsia="zh-CN"/>
              </w:rPr>
            </w:pPr>
            <w:r>
              <w:rPr>
                <w:rFonts w:hint="eastAsia" w:ascii="Calibri" w:hAnsi="Calibri" w:cs="宋体"/>
                <w:sz w:val="21"/>
                <w:lang w:eastAsia="zh-CN"/>
              </w:rPr>
              <w:t>大漯漕</w:t>
            </w:r>
          </w:p>
        </w:tc>
        <w:tc>
          <w:tcPr>
            <w:tcW w:w="1141" w:type="pct"/>
            <w:vAlign w:val="center"/>
          </w:tcPr>
          <w:p w14:paraId="02761B4E">
            <w:pPr>
              <w:widowControl w:val="0"/>
              <w:spacing w:line="240" w:lineRule="auto"/>
              <w:ind w:firstLine="0" w:firstLineChars="0"/>
              <w:jc w:val="center"/>
              <w:rPr>
                <w:rFonts w:ascii="Calibri" w:hAnsi="Calibri" w:cs="宋体"/>
                <w:lang w:eastAsia="zh-CN"/>
              </w:rPr>
            </w:pPr>
            <w:r>
              <w:rPr>
                <w:rFonts w:hint="eastAsia" w:ascii="Calibri" w:hAnsi="Calibri" w:cs="宋体"/>
                <w:sz w:val="21"/>
                <w:lang w:eastAsia="zh-CN"/>
              </w:rPr>
              <w:t>1</w:t>
            </w:r>
          </w:p>
        </w:tc>
      </w:tr>
      <w:tr w14:paraId="4F337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41" w:type="pct"/>
            <w:vAlign w:val="center"/>
          </w:tcPr>
          <w:p w14:paraId="582D5E2F">
            <w:pPr>
              <w:widowControl w:val="0"/>
              <w:spacing w:line="240" w:lineRule="auto"/>
              <w:ind w:firstLine="0" w:firstLineChars="0"/>
              <w:jc w:val="center"/>
              <w:rPr>
                <w:rFonts w:ascii="Calibri" w:hAnsi="Calibri" w:cs="宋体"/>
                <w:lang w:eastAsia="zh-CN"/>
              </w:rPr>
            </w:pPr>
            <w:r>
              <w:rPr>
                <w:rFonts w:hint="eastAsia" w:ascii="Calibri" w:hAnsi="Calibri" w:cs="宋体"/>
                <w:sz w:val="21"/>
                <w:lang w:eastAsia="zh-CN"/>
              </w:rPr>
              <w:t>8</w:t>
            </w:r>
          </w:p>
        </w:tc>
        <w:tc>
          <w:tcPr>
            <w:tcW w:w="2716" w:type="pct"/>
            <w:vAlign w:val="center"/>
          </w:tcPr>
          <w:p w14:paraId="5F830D86">
            <w:pPr>
              <w:widowControl w:val="0"/>
              <w:spacing w:line="240" w:lineRule="auto"/>
              <w:ind w:firstLine="0" w:firstLineChars="0"/>
              <w:jc w:val="center"/>
              <w:rPr>
                <w:rFonts w:ascii="Calibri" w:hAnsi="Calibri" w:cs="宋体"/>
                <w:lang w:eastAsia="zh-CN"/>
              </w:rPr>
            </w:pPr>
            <w:r>
              <w:rPr>
                <w:rFonts w:hint="eastAsia" w:ascii="Calibri" w:hAnsi="Calibri" w:cs="宋体"/>
                <w:sz w:val="21"/>
                <w:lang w:eastAsia="zh-CN"/>
              </w:rPr>
              <w:t>阿弥它佛</w:t>
            </w:r>
          </w:p>
        </w:tc>
        <w:tc>
          <w:tcPr>
            <w:tcW w:w="1141" w:type="pct"/>
            <w:vAlign w:val="center"/>
          </w:tcPr>
          <w:p w14:paraId="41AAC424">
            <w:pPr>
              <w:widowControl w:val="0"/>
              <w:spacing w:line="240" w:lineRule="auto"/>
              <w:ind w:firstLine="0" w:firstLineChars="0"/>
              <w:jc w:val="center"/>
              <w:rPr>
                <w:rFonts w:ascii="Calibri" w:hAnsi="Calibri" w:cs="宋体"/>
                <w:lang w:eastAsia="zh-CN"/>
              </w:rPr>
            </w:pPr>
            <w:r>
              <w:rPr>
                <w:rFonts w:hint="eastAsia" w:ascii="Calibri" w:hAnsi="Calibri" w:cs="宋体"/>
                <w:sz w:val="21"/>
                <w:lang w:eastAsia="zh-CN"/>
              </w:rPr>
              <w:t>1</w:t>
            </w:r>
          </w:p>
        </w:tc>
      </w:tr>
    </w:tbl>
    <w:p w14:paraId="04CC4789">
      <w:pPr>
        <w:ind w:firstLine="480"/>
      </w:pPr>
    </w:p>
    <w:p w14:paraId="2BE116A8">
      <w:pPr>
        <w:kinsoku/>
        <w:autoSpaceDE/>
        <w:autoSpaceDN/>
        <w:adjustRightInd/>
        <w:snapToGrid/>
        <w:spacing w:line="240" w:lineRule="auto"/>
        <w:ind w:firstLine="0" w:firstLineChars="0"/>
        <w:jc w:val="left"/>
        <w:textAlignment w:val="auto"/>
        <w:rPr>
          <w:lang w:eastAsia="zh-CN"/>
        </w:rPr>
      </w:pPr>
      <w:r>
        <w:br w:type="page"/>
      </w:r>
    </w:p>
    <w:p w14:paraId="752EF43C">
      <w:pPr>
        <w:pStyle w:val="4"/>
      </w:pPr>
      <w:r>
        <w:t>8.3.3森林防火监控预警系统建设</w:t>
      </w:r>
    </w:p>
    <w:p w14:paraId="255C8D65">
      <w:pPr>
        <w:ind w:firstLine="480"/>
        <w:rPr>
          <w:lang w:eastAsia="zh-CN"/>
        </w:rPr>
      </w:pPr>
      <w:r>
        <w:rPr>
          <w:lang w:eastAsia="zh-CN"/>
        </w:rPr>
        <w:t>森林防火数字化监控预警系统利用先进的智能化监控设备对林区进行全天</w:t>
      </w:r>
      <w:r>
        <w:rPr>
          <w:rFonts w:hint="eastAsia"/>
          <w:lang w:eastAsia="zh-CN"/>
        </w:rPr>
        <w:t>候</w:t>
      </w:r>
      <w:r>
        <w:rPr>
          <w:lang w:eastAsia="zh-CN"/>
        </w:rPr>
        <w:t>的远程监控、监测，避免了原始人工</w:t>
      </w:r>
      <w:r>
        <w:rPr>
          <w:rFonts w:hint="eastAsia"/>
          <w:lang w:eastAsia="zh-CN"/>
        </w:rPr>
        <w:t>瞭</w:t>
      </w:r>
      <w:r>
        <w:rPr>
          <w:lang w:eastAsia="zh-CN"/>
        </w:rPr>
        <w:t>望观察火情的局限，实现了林区管理数字化、科学化。通过预警监测，及时发现火情，以便尽早组织扑火，是实现火灾“早预防，早发现”的重要手段，避免因延误时机而发展成为重大森林火灾，从而减少森林火灾的损失。</w:t>
      </w:r>
    </w:p>
    <w:p w14:paraId="6AA92F3C">
      <w:pPr>
        <w:spacing w:line="240" w:lineRule="auto"/>
        <w:ind w:firstLine="0" w:firstLineChars="0"/>
        <w:jc w:val="center"/>
        <w:rPr>
          <w:rFonts w:eastAsia="黑体" w:cs="Times New Roman"/>
          <w:b/>
          <w:bCs/>
          <w:szCs w:val="24"/>
          <w:lang w:eastAsia="zh-CN"/>
        </w:rPr>
      </w:pPr>
      <w:r>
        <w:rPr>
          <w:rFonts w:eastAsia="黑体" w:cs="Times New Roman"/>
          <w:b/>
          <w:bCs/>
          <w:szCs w:val="24"/>
          <w:lang w:eastAsia="zh-CN"/>
        </w:rPr>
        <w:t>表8-2森林防火视频监控建设布局一览表</w:t>
      </w:r>
    </w:p>
    <w:tbl>
      <w:tblPr>
        <w:tblStyle w:val="1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8"/>
        <w:gridCol w:w="1503"/>
        <w:gridCol w:w="3754"/>
        <w:gridCol w:w="2715"/>
      </w:tblGrid>
      <w:tr w14:paraId="767AD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7" w:type="pct"/>
            <w:vAlign w:val="center"/>
          </w:tcPr>
          <w:p w14:paraId="7785FEF0">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序号</w:t>
            </w:r>
          </w:p>
        </w:tc>
        <w:tc>
          <w:tcPr>
            <w:tcW w:w="843" w:type="pct"/>
            <w:vAlign w:val="center"/>
          </w:tcPr>
          <w:p w14:paraId="6A923DD6">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安装地点</w:t>
            </w:r>
          </w:p>
        </w:tc>
        <w:tc>
          <w:tcPr>
            <w:tcW w:w="2106" w:type="pct"/>
            <w:vAlign w:val="center"/>
          </w:tcPr>
          <w:p w14:paraId="075B364D">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监控所覆盖范围</w:t>
            </w:r>
          </w:p>
        </w:tc>
        <w:tc>
          <w:tcPr>
            <w:tcW w:w="1523" w:type="pct"/>
            <w:vAlign w:val="center"/>
          </w:tcPr>
          <w:p w14:paraId="513EEF9A">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所辖工区</w:t>
            </w:r>
          </w:p>
        </w:tc>
      </w:tr>
      <w:tr w14:paraId="2F697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7" w:type="pct"/>
            <w:vAlign w:val="center"/>
          </w:tcPr>
          <w:p w14:paraId="61FD05C1">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1</w:t>
            </w:r>
          </w:p>
        </w:tc>
        <w:tc>
          <w:tcPr>
            <w:tcW w:w="843" w:type="pct"/>
            <w:vAlign w:val="center"/>
          </w:tcPr>
          <w:p w14:paraId="42D2A38A">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微波台</w:t>
            </w:r>
          </w:p>
        </w:tc>
        <w:tc>
          <w:tcPr>
            <w:tcW w:w="2106" w:type="pct"/>
            <w:vAlign w:val="center"/>
          </w:tcPr>
          <w:p w14:paraId="25D8CA96">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万寿寺、大漯漕</w:t>
            </w:r>
          </w:p>
        </w:tc>
        <w:tc>
          <w:tcPr>
            <w:tcW w:w="1523" w:type="pct"/>
            <w:vAlign w:val="center"/>
          </w:tcPr>
          <w:p w14:paraId="08E0B416">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阳明山工区</w:t>
            </w:r>
          </w:p>
        </w:tc>
      </w:tr>
      <w:tr w14:paraId="04341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7" w:type="pct"/>
            <w:vAlign w:val="center"/>
          </w:tcPr>
          <w:p w14:paraId="7B0B0DE4">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2</w:t>
            </w:r>
          </w:p>
        </w:tc>
        <w:tc>
          <w:tcPr>
            <w:tcW w:w="843" w:type="pct"/>
            <w:vAlign w:val="center"/>
          </w:tcPr>
          <w:p w14:paraId="7220CD2D">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万佛台</w:t>
            </w:r>
          </w:p>
        </w:tc>
        <w:tc>
          <w:tcPr>
            <w:tcW w:w="2106" w:type="pct"/>
            <w:vAlign w:val="center"/>
          </w:tcPr>
          <w:p w14:paraId="6F6C202B">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万母台、高桥、白云寺</w:t>
            </w:r>
          </w:p>
        </w:tc>
        <w:tc>
          <w:tcPr>
            <w:tcW w:w="1523" w:type="pct"/>
            <w:vAlign w:val="center"/>
          </w:tcPr>
          <w:p w14:paraId="221B1652">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阳明山工区</w:t>
            </w:r>
          </w:p>
        </w:tc>
      </w:tr>
      <w:tr w14:paraId="06D58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7" w:type="pct"/>
            <w:vAlign w:val="center"/>
          </w:tcPr>
          <w:p w14:paraId="5D2F03DA">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3</w:t>
            </w:r>
          </w:p>
        </w:tc>
        <w:tc>
          <w:tcPr>
            <w:tcW w:w="843" w:type="pct"/>
            <w:vAlign w:val="center"/>
          </w:tcPr>
          <w:p w14:paraId="6FB3A2C6">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万和山</w:t>
            </w:r>
          </w:p>
        </w:tc>
        <w:tc>
          <w:tcPr>
            <w:tcW w:w="2106" w:type="pct"/>
            <w:vAlign w:val="center"/>
          </w:tcPr>
          <w:p w14:paraId="59788B4D">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万和山一带</w:t>
            </w:r>
          </w:p>
        </w:tc>
        <w:tc>
          <w:tcPr>
            <w:tcW w:w="1523" w:type="pct"/>
            <w:vAlign w:val="center"/>
          </w:tcPr>
          <w:p w14:paraId="0084EF1B">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阳明山工区</w:t>
            </w:r>
          </w:p>
        </w:tc>
      </w:tr>
      <w:tr w14:paraId="2395E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7" w:type="pct"/>
            <w:vAlign w:val="center"/>
          </w:tcPr>
          <w:p w14:paraId="47EA0842">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4</w:t>
            </w:r>
          </w:p>
        </w:tc>
        <w:tc>
          <w:tcPr>
            <w:tcW w:w="843" w:type="pct"/>
            <w:vAlign w:val="center"/>
          </w:tcPr>
          <w:p w14:paraId="784B966A">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灯盏坳</w:t>
            </w:r>
          </w:p>
        </w:tc>
        <w:tc>
          <w:tcPr>
            <w:tcW w:w="2106" w:type="pct"/>
            <w:vAlign w:val="center"/>
          </w:tcPr>
          <w:p w14:paraId="06D65F24">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大田、张家山</w:t>
            </w:r>
          </w:p>
        </w:tc>
        <w:tc>
          <w:tcPr>
            <w:tcW w:w="1523" w:type="pct"/>
            <w:vAlign w:val="center"/>
          </w:tcPr>
          <w:p w14:paraId="690C9AA7">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北江冲工区</w:t>
            </w:r>
          </w:p>
        </w:tc>
      </w:tr>
      <w:tr w14:paraId="60417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7" w:type="pct"/>
            <w:vAlign w:val="center"/>
          </w:tcPr>
          <w:p w14:paraId="49378EAE">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5</w:t>
            </w:r>
          </w:p>
        </w:tc>
        <w:tc>
          <w:tcPr>
            <w:tcW w:w="843" w:type="pct"/>
            <w:vAlign w:val="center"/>
          </w:tcPr>
          <w:p w14:paraId="736972F0">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仙神岭</w:t>
            </w:r>
          </w:p>
        </w:tc>
        <w:tc>
          <w:tcPr>
            <w:tcW w:w="2106" w:type="pct"/>
            <w:vAlign w:val="center"/>
          </w:tcPr>
          <w:p w14:paraId="2F6B5733">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兴隆、光明、沙湾、岳林</w:t>
            </w:r>
          </w:p>
        </w:tc>
        <w:tc>
          <w:tcPr>
            <w:tcW w:w="1523" w:type="pct"/>
            <w:vAlign w:val="center"/>
          </w:tcPr>
          <w:p w14:paraId="43FD1CAA">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北江冲工区</w:t>
            </w:r>
          </w:p>
        </w:tc>
      </w:tr>
      <w:tr w14:paraId="318DE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7" w:type="pct"/>
            <w:vAlign w:val="center"/>
          </w:tcPr>
          <w:p w14:paraId="4A8410DE">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6</w:t>
            </w:r>
          </w:p>
        </w:tc>
        <w:tc>
          <w:tcPr>
            <w:tcW w:w="843" w:type="pct"/>
            <w:vAlign w:val="center"/>
          </w:tcPr>
          <w:p w14:paraId="4787F35C">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天子山</w:t>
            </w:r>
          </w:p>
        </w:tc>
        <w:tc>
          <w:tcPr>
            <w:tcW w:w="2106" w:type="pct"/>
            <w:vAlign w:val="center"/>
          </w:tcPr>
          <w:p w14:paraId="458FDAAD">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林海、茶子岭</w:t>
            </w:r>
          </w:p>
        </w:tc>
        <w:tc>
          <w:tcPr>
            <w:tcW w:w="1523" w:type="pct"/>
            <w:vAlign w:val="center"/>
          </w:tcPr>
          <w:p w14:paraId="3AC4F8E9">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北江冲工区</w:t>
            </w:r>
          </w:p>
        </w:tc>
      </w:tr>
      <w:tr w14:paraId="57CC9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7" w:type="pct"/>
            <w:vAlign w:val="center"/>
          </w:tcPr>
          <w:p w14:paraId="2C38FCBC">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7</w:t>
            </w:r>
          </w:p>
        </w:tc>
        <w:tc>
          <w:tcPr>
            <w:tcW w:w="843" w:type="pct"/>
            <w:vAlign w:val="center"/>
          </w:tcPr>
          <w:p w14:paraId="214487A6">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回龙山</w:t>
            </w:r>
          </w:p>
        </w:tc>
        <w:tc>
          <w:tcPr>
            <w:tcW w:w="2106" w:type="pct"/>
            <w:vAlign w:val="center"/>
          </w:tcPr>
          <w:p w14:paraId="5D14AC7E">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高峰、羊角漯</w:t>
            </w:r>
          </w:p>
        </w:tc>
        <w:tc>
          <w:tcPr>
            <w:tcW w:w="1523" w:type="pct"/>
            <w:vAlign w:val="center"/>
          </w:tcPr>
          <w:p w14:paraId="7D2A38A8">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阳明山工区</w:t>
            </w:r>
          </w:p>
        </w:tc>
      </w:tr>
      <w:tr w14:paraId="6DD58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7" w:type="pct"/>
            <w:vAlign w:val="center"/>
          </w:tcPr>
          <w:p w14:paraId="5E05EA9C">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8</w:t>
            </w:r>
          </w:p>
        </w:tc>
        <w:tc>
          <w:tcPr>
            <w:tcW w:w="843" w:type="pct"/>
            <w:vAlign w:val="center"/>
          </w:tcPr>
          <w:p w14:paraId="24065C82">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黑暗漕</w:t>
            </w:r>
          </w:p>
        </w:tc>
        <w:tc>
          <w:tcPr>
            <w:tcW w:w="2106" w:type="pct"/>
            <w:vAlign w:val="center"/>
          </w:tcPr>
          <w:p w14:paraId="2317A80B">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黑暗漕、步步岭一带</w:t>
            </w:r>
          </w:p>
        </w:tc>
        <w:tc>
          <w:tcPr>
            <w:tcW w:w="1523" w:type="pct"/>
            <w:vAlign w:val="center"/>
          </w:tcPr>
          <w:p w14:paraId="5D96660A">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北江冲工区</w:t>
            </w:r>
          </w:p>
        </w:tc>
      </w:tr>
      <w:tr w14:paraId="69220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7" w:type="pct"/>
            <w:vAlign w:val="center"/>
          </w:tcPr>
          <w:p w14:paraId="33EBA536">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9</w:t>
            </w:r>
          </w:p>
        </w:tc>
        <w:tc>
          <w:tcPr>
            <w:tcW w:w="843" w:type="pct"/>
            <w:vAlign w:val="center"/>
          </w:tcPr>
          <w:p w14:paraId="722DC77B">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安塘坪</w:t>
            </w:r>
          </w:p>
        </w:tc>
        <w:tc>
          <w:tcPr>
            <w:tcW w:w="2106" w:type="pct"/>
            <w:vAlign w:val="center"/>
          </w:tcPr>
          <w:p w14:paraId="614AA2BB">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三岔山、杉木漯</w:t>
            </w:r>
          </w:p>
        </w:tc>
        <w:tc>
          <w:tcPr>
            <w:tcW w:w="1523" w:type="pct"/>
            <w:vAlign w:val="center"/>
          </w:tcPr>
          <w:p w14:paraId="0751D341">
            <w:pPr>
              <w:widowControl w:val="0"/>
              <w:spacing w:line="240" w:lineRule="auto"/>
              <w:ind w:firstLine="0" w:firstLineChars="0"/>
              <w:jc w:val="center"/>
              <w:rPr>
                <w:rFonts w:ascii="Calibri" w:hAnsi="Calibri" w:cs="Times New Roman"/>
                <w:lang w:eastAsia="zh-CN"/>
              </w:rPr>
            </w:pPr>
            <w:r>
              <w:rPr>
                <w:rFonts w:ascii="Calibri" w:hAnsi="Calibri" w:cs="Times New Roman"/>
                <w:sz w:val="21"/>
                <w:lang w:eastAsia="zh-CN"/>
              </w:rPr>
              <w:t>三岔水工区</w:t>
            </w:r>
          </w:p>
        </w:tc>
      </w:tr>
    </w:tbl>
    <w:p w14:paraId="59653A29">
      <w:pPr>
        <w:ind w:firstLine="480"/>
        <w:rPr>
          <w:lang w:eastAsia="zh-CN"/>
        </w:rPr>
      </w:pPr>
      <w:r>
        <w:rPr>
          <w:lang w:eastAsia="zh-CN"/>
        </w:rPr>
        <w:t>林火视频监控系统包括前端信号采集系统建设、网络传输系统建设、森林防火指挥系统建设、森林防火指挥决策应用软件系统建设等四个方面的建设。规划购置林火视频监控系统1套，根据项目区地形、地势条件，考虑林场内森林植被分布现状，充分利用现有铁塔、电力、网络等公共资源，新建森林防火视频监控点9处。通过林火视频监控系统建设，连入阳明山区森林防火监控中心。具体详见表8-2。</w:t>
      </w:r>
    </w:p>
    <w:p w14:paraId="1B751169">
      <w:pPr>
        <w:pStyle w:val="4"/>
      </w:pPr>
      <w:r>
        <w:t>8.3.4森林防火通信和信息指挥系统建设</w:t>
      </w:r>
    </w:p>
    <w:p w14:paraId="7529ACCD">
      <w:pPr>
        <w:ind w:firstLine="480"/>
        <w:rPr>
          <w:lang w:eastAsia="zh-CN"/>
        </w:rPr>
      </w:pPr>
      <w:r>
        <w:rPr>
          <w:lang w:eastAsia="zh-CN"/>
        </w:rPr>
        <w:t>森林防火通信和指挥系统建设是提升森林防火综合指挥调度能力的基础，是提升森林火灾防控能力、增强业务管理水平的重要支撑和保障。根据林场森林火灾通信技术的特点和应用场景不同，结合实践通信的层次结构划分，林场森林防火可分为通信系统建设和信息指挥系统建设</w:t>
      </w:r>
    </w:p>
    <w:p w14:paraId="5AD7357F">
      <w:pPr>
        <w:ind w:firstLine="480"/>
        <w:rPr>
          <w:lang w:eastAsia="zh-CN"/>
        </w:rPr>
      </w:pPr>
      <w:r>
        <w:rPr>
          <w:rFonts w:hint="eastAsia"/>
          <w:lang w:eastAsia="zh-CN"/>
        </w:rPr>
        <w:t>(1)</w:t>
      </w:r>
      <w:r>
        <w:rPr>
          <w:lang w:eastAsia="zh-CN"/>
        </w:rPr>
        <w:t>调度指挥中心建设，建设面积200</w:t>
      </w:r>
      <w:r>
        <w:rPr>
          <w:rFonts w:hint="eastAsia"/>
          <w:lang w:eastAsia="zh-CN"/>
        </w:rPr>
        <w:t>m</w:t>
      </w:r>
      <w:r>
        <w:rPr>
          <w:rFonts w:hint="eastAsia"/>
          <w:vertAlign w:val="superscript"/>
          <w:lang w:eastAsia="zh-CN"/>
        </w:rPr>
        <w:t>2</w:t>
      </w:r>
      <w:r>
        <w:rPr>
          <w:lang w:eastAsia="zh-CN"/>
        </w:rPr>
        <w:t>。</w:t>
      </w:r>
    </w:p>
    <w:p w14:paraId="0D2C4140">
      <w:pPr>
        <w:ind w:firstLine="480"/>
        <w:rPr>
          <w:lang w:eastAsia="zh-CN"/>
        </w:rPr>
      </w:pPr>
      <w:r>
        <w:rPr>
          <w:rFonts w:hint="eastAsia"/>
          <w:lang w:eastAsia="zh-CN"/>
        </w:rPr>
        <w:t>(2)</w:t>
      </w:r>
      <w:r>
        <w:rPr>
          <w:lang w:eastAsia="zh-CN"/>
        </w:rPr>
        <w:t>建立林火通信终端系统，系统设置在林场北江冲工区内，与阳明山区防火通信系统相连，及时掌握林场防火状况，购置信息系统软件2套，配置电脑5台、打印机2台，购置森林防火通信设备，包括车载台1台、车载电话1台、无线发射机2台、GPS定位手机20台、对讲机20个。</w:t>
      </w:r>
    </w:p>
    <w:p w14:paraId="75CFEE3E">
      <w:pPr>
        <w:spacing w:before="51"/>
        <w:ind w:firstLine="480"/>
        <w:rPr>
          <w:rFonts w:cs="宋体"/>
          <w:lang w:eastAsia="zh-CN"/>
        </w:rPr>
      </w:pPr>
      <w:r>
        <w:rPr>
          <w:rFonts w:hint="eastAsia" w:cs="宋体"/>
          <w:lang w:eastAsia="zh-CN"/>
        </w:rPr>
        <w:t>(3)</w:t>
      </w:r>
      <w:r>
        <w:rPr>
          <w:rFonts w:cs="宋体"/>
          <w:lang w:eastAsia="zh-CN"/>
        </w:rPr>
        <w:t>购置森林防火便携指挥调度系统1套。</w:t>
      </w:r>
    </w:p>
    <w:p w14:paraId="44F3B0FE">
      <w:pPr>
        <w:pStyle w:val="4"/>
      </w:pPr>
      <w:r>
        <w:t>8.3.5森林防火宣传教育建设</w:t>
      </w:r>
    </w:p>
    <w:p w14:paraId="53D9CC7A">
      <w:pPr>
        <w:ind w:firstLine="480"/>
        <w:rPr>
          <w:lang w:eastAsia="zh-CN"/>
        </w:rPr>
      </w:pPr>
      <w:r>
        <w:rPr>
          <w:rFonts w:hint="eastAsia"/>
          <w:lang w:eastAsia="zh-CN"/>
        </w:rPr>
        <w:t>(1)</w:t>
      </w:r>
      <w:r>
        <w:rPr>
          <w:lang w:eastAsia="zh-CN"/>
        </w:rPr>
        <w:t>强化各级宣传教育职能，协调宣传、新闻、教育、文化、旅游、公安等部门及乡、镇、村民委员会，组成宣传教育网络体系。</w:t>
      </w:r>
    </w:p>
    <w:p w14:paraId="658633BE">
      <w:pPr>
        <w:ind w:firstLine="480"/>
        <w:rPr>
          <w:lang w:eastAsia="zh-CN"/>
        </w:rPr>
      </w:pPr>
      <w:r>
        <w:rPr>
          <w:rFonts w:hint="eastAsia"/>
          <w:lang w:eastAsia="zh-CN"/>
        </w:rPr>
        <w:t>(2)</w:t>
      </w:r>
      <w:r>
        <w:rPr>
          <w:lang w:eastAsia="zh-CN"/>
        </w:rPr>
        <w:t>定期组织开展“宣传月”、“宣传周”活动，利用进校园进课堂、卡通动画、文艺演出、公益广告、媒体专栏、微信公众号推送等群众喜闻乐见的多种形式对全民进行森林防火科普知识、火灾扑救和安全避险知识的教育，</w:t>
      </w:r>
    </w:p>
    <w:p w14:paraId="687BEE8A">
      <w:pPr>
        <w:ind w:firstLine="480"/>
        <w:rPr>
          <w:lang w:eastAsia="zh-CN"/>
        </w:rPr>
      </w:pPr>
      <w:r>
        <w:rPr>
          <w:rFonts w:hint="eastAsia"/>
          <w:lang w:eastAsia="zh-CN"/>
        </w:rPr>
        <w:t>(3)</w:t>
      </w:r>
      <w:r>
        <w:rPr>
          <w:lang w:eastAsia="zh-CN"/>
        </w:rPr>
        <w:t>编制《森林防火宣传手册》及相关宣传资料，录制森林防火宣传片，火案教学片，为公众提供宣传教育学习材料。</w:t>
      </w:r>
    </w:p>
    <w:p w14:paraId="757B2143">
      <w:pPr>
        <w:ind w:firstLine="480"/>
        <w:rPr>
          <w:lang w:eastAsia="zh-CN"/>
        </w:rPr>
      </w:pPr>
      <w:r>
        <w:rPr>
          <w:rFonts w:hint="eastAsia"/>
          <w:lang w:eastAsia="zh-CN"/>
        </w:rPr>
        <w:t>(4)</w:t>
      </w:r>
      <w:r>
        <w:rPr>
          <w:lang w:eastAsia="zh-CN"/>
        </w:rPr>
        <w:t>根据气候和其它相关因素，确定防火期和重点防火巡逻期。防火期严格控制火源，重点防火地段设置宣传窗6块、森林防火宣传牌20块，防火标志牌100块，制定防火预案。及时维修防火设施设备，保持防火警示作用。</w:t>
      </w:r>
    </w:p>
    <w:p w14:paraId="0FB7EE38">
      <w:pPr>
        <w:pStyle w:val="4"/>
      </w:pPr>
      <w:r>
        <w:t>8.3.6护林防火制度建设</w:t>
      </w:r>
    </w:p>
    <w:p w14:paraId="1E3A9CF5">
      <w:pPr>
        <w:ind w:firstLine="480"/>
        <w:rPr>
          <w:lang w:eastAsia="zh-CN"/>
        </w:rPr>
      </w:pPr>
      <w:r>
        <w:rPr>
          <w:rFonts w:hint="eastAsia"/>
          <w:lang w:eastAsia="zh-CN"/>
        </w:rPr>
        <w:t>(1)</w:t>
      </w:r>
      <w:r>
        <w:rPr>
          <w:lang w:eastAsia="zh-CN"/>
        </w:rPr>
        <w:t>加强组织领导，明确健全护林防火责任</w:t>
      </w:r>
    </w:p>
    <w:p w14:paraId="49A428D6">
      <w:pPr>
        <w:ind w:firstLine="480"/>
        <w:rPr>
          <w:lang w:eastAsia="zh-CN"/>
        </w:rPr>
      </w:pPr>
      <w:r>
        <w:rPr>
          <w:lang w:eastAsia="zh-CN"/>
        </w:rPr>
        <w:t>落实好森林防火的领导责任，林场场长要对本单位森林防火工作负总责，分管副场长全力抓，相关科室</w:t>
      </w:r>
      <w:r>
        <w:rPr>
          <w:rFonts w:hint="eastAsia"/>
          <w:lang w:eastAsia="zh-CN"/>
        </w:rPr>
        <w:t>(</w:t>
      </w:r>
      <w:r>
        <w:rPr>
          <w:lang w:eastAsia="zh-CN"/>
        </w:rPr>
        <w:t>股</w:t>
      </w:r>
      <w:r>
        <w:rPr>
          <w:rFonts w:hint="eastAsia"/>
          <w:lang w:eastAsia="zh-CN"/>
        </w:rPr>
        <w:t>)</w:t>
      </w:r>
      <w:r>
        <w:rPr>
          <w:lang w:eastAsia="zh-CN"/>
        </w:rPr>
        <w:t>具体抓。要完善工作制度，层层签订森林防火责任状，把防火责任分解落实到人头，做到山有人管、林有人护、责有人担。同时与县密切配合，互相支持，将林场的防火工作纳入县森林防火体系中，由县统一领导，形成政府－林场－护林点三级防火体系；与周边乡镇建立森林防火联防组织，确定联防区域，制定联防制度和措施，明确联防职责。配备相应的设施设备，提高森林火险扑救的应急能力。</w:t>
      </w:r>
    </w:p>
    <w:p w14:paraId="39BF7EAC">
      <w:pPr>
        <w:ind w:firstLine="480"/>
        <w:rPr>
          <w:lang w:eastAsia="zh-CN"/>
        </w:rPr>
      </w:pPr>
      <w:r>
        <w:rPr>
          <w:rFonts w:hint="eastAsia"/>
          <w:lang w:eastAsia="zh-CN"/>
        </w:rPr>
        <w:t>(2)</w:t>
      </w:r>
      <w:r>
        <w:rPr>
          <w:lang w:eastAsia="zh-CN"/>
        </w:rPr>
        <w:t>健全护林防火制度，落实具体护林防火措施</w:t>
      </w:r>
    </w:p>
    <w:p w14:paraId="026B59AA">
      <w:pPr>
        <w:ind w:firstLine="480"/>
        <w:rPr>
          <w:lang w:eastAsia="zh-CN"/>
        </w:rPr>
      </w:pPr>
      <w:r>
        <w:rPr>
          <w:lang w:eastAsia="zh-CN"/>
        </w:rPr>
        <w:t>按照《湖南省森林防火条例》，健全护林防火制度，制定护林防火预案，落实“预防为主，积极消灭”的方针，坚持“以人为本”和“打早、打了、打小”的原则，加强火源管理，依靠群防群治，加大全民防火意识的宣传力度。明确护林防火人员的责、权、利，对林区实行严格的巡护、检查和清理，在森林防火期严禁一切野外用火，并安排专人24小时值班，护林人员加强巡护，发现火即报，发现火警火灾及时组织人员全力扑救。</w:t>
      </w:r>
    </w:p>
    <w:p w14:paraId="6B5B85AE">
      <w:pPr>
        <w:ind w:firstLine="480"/>
        <w:rPr>
          <w:lang w:eastAsia="zh-CN"/>
        </w:rPr>
      </w:pPr>
      <w:r>
        <w:rPr>
          <w:lang w:eastAsia="zh-CN"/>
        </w:rPr>
        <w:t>针对林场各工区分块较多，与集体林交叉，边界线长，周边社情复杂，森林防火难度大等特点，要明确护林防火重点和难点，采取有效措施搞好护林防火工作。</w:t>
      </w:r>
    </w:p>
    <w:p w14:paraId="31244386">
      <w:pPr>
        <w:pStyle w:val="3"/>
        <w:rPr>
          <w:lang w:eastAsia="zh-CN"/>
        </w:rPr>
      </w:pPr>
      <w:bookmarkStart w:id="123" w:name="bookmark86"/>
      <w:bookmarkEnd w:id="123"/>
      <w:bookmarkStart w:id="124" w:name="_Toc1826"/>
      <w:r>
        <w:rPr>
          <w:lang w:eastAsia="zh-CN"/>
        </w:rPr>
        <w:t>8.4林业有害生物防治</w:t>
      </w:r>
      <w:bookmarkEnd w:id="124"/>
    </w:p>
    <w:p w14:paraId="573F3808">
      <w:pPr>
        <w:ind w:firstLine="480"/>
        <w:rPr>
          <w:lang w:eastAsia="zh-CN"/>
        </w:rPr>
      </w:pPr>
      <w:r>
        <w:rPr>
          <w:lang w:eastAsia="zh-CN"/>
        </w:rPr>
        <w:t>根据森林病虫害</w:t>
      </w:r>
      <w:r>
        <w:rPr>
          <w:rFonts w:cs="宋体"/>
          <w:lang w:eastAsia="zh-CN"/>
        </w:rPr>
        <w:t>“</w:t>
      </w:r>
      <w:r>
        <w:rPr>
          <w:lang w:eastAsia="zh-CN"/>
        </w:rPr>
        <w:t>预防为主、科学防控、依法治理、促进健康</w:t>
      </w:r>
      <w:r>
        <w:rPr>
          <w:rFonts w:cs="宋体"/>
          <w:lang w:eastAsia="zh-CN"/>
        </w:rPr>
        <w:t>”</w:t>
      </w:r>
      <w:r>
        <w:rPr>
          <w:lang w:eastAsia="zh-CN"/>
        </w:rPr>
        <w:t>的防治方针，针对森林的现实情况，要做好以下几方面的工作：</w:t>
      </w:r>
    </w:p>
    <w:p w14:paraId="2F556845">
      <w:pPr>
        <w:pStyle w:val="4"/>
      </w:pPr>
      <w:r>
        <w:t>8.4.1加强植物检疫工作，防患于未然</w:t>
      </w:r>
    </w:p>
    <w:p w14:paraId="7A8DDEFA">
      <w:pPr>
        <w:ind w:firstLine="480"/>
        <w:rPr>
          <w:lang w:eastAsia="zh-CN"/>
        </w:rPr>
      </w:pPr>
      <w:r>
        <w:rPr>
          <w:lang w:eastAsia="zh-CN"/>
        </w:rPr>
        <w:t>松材线虫病、松突圆蚧和萧氏松茎象都是重要的检疫性病虫害，一旦发生，都会给松、杉林造成毁灭性的灾害。而这三种病虫在经营区的附近省市都有发生，极易传入。因此，要加强检疫工作，防止从疫区调动种苗或其它繁殖材料。</w:t>
      </w:r>
    </w:p>
    <w:p w14:paraId="2FB01AB3">
      <w:pPr>
        <w:pStyle w:val="4"/>
      </w:pPr>
      <w:r>
        <w:t>8.4.2加强森林病虫害的监测和预报工作</w:t>
      </w:r>
    </w:p>
    <w:p w14:paraId="11FD24DD">
      <w:pPr>
        <w:ind w:firstLine="480"/>
        <w:rPr>
          <w:lang w:eastAsia="zh-CN"/>
        </w:rPr>
      </w:pPr>
      <w:r>
        <w:rPr>
          <w:lang w:eastAsia="zh-CN"/>
        </w:rPr>
        <w:t>对现有森林资源的病虫害发生情况进行有效的预测预报，特别是针对松材线虫病、松褐天牛、松突圆蚧、萧氏松茎象、马尾松毛虫、阔叶树食叶害虫、马尾松赤枯病、入侵红火蚁等的监测工作，提早制定防治方案，一旦发现有发生，就要及时预报，果断采取措施，控制病虫害，防止病虫害大面积发生和蔓延。</w:t>
      </w:r>
    </w:p>
    <w:p w14:paraId="377BF1FA">
      <w:pPr>
        <w:ind w:firstLine="480"/>
        <w:rPr>
          <w:lang w:eastAsia="zh-CN"/>
        </w:rPr>
      </w:pPr>
      <w:r>
        <w:rPr>
          <w:lang w:eastAsia="zh-CN"/>
        </w:rPr>
        <w:t>同时，随着林场内的杉木林大部分进入成、过熟阶段，生长衰退，枯立、枯倒情况日益增多，发生病虫灾害的风险加大，要加强对杉苗猝倒病、杉木炭疽病、杉木细菌性叶枯病、杉木生理性黄化病、双条杉天牛、杉梢小卷蛾、白蚁</w:t>
      </w:r>
      <w:r>
        <w:rPr>
          <w:rFonts w:hint="eastAsia"/>
          <w:lang w:eastAsia="zh-CN"/>
        </w:rPr>
        <w:t>(</w:t>
      </w:r>
      <w:r>
        <w:rPr>
          <w:lang w:eastAsia="zh-CN"/>
        </w:rPr>
        <w:t>黑翅土白蚁和黄翅大白蚁</w:t>
      </w:r>
      <w:r>
        <w:rPr>
          <w:rFonts w:hint="eastAsia"/>
          <w:lang w:eastAsia="zh-CN"/>
        </w:rPr>
        <w:t>)</w:t>
      </w:r>
      <w:r>
        <w:rPr>
          <w:lang w:eastAsia="zh-CN"/>
        </w:rPr>
        <w:t>等杉木常见病虫害的监测和预报。</w:t>
      </w:r>
    </w:p>
    <w:p w14:paraId="28FEC66F">
      <w:pPr>
        <w:pStyle w:val="4"/>
      </w:pPr>
      <w:r>
        <w:t>8.4.3加强森林经营水平，提高林木抗病抗虫能力</w:t>
      </w:r>
    </w:p>
    <w:p w14:paraId="510F5628">
      <w:pPr>
        <w:ind w:firstLine="480"/>
        <w:rPr>
          <w:lang w:eastAsia="zh-CN"/>
        </w:rPr>
      </w:pPr>
      <w:r>
        <w:rPr>
          <w:lang w:eastAsia="zh-CN"/>
        </w:rPr>
        <w:t>通过抚育间伐、林分改造和营造阔叶树混交林等措施，改善林分卫生状况，提高林分质量，增强林木抗御病虫害的能力。</w:t>
      </w:r>
    </w:p>
    <w:p w14:paraId="54692175">
      <w:pPr>
        <w:pStyle w:val="4"/>
      </w:pPr>
      <w:r>
        <w:t>8.4.4加强天敌保护，发挥生物控制作用</w:t>
      </w:r>
    </w:p>
    <w:p w14:paraId="6035790B">
      <w:pPr>
        <w:ind w:firstLine="480"/>
        <w:rPr>
          <w:rFonts w:eastAsia="仿宋"/>
          <w:sz w:val="28"/>
          <w:szCs w:val="28"/>
          <w:lang w:eastAsia="zh-CN"/>
        </w:rPr>
      </w:pPr>
      <w:r>
        <w:rPr>
          <w:lang w:eastAsia="zh-CN"/>
        </w:rPr>
        <w:t>采取积极有效措施，保护林内各种有益生物，保护林内生物的多样性，形成比较稳定的森林生态系统，充分利用生态系统内生态因子之间的自然作用能力，发挥生物控制作用，将森林病虫害发生控制在较低的水平。</w:t>
      </w:r>
    </w:p>
    <w:p w14:paraId="7E717847">
      <w:pPr>
        <w:pStyle w:val="4"/>
      </w:pPr>
      <w:r>
        <w:t>8.4.5加强应急防治能力，有效防治森林病虫害</w:t>
      </w:r>
    </w:p>
    <w:p w14:paraId="62204177">
      <w:pPr>
        <w:ind w:firstLine="480"/>
        <w:rPr>
          <w:lang w:eastAsia="zh-CN"/>
        </w:rPr>
      </w:pPr>
      <w:r>
        <w:rPr>
          <w:lang w:eastAsia="zh-CN"/>
        </w:rPr>
        <w:t>要提前制定防治方案，森林病虫害一旦发生，特别是大面积暴发和流行时，及时与当地林业部门联系，运用足够的人力、物力，财力，积极采取有效的措施，有效地防止病虫害爆发蔓延。特别是对松材线虫病的防治，一旦发现，要及时响应《湖南省林业生物灾害应急预案》，采取有效措施予以除治。</w:t>
      </w:r>
    </w:p>
    <w:p w14:paraId="0A7C4DDF">
      <w:pPr>
        <w:pStyle w:val="4"/>
      </w:pPr>
      <w:r>
        <w:t>8.4.6全面完善森林病虫害防御体系</w:t>
      </w:r>
    </w:p>
    <w:p w14:paraId="5DC41D1B">
      <w:pPr>
        <w:ind w:firstLine="480"/>
        <w:rPr>
          <w:lang w:eastAsia="zh-CN"/>
        </w:rPr>
      </w:pPr>
      <w:r>
        <w:rPr>
          <w:lang w:eastAsia="zh-CN"/>
        </w:rPr>
        <w:t>主要包括：对区域内现有病虫害要加强以生物防治为主，化学防治为辅等为主要防治手段的疫情和灾害</w:t>
      </w:r>
      <w:r>
        <w:rPr>
          <w:rFonts w:hint="eastAsia"/>
          <w:lang w:eastAsia="zh-CN"/>
        </w:rPr>
        <w:t>防</w:t>
      </w:r>
      <w:r>
        <w:rPr>
          <w:lang w:eastAsia="zh-CN"/>
        </w:rPr>
        <w:t>治体系建设；在林场与外界的出入口等关键位置，加强以检疫站、检疫设备为主要内容的检疫检查御灾体系建设；在林场范围内，加强以人员定点、定期普查为主要内容的监测普查预警体系建设；对林相单一、面积过大的成过熟纯林地，加强以人工促进更新为主要内容的健康森林培育和恢复工程建设；针对常见病虫害，提前制定防治预案，加强应急救灾体系建设，提高应急救灾能力；加强人员技术培训和辅助设备采购，完善科技支撑体系。</w:t>
      </w:r>
    </w:p>
    <w:p w14:paraId="479D7E62">
      <w:pPr>
        <w:spacing w:line="30" w:lineRule="exact"/>
        <w:ind w:firstLine="480"/>
        <w:rPr>
          <w:rFonts w:cs="Times New Roman"/>
          <w:lang w:eastAsia="zh-CN"/>
        </w:rPr>
      </w:pPr>
    </w:p>
    <w:p w14:paraId="00064CD3">
      <w:pPr>
        <w:pStyle w:val="3"/>
        <w:rPr>
          <w:lang w:eastAsia="zh-CN"/>
        </w:rPr>
      </w:pPr>
      <w:bookmarkStart w:id="125" w:name="bookmark88"/>
      <w:bookmarkEnd w:id="125"/>
      <w:bookmarkStart w:id="126" w:name="_Toc7676"/>
      <w:r>
        <w:rPr>
          <w:lang w:eastAsia="zh-CN"/>
        </w:rPr>
        <w:t>8.5生物多样性保护</w:t>
      </w:r>
      <w:bookmarkEnd w:id="126"/>
    </w:p>
    <w:p w14:paraId="0CBDD841">
      <w:pPr>
        <w:pStyle w:val="4"/>
      </w:pPr>
      <w:r>
        <w:t>8.5.1加强保护宣传，建立宣教中心</w:t>
      </w:r>
    </w:p>
    <w:p w14:paraId="6A1DDF6C">
      <w:pPr>
        <w:ind w:firstLine="480"/>
        <w:rPr>
          <w:lang w:eastAsia="zh-CN"/>
        </w:rPr>
      </w:pPr>
      <w:r>
        <w:rPr>
          <w:lang w:eastAsia="zh-CN"/>
        </w:rPr>
        <w:t>建议深入宣传国家有关法律、法规和政策及野生植物维护自然生态平衡和科研、教育、文化等方面的作用，使广大人民群众认识保护野生植物的重要意义，丰富人民群众的野生植物知识，把热爱野生植物逐渐变为人们的自觉行动。同时建立野生植物保护宣传教育中心，开展野生植物执法检查活动。</w:t>
      </w:r>
    </w:p>
    <w:p w14:paraId="1711275E">
      <w:pPr>
        <w:pStyle w:val="4"/>
      </w:pPr>
      <w:r>
        <w:t>8.5.2积极开展珍稀濒危物种的保护生物学研究</w:t>
      </w:r>
    </w:p>
    <w:p w14:paraId="08200F74">
      <w:pPr>
        <w:ind w:firstLine="480"/>
        <w:rPr>
          <w:lang w:eastAsia="zh-CN"/>
        </w:rPr>
      </w:pPr>
      <w:r>
        <w:rPr>
          <w:lang w:eastAsia="zh-CN"/>
        </w:rPr>
        <w:t>对珍稀濒危保护植物资源进行专项调查，弄清它们的分布、数量、受危程度、生境质量好坏、受危原因等，由此确定不同的保护方案。</w:t>
      </w:r>
    </w:p>
    <w:p w14:paraId="50FD817F">
      <w:pPr>
        <w:pStyle w:val="4"/>
      </w:pPr>
      <w:r>
        <w:t>8.5.3加强野生植物保护监测站建设，完善生物多样性监测体系</w:t>
      </w:r>
    </w:p>
    <w:p w14:paraId="285DD35C">
      <w:pPr>
        <w:ind w:firstLine="480"/>
        <w:rPr>
          <w:rFonts w:eastAsia="仿宋"/>
          <w:sz w:val="28"/>
          <w:szCs w:val="28"/>
          <w:lang w:eastAsia="zh-CN"/>
        </w:rPr>
      </w:pPr>
      <w:r>
        <w:rPr>
          <w:lang w:eastAsia="zh-CN"/>
        </w:rPr>
        <w:t>对林场内的野生种植物种类、种群数量、分布、动态变化以及野生植物的生活习性等进行持续、定点监测，为有针对性地制定科学、有效的保护措施提供详实、可靠的基础数据和资料。</w:t>
      </w:r>
    </w:p>
    <w:p w14:paraId="1FC894A1">
      <w:pPr>
        <w:spacing w:line="320" w:lineRule="auto"/>
        <w:ind w:firstLine="560"/>
        <w:rPr>
          <w:rFonts w:eastAsia="仿宋" w:cs="Times New Roman"/>
          <w:sz w:val="28"/>
          <w:szCs w:val="28"/>
          <w:lang w:eastAsia="zh-CN"/>
        </w:rPr>
        <w:sectPr>
          <w:footerReference r:id="rId41" w:type="default"/>
          <w:pgSz w:w="11905" w:h="16843"/>
          <w:pgMar w:top="1440" w:right="1406" w:bottom="1440" w:left="1803" w:header="873" w:footer="1276" w:gutter="0"/>
          <w:cols w:space="0" w:num="1"/>
          <w:rtlGutter w:val="0"/>
          <w:docGrid w:linePitch="326" w:charSpace="0"/>
        </w:sectPr>
      </w:pPr>
    </w:p>
    <w:p w14:paraId="46C4936C">
      <w:pPr>
        <w:pStyle w:val="2"/>
        <w:spacing w:before="120" w:after="120"/>
        <w:rPr>
          <w:lang w:eastAsia="zh-CN"/>
        </w:rPr>
      </w:pPr>
      <w:bookmarkStart w:id="127" w:name="bookmark90"/>
      <w:bookmarkEnd w:id="127"/>
      <w:bookmarkStart w:id="128" w:name="bookmark92"/>
      <w:bookmarkEnd w:id="128"/>
      <w:bookmarkStart w:id="129" w:name="_Toc30990"/>
      <w:r>
        <w:rPr>
          <w:lang w:eastAsia="zh-CN"/>
        </w:rPr>
        <w:t>第九章</w:t>
      </w:r>
      <w:r>
        <w:rPr>
          <w:rFonts w:hint="eastAsia"/>
          <w:lang w:eastAsia="zh-CN"/>
        </w:rPr>
        <w:t xml:space="preserve"> </w:t>
      </w:r>
      <w:r>
        <w:rPr>
          <w:lang w:eastAsia="zh-CN"/>
        </w:rPr>
        <w:t>营林设施建设维护与经营能力建设</w:t>
      </w:r>
      <w:bookmarkEnd w:id="129"/>
    </w:p>
    <w:p w14:paraId="7E587DA2">
      <w:pPr>
        <w:pStyle w:val="3"/>
        <w:rPr>
          <w:lang w:eastAsia="zh-CN"/>
        </w:rPr>
      </w:pPr>
      <w:bookmarkStart w:id="130" w:name="_Toc15014"/>
      <w:r>
        <w:rPr>
          <w:lang w:eastAsia="zh-CN"/>
        </w:rPr>
        <w:t>9.1林道设施</w:t>
      </w:r>
      <w:bookmarkEnd w:id="130"/>
    </w:p>
    <w:p w14:paraId="23D8A32B">
      <w:pPr>
        <w:pStyle w:val="4"/>
      </w:pPr>
      <w:r>
        <w:t>9.1.1建设原则</w:t>
      </w:r>
    </w:p>
    <w:p w14:paraId="48F87114">
      <w:pPr>
        <w:ind w:firstLine="480"/>
        <w:rPr>
          <w:lang w:eastAsia="zh-CN"/>
        </w:rPr>
      </w:pPr>
      <w:r>
        <w:rPr>
          <w:rFonts w:hint="eastAsia"/>
          <w:lang w:eastAsia="zh-CN"/>
        </w:rPr>
        <w:t>(</w:t>
      </w:r>
      <w:r>
        <w:rPr>
          <w:lang w:eastAsia="zh-CN"/>
        </w:rPr>
        <w:t>1</w:t>
      </w:r>
      <w:r>
        <w:rPr>
          <w:rFonts w:hint="eastAsia"/>
          <w:lang w:eastAsia="zh-CN"/>
        </w:rPr>
        <w:t>)</w:t>
      </w:r>
      <w:r>
        <w:rPr>
          <w:lang w:eastAsia="zh-CN"/>
        </w:rPr>
        <w:t>道路密度要满足森林经营的基本要求。</w:t>
      </w:r>
    </w:p>
    <w:p w14:paraId="7E16D88A">
      <w:pPr>
        <w:ind w:firstLine="480"/>
        <w:rPr>
          <w:lang w:eastAsia="zh-CN"/>
        </w:rPr>
      </w:pPr>
      <w:r>
        <w:rPr>
          <w:rFonts w:hint="eastAsia"/>
          <w:lang w:eastAsia="zh-CN"/>
        </w:rPr>
        <w:t>(</w:t>
      </w:r>
      <w:r>
        <w:rPr>
          <w:lang w:eastAsia="zh-CN"/>
        </w:rPr>
        <w:t>2</w:t>
      </w:r>
      <w:r>
        <w:rPr>
          <w:rFonts w:hint="eastAsia"/>
          <w:lang w:eastAsia="zh-CN"/>
        </w:rPr>
        <w:t>)</w:t>
      </w:r>
      <w:r>
        <w:rPr>
          <w:lang w:eastAsia="zh-CN"/>
        </w:rPr>
        <w:t>新建道路应尽量结合防火线、巡护路网等布设。</w:t>
      </w:r>
    </w:p>
    <w:p w14:paraId="4D7E22E3">
      <w:pPr>
        <w:ind w:firstLine="480"/>
        <w:rPr>
          <w:lang w:eastAsia="zh-CN"/>
        </w:rPr>
      </w:pPr>
      <w:r>
        <w:rPr>
          <w:rFonts w:hint="eastAsia"/>
          <w:lang w:eastAsia="zh-CN"/>
        </w:rPr>
        <w:t>(</w:t>
      </w:r>
      <w:r>
        <w:rPr>
          <w:lang w:eastAsia="zh-CN"/>
        </w:rPr>
        <w:t>3</w:t>
      </w:r>
      <w:r>
        <w:rPr>
          <w:rFonts w:hint="eastAsia"/>
          <w:lang w:eastAsia="zh-CN"/>
        </w:rPr>
        <w:t>)</w:t>
      </w:r>
      <w:r>
        <w:rPr>
          <w:lang w:eastAsia="zh-CN"/>
        </w:rPr>
        <w:t>新建道路应避开高保护价值森林区域、缓冲带和敏感地区。</w:t>
      </w:r>
    </w:p>
    <w:p w14:paraId="7B0D48EF">
      <w:pPr>
        <w:ind w:firstLine="480"/>
        <w:rPr>
          <w:lang w:eastAsia="zh-CN"/>
        </w:rPr>
      </w:pPr>
      <w:r>
        <w:rPr>
          <w:rFonts w:hint="eastAsia"/>
          <w:lang w:eastAsia="zh-CN"/>
        </w:rPr>
        <w:t>(</w:t>
      </w:r>
      <w:r>
        <w:rPr>
          <w:lang w:eastAsia="zh-CN"/>
        </w:rPr>
        <w:t>4</w:t>
      </w:r>
      <w:r>
        <w:rPr>
          <w:rFonts w:hint="eastAsia"/>
          <w:lang w:eastAsia="zh-CN"/>
        </w:rPr>
        <w:t>)</w:t>
      </w:r>
      <w:r>
        <w:rPr>
          <w:lang w:eastAsia="zh-CN"/>
        </w:rPr>
        <w:t>道路线形应顺从自然，一般不要进行大填大挖，尽量少破坏地表植被和自然景观。</w:t>
      </w:r>
    </w:p>
    <w:p w14:paraId="47B3FD4C">
      <w:pPr>
        <w:pStyle w:val="4"/>
      </w:pPr>
      <w:r>
        <w:t>9.1.2建设内容</w:t>
      </w:r>
    </w:p>
    <w:p w14:paraId="5F092BD7">
      <w:pPr>
        <w:ind w:firstLine="480"/>
        <w:rPr>
          <w:lang w:eastAsia="zh-CN"/>
        </w:rPr>
      </w:pPr>
      <w:r>
        <w:rPr>
          <w:rFonts w:hint="eastAsia"/>
          <w:lang w:eastAsia="zh-CN"/>
        </w:rPr>
        <w:t>(1)最大限度地满足保护区内保护管理、科学研究、环境保护、护林防火以及职工、群众生活、生产的需要。</w:t>
      </w:r>
    </w:p>
    <w:p w14:paraId="7DE3D222">
      <w:pPr>
        <w:ind w:firstLine="480"/>
        <w:rPr>
          <w:lang w:eastAsia="zh-CN"/>
        </w:rPr>
      </w:pPr>
      <w:r>
        <w:rPr>
          <w:rFonts w:hint="eastAsia"/>
          <w:lang w:eastAsia="zh-CN"/>
        </w:rPr>
        <w:t>(2)根据地形地势，道路线形应顺从自然，一般不搞大填大挖，尽量不破坏地表植被和自然景观。</w:t>
      </w:r>
    </w:p>
    <w:p w14:paraId="28016C4C">
      <w:pPr>
        <w:ind w:firstLine="480"/>
        <w:rPr>
          <w:lang w:eastAsia="zh-CN"/>
        </w:rPr>
      </w:pPr>
      <w:r>
        <w:rPr>
          <w:rFonts w:hint="eastAsia"/>
          <w:lang w:eastAsia="zh-CN"/>
        </w:rPr>
        <w:t>(3)不得在已批准建立的国家级自然核心区和缓冲区内修建公路，以保护生态环境，保护珍稀物种。</w:t>
      </w:r>
    </w:p>
    <w:p w14:paraId="59A46285">
      <w:pPr>
        <w:ind w:firstLine="480"/>
        <w:rPr>
          <w:lang w:eastAsia="zh-CN"/>
        </w:rPr>
      </w:pPr>
      <w:r>
        <w:rPr>
          <w:rFonts w:hint="eastAsia"/>
          <w:lang w:eastAsia="zh-CN"/>
        </w:rPr>
        <w:t>(4)按照平均运距短、纵坡小、吸引范围广、投资省、便于施工进行布设。</w:t>
      </w:r>
    </w:p>
    <w:p w14:paraId="12646A07">
      <w:pPr>
        <w:ind w:firstLine="480"/>
        <w:rPr>
          <w:lang w:eastAsia="zh-CN"/>
        </w:rPr>
      </w:pPr>
      <w:r>
        <w:rPr>
          <w:rFonts w:hint="eastAsia"/>
          <w:lang w:eastAsia="zh-CN"/>
        </w:rPr>
        <w:t>(5)尽量利用现有道路改建，以利节约投资，少占耕地和林地。</w:t>
      </w:r>
    </w:p>
    <w:p w14:paraId="31443CA0">
      <w:pPr>
        <w:ind w:firstLine="480"/>
        <w:rPr>
          <w:lang w:eastAsia="zh-CN"/>
        </w:rPr>
      </w:pPr>
      <w:r>
        <w:rPr>
          <w:rFonts w:hint="eastAsia"/>
          <w:lang w:eastAsia="zh-CN"/>
        </w:rPr>
        <w:t>(6)主干道、支道合理配置形成完整的交通网络。</w:t>
      </w:r>
    </w:p>
    <w:p w14:paraId="21D694CD">
      <w:pPr>
        <w:spacing w:before="51"/>
        <w:ind w:firstLine="480"/>
        <w:rPr>
          <w:rFonts w:cs="Times New Roman"/>
          <w:szCs w:val="24"/>
          <w:lang w:eastAsia="zh-CN"/>
        </w:rPr>
      </w:pPr>
      <w:r>
        <w:rPr>
          <w:rFonts w:hint="eastAsia" w:cs="Times New Roman"/>
          <w:szCs w:val="24"/>
          <w:lang w:eastAsia="zh-CN"/>
        </w:rPr>
        <w:t>根据以上原则，林场内的林区公路和巡护林道的路网布设比较合理，可满足林场的经营活动和职工生活需要，因此，本经营期不规划新建林区公路和巡护道路，只对部分道路进行改造。</w:t>
      </w:r>
    </w:p>
    <w:p w14:paraId="40174BAC">
      <w:pPr>
        <w:pStyle w:val="4"/>
      </w:pPr>
      <w:r>
        <w:rPr>
          <w:rFonts w:hint="eastAsia"/>
        </w:rPr>
        <w:t>9.1.</w:t>
      </w:r>
      <w:r>
        <w:rPr>
          <w:rFonts w:hint="eastAsia"/>
          <w:lang w:val="en-US" w:eastAsia="zh-CN"/>
        </w:rPr>
        <w:t>3</w:t>
      </w:r>
      <w:r>
        <w:rPr>
          <w:rFonts w:hint="eastAsia"/>
        </w:rPr>
        <w:t>林区公路改造</w:t>
      </w:r>
    </w:p>
    <w:p w14:paraId="58BEDF19">
      <w:pPr>
        <w:ind w:firstLine="480"/>
        <w:rPr>
          <w:lang w:eastAsia="zh-CN"/>
        </w:rPr>
      </w:pPr>
      <w:r>
        <w:rPr>
          <w:rFonts w:hint="eastAsia"/>
          <w:lang w:eastAsia="zh-CN"/>
        </w:rPr>
        <w:t>本经营期不规划新建林区公路，只对原有进行维护和提质改造。林场内现有公路8条，共91.7km，其中三级公路三条长69.7km，四级公路5条长22km。三级公路本经营期做好养护。其他五条四级公路等级低，有些公路年久失修，坑坑洼洼，高低不平，有些路面较窄，不便会车，有些已出现塌方、下陷，断裂，有的到现在都没有硬，应组织资金、劳力进行维修、扩建，进行提质改造。林场林区道路现状及规划公路详见表9-1和9-2。</w:t>
      </w:r>
    </w:p>
    <w:p w14:paraId="2D81A537">
      <w:pPr>
        <w:spacing w:line="240" w:lineRule="auto"/>
        <w:ind w:firstLine="0" w:firstLineChars="0"/>
        <w:jc w:val="center"/>
        <w:rPr>
          <w:rFonts w:eastAsia="黑体" w:cs="宋体"/>
          <w:b/>
          <w:lang w:eastAsia="zh-CN"/>
        </w:rPr>
      </w:pPr>
      <w:r>
        <w:rPr>
          <w:rFonts w:hint="eastAsia" w:eastAsia="黑体" w:cs="宋体"/>
          <w:b/>
          <w:bCs/>
          <w:lang w:eastAsia="zh-CN"/>
        </w:rPr>
        <w:t>表</w:t>
      </w:r>
      <w:r>
        <w:rPr>
          <w:rFonts w:eastAsia="黑体" w:cs="Times New Roman"/>
          <w:b/>
          <w:bCs/>
          <w:lang w:eastAsia="zh-CN"/>
        </w:rPr>
        <w:t>9-1</w:t>
      </w:r>
      <w:r>
        <w:rPr>
          <w:rFonts w:hint="eastAsia" w:eastAsia="黑体" w:cs="宋体"/>
          <w:b/>
          <w:lang w:eastAsia="zh-CN"/>
        </w:rPr>
        <w:t>林区公路现状表</w:t>
      </w:r>
    </w:p>
    <w:p w14:paraId="61ABEE5E">
      <w:pPr>
        <w:spacing w:line="240" w:lineRule="auto"/>
        <w:ind w:firstLine="0" w:firstLineChars="0"/>
        <w:jc w:val="right"/>
        <w:rPr>
          <w:rFonts w:cs="宋体"/>
          <w:sz w:val="21"/>
          <w:lang w:eastAsia="zh-CN"/>
        </w:rPr>
      </w:pPr>
      <w:r>
        <w:rPr>
          <w:rFonts w:hint="eastAsia" w:cs="宋体"/>
          <w:sz w:val="21"/>
        </w:rPr>
        <w:t>单位：</w:t>
      </w:r>
      <w:r>
        <w:rPr>
          <w:rFonts w:hint="eastAsia" w:cs="宋体"/>
          <w:sz w:val="21"/>
          <w:lang w:eastAsia="zh-CN"/>
        </w:rPr>
        <w:t>km</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4"/>
        <w:gridCol w:w="1956"/>
        <w:gridCol w:w="1484"/>
        <w:gridCol w:w="1484"/>
        <w:gridCol w:w="1484"/>
        <w:gridCol w:w="1485"/>
      </w:tblGrid>
      <w:tr w14:paraId="7E284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9" w:type="pct"/>
            <w:vAlign w:val="center"/>
          </w:tcPr>
          <w:p w14:paraId="1BE47F9E">
            <w:pPr>
              <w:widowControl w:val="0"/>
              <w:spacing w:line="240" w:lineRule="auto"/>
              <w:ind w:firstLine="0" w:firstLineChars="0"/>
              <w:jc w:val="center"/>
              <w:rPr>
                <w:rFonts w:ascii="Calibri" w:hAnsi="Calibri" w:cs="Times New Roman"/>
                <w:sz w:val="21"/>
              </w:rPr>
            </w:pPr>
            <w:r>
              <w:rPr>
                <w:rFonts w:ascii="Calibri" w:hAnsi="Calibri" w:cs="Times New Roman"/>
                <w:sz w:val="21"/>
              </w:rPr>
              <w:t>序号</w:t>
            </w:r>
          </w:p>
        </w:tc>
        <w:tc>
          <w:tcPr>
            <w:tcW w:w="1098" w:type="pct"/>
            <w:vAlign w:val="center"/>
          </w:tcPr>
          <w:p w14:paraId="2800805B">
            <w:pPr>
              <w:widowControl w:val="0"/>
              <w:spacing w:line="240" w:lineRule="auto"/>
              <w:ind w:firstLine="0" w:firstLineChars="0"/>
              <w:jc w:val="center"/>
              <w:rPr>
                <w:rFonts w:ascii="Calibri" w:hAnsi="Calibri" w:cs="Times New Roman"/>
                <w:sz w:val="21"/>
              </w:rPr>
            </w:pPr>
            <w:r>
              <w:rPr>
                <w:rFonts w:ascii="Calibri" w:hAnsi="Calibri" w:cs="Times New Roman"/>
                <w:sz w:val="21"/>
              </w:rPr>
              <w:t>线路名</w:t>
            </w:r>
          </w:p>
        </w:tc>
        <w:tc>
          <w:tcPr>
            <w:tcW w:w="833" w:type="pct"/>
            <w:vAlign w:val="center"/>
          </w:tcPr>
          <w:p w14:paraId="3648E020">
            <w:pPr>
              <w:widowControl w:val="0"/>
              <w:spacing w:line="240" w:lineRule="auto"/>
              <w:ind w:firstLine="0" w:firstLineChars="0"/>
              <w:jc w:val="center"/>
              <w:rPr>
                <w:rFonts w:ascii="Calibri" w:hAnsi="Calibri" w:cs="Times New Roman"/>
                <w:sz w:val="21"/>
              </w:rPr>
            </w:pPr>
            <w:r>
              <w:rPr>
                <w:rFonts w:ascii="Calibri" w:hAnsi="Calibri" w:cs="Times New Roman"/>
                <w:sz w:val="21"/>
              </w:rPr>
              <w:t>起点</w:t>
            </w:r>
          </w:p>
        </w:tc>
        <w:tc>
          <w:tcPr>
            <w:tcW w:w="833" w:type="pct"/>
            <w:vAlign w:val="center"/>
          </w:tcPr>
          <w:p w14:paraId="24CB06E4">
            <w:pPr>
              <w:widowControl w:val="0"/>
              <w:spacing w:line="240" w:lineRule="auto"/>
              <w:ind w:firstLine="0" w:firstLineChars="0"/>
              <w:jc w:val="center"/>
              <w:rPr>
                <w:rFonts w:ascii="Calibri" w:hAnsi="Calibri" w:cs="Times New Roman"/>
                <w:sz w:val="21"/>
              </w:rPr>
            </w:pPr>
            <w:r>
              <w:rPr>
                <w:rFonts w:ascii="Calibri" w:hAnsi="Calibri" w:cs="Times New Roman"/>
                <w:sz w:val="21"/>
              </w:rPr>
              <w:t>终点</w:t>
            </w:r>
          </w:p>
        </w:tc>
        <w:tc>
          <w:tcPr>
            <w:tcW w:w="833" w:type="pct"/>
            <w:vAlign w:val="center"/>
          </w:tcPr>
          <w:p w14:paraId="1BD41573">
            <w:pPr>
              <w:widowControl w:val="0"/>
              <w:spacing w:line="240" w:lineRule="auto"/>
              <w:ind w:firstLine="0" w:firstLineChars="0"/>
              <w:jc w:val="center"/>
              <w:rPr>
                <w:rFonts w:ascii="Calibri" w:hAnsi="Calibri" w:cs="Times New Roman"/>
                <w:sz w:val="21"/>
              </w:rPr>
            </w:pPr>
            <w:r>
              <w:rPr>
                <w:rFonts w:ascii="Calibri" w:hAnsi="Calibri" w:cs="Times New Roman"/>
                <w:sz w:val="21"/>
              </w:rPr>
              <w:t>等级</w:t>
            </w:r>
          </w:p>
        </w:tc>
        <w:tc>
          <w:tcPr>
            <w:tcW w:w="833" w:type="pct"/>
            <w:vAlign w:val="center"/>
          </w:tcPr>
          <w:p w14:paraId="32478E3B">
            <w:pPr>
              <w:widowControl w:val="0"/>
              <w:spacing w:line="240" w:lineRule="auto"/>
              <w:ind w:firstLine="0" w:firstLineChars="0"/>
              <w:jc w:val="center"/>
              <w:rPr>
                <w:rFonts w:ascii="Calibri" w:hAnsi="Calibri" w:cs="Times New Roman"/>
                <w:sz w:val="21"/>
              </w:rPr>
            </w:pPr>
            <w:r>
              <w:rPr>
                <w:rFonts w:ascii="Calibri" w:hAnsi="Calibri" w:cs="Times New Roman"/>
                <w:sz w:val="21"/>
              </w:rPr>
              <w:t>里程</w:t>
            </w:r>
          </w:p>
        </w:tc>
      </w:tr>
      <w:tr w14:paraId="735C9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9" w:type="pct"/>
            <w:vAlign w:val="center"/>
          </w:tcPr>
          <w:p w14:paraId="6996A1DC">
            <w:pPr>
              <w:widowControl w:val="0"/>
              <w:spacing w:line="240" w:lineRule="auto"/>
              <w:ind w:firstLine="0" w:firstLineChars="0"/>
              <w:jc w:val="center"/>
              <w:rPr>
                <w:rFonts w:ascii="Calibri" w:hAnsi="Calibri" w:cs="Times New Roman"/>
                <w:sz w:val="21"/>
              </w:rPr>
            </w:pPr>
            <w:r>
              <w:rPr>
                <w:rFonts w:ascii="Calibri" w:hAnsi="Calibri" w:cs="Times New Roman"/>
                <w:sz w:val="21"/>
              </w:rPr>
              <w:t>1</w:t>
            </w:r>
          </w:p>
        </w:tc>
        <w:tc>
          <w:tcPr>
            <w:tcW w:w="1098" w:type="pct"/>
            <w:vAlign w:val="center"/>
          </w:tcPr>
          <w:p w14:paraId="52CC5F8B">
            <w:pPr>
              <w:widowControl w:val="0"/>
              <w:spacing w:line="240" w:lineRule="auto"/>
              <w:ind w:firstLine="0" w:firstLineChars="0"/>
              <w:jc w:val="center"/>
              <w:rPr>
                <w:rFonts w:ascii="Calibri" w:hAnsi="Calibri" w:cs="Times New Roman"/>
                <w:sz w:val="21"/>
              </w:rPr>
            </w:pPr>
            <w:r>
              <w:rPr>
                <w:rFonts w:ascii="Calibri" w:hAnsi="Calibri" w:cs="Times New Roman"/>
                <w:sz w:val="21"/>
              </w:rPr>
              <w:t>红阳公路</w:t>
            </w:r>
          </w:p>
        </w:tc>
        <w:tc>
          <w:tcPr>
            <w:tcW w:w="833" w:type="pct"/>
            <w:vAlign w:val="center"/>
          </w:tcPr>
          <w:p w14:paraId="057A438C">
            <w:pPr>
              <w:widowControl w:val="0"/>
              <w:spacing w:line="240" w:lineRule="auto"/>
              <w:ind w:firstLine="0" w:firstLineChars="0"/>
              <w:jc w:val="center"/>
              <w:rPr>
                <w:rFonts w:ascii="Calibri" w:hAnsi="Calibri" w:cs="Times New Roman"/>
                <w:sz w:val="21"/>
              </w:rPr>
            </w:pPr>
            <w:r>
              <w:rPr>
                <w:rFonts w:ascii="Calibri" w:hAnsi="Calibri" w:cs="Times New Roman"/>
                <w:sz w:val="21"/>
              </w:rPr>
              <w:t>红水岭</w:t>
            </w:r>
          </w:p>
        </w:tc>
        <w:tc>
          <w:tcPr>
            <w:tcW w:w="833" w:type="pct"/>
            <w:vAlign w:val="center"/>
          </w:tcPr>
          <w:p w14:paraId="3E7E027D">
            <w:pPr>
              <w:widowControl w:val="0"/>
              <w:spacing w:line="240" w:lineRule="auto"/>
              <w:ind w:firstLine="0" w:firstLineChars="0"/>
              <w:jc w:val="center"/>
              <w:rPr>
                <w:rFonts w:ascii="Calibri" w:hAnsi="Calibri" w:cs="Times New Roman"/>
                <w:sz w:val="21"/>
              </w:rPr>
            </w:pPr>
            <w:r>
              <w:rPr>
                <w:rFonts w:ascii="Calibri" w:hAnsi="Calibri" w:cs="Times New Roman"/>
                <w:sz w:val="21"/>
              </w:rPr>
              <w:t>黄柏洞</w:t>
            </w:r>
          </w:p>
        </w:tc>
        <w:tc>
          <w:tcPr>
            <w:tcW w:w="833" w:type="pct"/>
            <w:vAlign w:val="center"/>
          </w:tcPr>
          <w:p w14:paraId="03324AD5">
            <w:pPr>
              <w:widowControl w:val="0"/>
              <w:spacing w:line="240" w:lineRule="auto"/>
              <w:ind w:firstLine="0" w:firstLineChars="0"/>
              <w:jc w:val="center"/>
              <w:rPr>
                <w:rFonts w:ascii="Calibri" w:hAnsi="Calibri" w:cs="Times New Roman"/>
                <w:sz w:val="21"/>
              </w:rPr>
            </w:pPr>
            <w:r>
              <w:rPr>
                <w:rFonts w:ascii="Calibri" w:hAnsi="Calibri" w:cs="Times New Roman"/>
                <w:sz w:val="21"/>
              </w:rPr>
              <w:t>Ⅲ级</w:t>
            </w:r>
          </w:p>
        </w:tc>
        <w:tc>
          <w:tcPr>
            <w:tcW w:w="833" w:type="pct"/>
            <w:vAlign w:val="center"/>
          </w:tcPr>
          <w:p w14:paraId="3B6D838D">
            <w:pPr>
              <w:widowControl w:val="0"/>
              <w:spacing w:line="240" w:lineRule="auto"/>
              <w:ind w:firstLine="0" w:firstLineChars="0"/>
              <w:jc w:val="center"/>
              <w:rPr>
                <w:rFonts w:ascii="Calibri" w:hAnsi="Calibri" w:cs="Times New Roman"/>
                <w:sz w:val="21"/>
              </w:rPr>
            </w:pPr>
            <w:r>
              <w:rPr>
                <w:rFonts w:ascii="Calibri" w:hAnsi="Calibri" w:cs="Times New Roman"/>
                <w:sz w:val="21"/>
              </w:rPr>
              <w:t>18.7</w:t>
            </w:r>
          </w:p>
        </w:tc>
      </w:tr>
      <w:tr w14:paraId="7F966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9" w:type="pct"/>
            <w:vAlign w:val="center"/>
          </w:tcPr>
          <w:p w14:paraId="433C62E4">
            <w:pPr>
              <w:widowControl w:val="0"/>
              <w:spacing w:line="240" w:lineRule="auto"/>
              <w:ind w:firstLine="0" w:firstLineChars="0"/>
              <w:jc w:val="center"/>
              <w:rPr>
                <w:rFonts w:ascii="Calibri" w:hAnsi="Calibri" w:cs="Times New Roman"/>
                <w:sz w:val="21"/>
              </w:rPr>
            </w:pPr>
            <w:r>
              <w:rPr>
                <w:rFonts w:ascii="Calibri" w:hAnsi="Calibri" w:cs="Times New Roman"/>
                <w:sz w:val="21"/>
              </w:rPr>
              <w:t>2</w:t>
            </w:r>
          </w:p>
        </w:tc>
        <w:tc>
          <w:tcPr>
            <w:tcW w:w="1098" w:type="pct"/>
            <w:vAlign w:val="center"/>
          </w:tcPr>
          <w:p w14:paraId="7EAA9778">
            <w:pPr>
              <w:widowControl w:val="0"/>
              <w:spacing w:line="240" w:lineRule="auto"/>
              <w:ind w:firstLine="0" w:firstLineChars="0"/>
              <w:jc w:val="center"/>
              <w:rPr>
                <w:rFonts w:ascii="Calibri" w:hAnsi="Calibri" w:cs="Times New Roman"/>
                <w:sz w:val="21"/>
              </w:rPr>
            </w:pPr>
            <w:r>
              <w:rPr>
                <w:rFonts w:ascii="Calibri" w:hAnsi="Calibri" w:cs="Times New Roman"/>
                <w:sz w:val="21"/>
              </w:rPr>
              <w:t>阳微公路</w:t>
            </w:r>
          </w:p>
        </w:tc>
        <w:tc>
          <w:tcPr>
            <w:tcW w:w="833" w:type="pct"/>
            <w:vAlign w:val="center"/>
          </w:tcPr>
          <w:p w14:paraId="7181E435">
            <w:pPr>
              <w:widowControl w:val="0"/>
              <w:spacing w:line="240" w:lineRule="auto"/>
              <w:ind w:firstLine="0" w:firstLineChars="0"/>
              <w:jc w:val="center"/>
              <w:rPr>
                <w:rFonts w:ascii="Calibri" w:hAnsi="Calibri" w:cs="Times New Roman"/>
                <w:sz w:val="21"/>
              </w:rPr>
            </w:pPr>
            <w:r>
              <w:rPr>
                <w:rFonts w:ascii="Calibri" w:hAnsi="Calibri" w:cs="Times New Roman"/>
                <w:sz w:val="21"/>
              </w:rPr>
              <w:t>黄柏洞</w:t>
            </w:r>
          </w:p>
        </w:tc>
        <w:tc>
          <w:tcPr>
            <w:tcW w:w="833" w:type="pct"/>
            <w:vAlign w:val="center"/>
          </w:tcPr>
          <w:p w14:paraId="1F1CAAC9">
            <w:pPr>
              <w:widowControl w:val="0"/>
              <w:spacing w:line="240" w:lineRule="auto"/>
              <w:ind w:firstLine="0" w:firstLineChars="0"/>
              <w:jc w:val="center"/>
              <w:rPr>
                <w:rFonts w:ascii="Calibri" w:hAnsi="Calibri" w:cs="Times New Roman"/>
                <w:sz w:val="21"/>
              </w:rPr>
            </w:pPr>
            <w:r>
              <w:rPr>
                <w:rFonts w:ascii="Calibri" w:hAnsi="Calibri" w:cs="Times New Roman"/>
                <w:sz w:val="21"/>
              </w:rPr>
              <w:t>微波台</w:t>
            </w:r>
          </w:p>
        </w:tc>
        <w:tc>
          <w:tcPr>
            <w:tcW w:w="833" w:type="pct"/>
            <w:vAlign w:val="center"/>
          </w:tcPr>
          <w:p w14:paraId="29D0994B">
            <w:pPr>
              <w:widowControl w:val="0"/>
              <w:spacing w:line="240" w:lineRule="auto"/>
              <w:ind w:firstLine="0" w:firstLineChars="0"/>
              <w:jc w:val="center"/>
              <w:rPr>
                <w:rFonts w:ascii="Calibri" w:hAnsi="Calibri" w:cs="Times New Roman"/>
                <w:sz w:val="21"/>
              </w:rPr>
            </w:pPr>
            <w:r>
              <w:rPr>
                <w:rFonts w:ascii="Calibri" w:hAnsi="Calibri" w:cs="Times New Roman"/>
                <w:sz w:val="21"/>
              </w:rPr>
              <w:t>Ⅲ级</w:t>
            </w:r>
          </w:p>
        </w:tc>
        <w:tc>
          <w:tcPr>
            <w:tcW w:w="833" w:type="pct"/>
            <w:vAlign w:val="center"/>
          </w:tcPr>
          <w:p w14:paraId="42959588">
            <w:pPr>
              <w:widowControl w:val="0"/>
              <w:spacing w:line="240" w:lineRule="auto"/>
              <w:ind w:firstLine="0" w:firstLineChars="0"/>
              <w:jc w:val="center"/>
              <w:rPr>
                <w:rFonts w:ascii="Calibri" w:hAnsi="Calibri" w:cs="Times New Roman"/>
                <w:sz w:val="21"/>
              </w:rPr>
            </w:pPr>
            <w:r>
              <w:rPr>
                <w:rFonts w:ascii="Calibri" w:hAnsi="Calibri" w:cs="Times New Roman"/>
                <w:sz w:val="21"/>
              </w:rPr>
              <w:t>21</w:t>
            </w:r>
          </w:p>
        </w:tc>
      </w:tr>
      <w:tr w14:paraId="6FCA5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9" w:type="pct"/>
            <w:vAlign w:val="center"/>
          </w:tcPr>
          <w:p w14:paraId="4704670F">
            <w:pPr>
              <w:widowControl w:val="0"/>
              <w:spacing w:line="240" w:lineRule="auto"/>
              <w:ind w:firstLine="0" w:firstLineChars="0"/>
              <w:jc w:val="center"/>
              <w:rPr>
                <w:rFonts w:ascii="Calibri" w:hAnsi="Calibri" w:cs="Times New Roman"/>
                <w:sz w:val="21"/>
              </w:rPr>
            </w:pPr>
            <w:r>
              <w:rPr>
                <w:rFonts w:ascii="Calibri" w:hAnsi="Calibri" w:cs="Times New Roman"/>
                <w:sz w:val="21"/>
              </w:rPr>
              <w:t>3</w:t>
            </w:r>
          </w:p>
        </w:tc>
        <w:tc>
          <w:tcPr>
            <w:tcW w:w="1098" w:type="pct"/>
            <w:vAlign w:val="center"/>
          </w:tcPr>
          <w:p w14:paraId="0EF27B00">
            <w:pPr>
              <w:widowControl w:val="0"/>
              <w:spacing w:line="240" w:lineRule="auto"/>
              <w:ind w:firstLine="0" w:firstLineChars="0"/>
              <w:jc w:val="center"/>
              <w:rPr>
                <w:rFonts w:ascii="Calibri" w:hAnsi="Calibri" w:cs="Times New Roman"/>
                <w:sz w:val="21"/>
              </w:rPr>
            </w:pPr>
            <w:r>
              <w:rPr>
                <w:rFonts w:ascii="Calibri" w:hAnsi="Calibri" w:cs="Times New Roman"/>
                <w:sz w:val="21"/>
              </w:rPr>
              <w:t>茶阳公路</w:t>
            </w:r>
          </w:p>
        </w:tc>
        <w:tc>
          <w:tcPr>
            <w:tcW w:w="833" w:type="pct"/>
            <w:vAlign w:val="center"/>
          </w:tcPr>
          <w:p w14:paraId="07656C98">
            <w:pPr>
              <w:widowControl w:val="0"/>
              <w:spacing w:line="240" w:lineRule="auto"/>
              <w:ind w:firstLine="0" w:firstLineChars="0"/>
              <w:jc w:val="center"/>
              <w:rPr>
                <w:rFonts w:ascii="Calibri" w:hAnsi="Calibri" w:cs="Times New Roman"/>
                <w:sz w:val="21"/>
              </w:rPr>
            </w:pPr>
            <w:r>
              <w:rPr>
                <w:rFonts w:ascii="Calibri" w:hAnsi="Calibri" w:cs="Times New Roman"/>
                <w:sz w:val="21"/>
              </w:rPr>
              <w:t>茶林</w:t>
            </w:r>
          </w:p>
        </w:tc>
        <w:tc>
          <w:tcPr>
            <w:tcW w:w="833" w:type="pct"/>
            <w:vAlign w:val="center"/>
          </w:tcPr>
          <w:p w14:paraId="5903C288">
            <w:pPr>
              <w:widowControl w:val="0"/>
              <w:spacing w:line="240" w:lineRule="auto"/>
              <w:ind w:firstLine="0" w:firstLineChars="0"/>
              <w:jc w:val="center"/>
              <w:rPr>
                <w:rFonts w:ascii="Calibri" w:hAnsi="Calibri" w:cs="Times New Roman"/>
                <w:sz w:val="21"/>
              </w:rPr>
            </w:pPr>
            <w:r>
              <w:rPr>
                <w:rFonts w:ascii="Calibri" w:hAnsi="Calibri" w:cs="Times New Roman"/>
                <w:sz w:val="21"/>
              </w:rPr>
              <w:t>黄柏洞</w:t>
            </w:r>
          </w:p>
        </w:tc>
        <w:tc>
          <w:tcPr>
            <w:tcW w:w="833" w:type="pct"/>
            <w:vAlign w:val="center"/>
          </w:tcPr>
          <w:p w14:paraId="004AC7E8">
            <w:pPr>
              <w:widowControl w:val="0"/>
              <w:spacing w:line="240" w:lineRule="auto"/>
              <w:ind w:firstLine="0" w:firstLineChars="0"/>
              <w:jc w:val="center"/>
              <w:rPr>
                <w:rFonts w:ascii="Calibri" w:hAnsi="Calibri" w:cs="Times New Roman"/>
                <w:sz w:val="21"/>
              </w:rPr>
            </w:pPr>
            <w:r>
              <w:rPr>
                <w:rFonts w:ascii="Calibri" w:hAnsi="Calibri" w:cs="Times New Roman"/>
                <w:sz w:val="21"/>
              </w:rPr>
              <w:t>Ⅲ级</w:t>
            </w:r>
          </w:p>
        </w:tc>
        <w:tc>
          <w:tcPr>
            <w:tcW w:w="833" w:type="pct"/>
            <w:vAlign w:val="center"/>
          </w:tcPr>
          <w:p w14:paraId="4FE3C35B">
            <w:pPr>
              <w:widowControl w:val="0"/>
              <w:spacing w:line="240" w:lineRule="auto"/>
              <w:ind w:firstLine="0" w:firstLineChars="0"/>
              <w:jc w:val="center"/>
              <w:rPr>
                <w:rFonts w:ascii="Calibri" w:hAnsi="Calibri" w:cs="Times New Roman"/>
                <w:sz w:val="21"/>
              </w:rPr>
            </w:pPr>
            <w:r>
              <w:rPr>
                <w:rFonts w:ascii="Calibri" w:hAnsi="Calibri" w:cs="Times New Roman"/>
                <w:sz w:val="21"/>
              </w:rPr>
              <w:t>30</w:t>
            </w:r>
          </w:p>
        </w:tc>
      </w:tr>
      <w:tr w14:paraId="66EB7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9" w:type="pct"/>
            <w:vAlign w:val="center"/>
          </w:tcPr>
          <w:p w14:paraId="41630EB5">
            <w:pPr>
              <w:widowControl w:val="0"/>
              <w:spacing w:line="240" w:lineRule="auto"/>
              <w:ind w:firstLine="0" w:firstLineChars="0"/>
              <w:jc w:val="center"/>
              <w:rPr>
                <w:rFonts w:ascii="Calibri" w:hAnsi="Calibri" w:cs="Times New Roman"/>
                <w:sz w:val="21"/>
              </w:rPr>
            </w:pPr>
            <w:r>
              <w:rPr>
                <w:rFonts w:ascii="Calibri" w:hAnsi="Calibri" w:cs="Times New Roman"/>
                <w:sz w:val="21"/>
              </w:rPr>
              <w:t>4</w:t>
            </w:r>
          </w:p>
        </w:tc>
        <w:tc>
          <w:tcPr>
            <w:tcW w:w="1098" w:type="pct"/>
            <w:vAlign w:val="center"/>
          </w:tcPr>
          <w:p w14:paraId="10380242">
            <w:pPr>
              <w:widowControl w:val="0"/>
              <w:spacing w:line="240" w:lineRule="auto"/>
              <w:ind w:firstLine="0" w:firstLineChars="0"/>
              <w:jc w:val="center"/>
              <w:rPr>
                <w:rFonts w:ascii="Calibri" w:hAnsi="Calibri" w:cs="Times New Roman"/>
                <w:sz w:val="21"/>
              </w:rPr>
            </w:pPr>
            <w:r>
              <w:rPr>
                <w:rFonts w:ascii="Calibri" w:hAnsi="Calibri" w:cs="Times New Roman"/>
                <w:sz w:val="21"/>
              </w:rPr>
              <w:t>叶子漯公路</w:t>
            </w:r>
          </w:p>
        </w:tc>
        <w:tc>
          <w:tcPr>
            <w:tcW w:w="833" w:type="pct"/>
            <w:vAlign w:val="center"/>
          </w:tcPr>
          <w:p w14:paraId="4FBB62E9">
            <w:pPr>
              <w:widowControl w:val="0"/>
              <w:spacing w:line="240" w:lineRule="auto"/>
              <w:ind w:firstLine="0" w:firstLineChars="0"/>
              <w:jc w:val="center"/>
              <w:rPr>
                <w:rFonts w:ascii="Calibri" w:hAnsi="Calibri" w:cs="Times New Roman"/>
                <w:sz w:val="21"/>
              </w:rPr>
            </w:pPr>
            <w:r>
              <w:rPr>
                <w:rFonts w:ascii="Calibri" w:hAnsi="Calibri" w:cs="Times New Roman"/>
                <w:sz w:val="21"/>
              </w:rPr>
              <w:t>神仙谷</w:t>
            </w:r>
          </w:p>
        </w:tc>
        <w:tc>
          <w:tcPr>
            <w:tcW w:w="833" w:type="pct"/>
            <w:vAlign w:val="center"/>
          </w:tcPr>
          <w:p w14:paraId="62CE62AE">
            <w:pPr>
              <w:widowControl w:val="0"/>
              <w:spacing w:line="240" w:lineRule="auto"/>
              <w:ind w:firstLine="0" w:firstLineChars="0"/>
              <w:jc w:val="center"/>
              <w:rPr>
                <w:rFonts w:ascii="Calibri" w:hAnsi="Calibri" w:cs="Times New Roman"/>
                <w:sz w:val="21"/>
              </w:rPr>
            </w:pPr>
            <w:r>
              <w:rPr>
                <w:rFonts w:ascii="Calibri" w:hAnsi="Calibri" w:cs="Times New Roman"/>
                <w:sz w:val="21"/>
              </w:rPr>
              <w:t>老屋场</w:t>
            </w:r>
          </w:p>
        </w:tc>
        <w:tc>
          <w:tcPr>
            <w:tcW w:w="833" w:type="pct"/>
            <w:vAlign w:val="center"/>
          </w:tcPr>
          <w:p w14:paraId="22AC857B">
            <w:pPr>
              <w:widowControl w:val="0"/>
              <w:spacing w:line="240" w:lineRule="auto"/>
              <w:ind w:firstLine="0" w:firstLineChars="0"/>
              <w:jc w:val="center"/>
              <w:rPr>
                <w:rFonts w:ascii="Calibri" w:hAnsi="Calibri" w:cs="Times New Roman"/>
                <w:sz w:val="21"/>
              </w:rPr>
            </w:pPr>
            <w:r>
              <w:rPr>
                <w:rFonts w:ascii="Calibri" w:hAnsi="Calibri" w:cs="Times New Roman"/>
                <w:sz w:val="21"/>
              </w:rPr>
              <w:t>Ⅳ级</w:t>
            </w:r>
          </w:p>
        </w:tc>
        <w:tc>
          <w:tcPr>
            <w:tcW w:w="833" w:type="pct"/>
            <w:vAlign w:val="center"/>
          </w:tcPr>
          <w:p w14:paraId="4F89721C">
            <w:pPr>
              <w:widowControl w:val="0"/>
              <w:spacing w:line="240" w:lineRule="auto"/>
              <w:ind w:firstLine="0" w:firstLineChars="0"/>
              <w:jc w:val="center"/>
              <w:rPr>
                <w:rFonts w:ascii="Calibri" w:hAnsi="Calibri" w:cs="Times New Roman"/>
                <w:sz w:val="21"/>
              </w:rPr>
            </w:pPr>
            <w:r>
              <w:rPr>
                <w:rFonts w:ascii="Calibri" w:hAnsi="Calibri" w:cs="Times New Roman"/>
                <w:sz w:val="21"/>
              </w:rPr>
              <w:t>3.5</w:t>
            </w:r>
          </w:p>
        </w:tc>
      </w:tr>
      <w:tr w14:paraId="28613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9" w:type="pct"/>
            <w:vAlign w:val="center"/>
          </w:tcPr>
          <w:p w14:paraId="73827298">
            <w:pPr>
              <w:widowControl w:val="0"/>
              <w:spacing w:line="240" w:lineRule="auto"/>
              <w:ind w:firstLine="0" w:firstLineChars="0"/>
              <w:jc w:val="center"/>
              <w:rPr>
                <w:rFonts w:ascii="Calibri" w:hAnsi="Calibri" w:cs="Times New Roman"/>
                <w:sz w:val="21"/>
              </w:rPr>
            </w:pPr>
            <w:r>
              <w:rPr>
                <w:rFonts w:ascii="Calibri" w:hAnsi="Calibri" w:cs="Times New Roman"/>
                <w:sz w:val="21"/>
              </w:rPr>
              <w:t>5</w:t>
            </w:r>
          </w:p>
        </w:tc>
        <w:tc>
          <w:tcPr>
            <w:tcW w:w="1098" w:type="pct"/>
            <w:vAlign w:val="center"/>
          </w:tcPr>
          <w:p w14:paraId="6E73208F">
            <w:pPr>
              <w:widowControl w:val="0"/>
              <w:spacing w:line="240" w:lineRule="auto"/>
              <w:ind w:firstLine="0" w:firstLineChars="0"/>
              <w:jc w:val="center"/>
              <w:rPr>
                <w:rFonts w:ascii="Calibri" w:hAnsi="Calibri" w:cs="Times New Roman"/>
                <w:sz w:val="21"/>
              </w:rPr>
            </w:pPr>
            <w:r>
              <w:rPr>
                <w:rFonts w:ascii="Calibri" w:hAnsi="Calibri" w:cs="Times New Roman"/>
                <w:sz w:val="21"/>
              </w:rPr>
              <w:t>阿万公路</w:t>
            </w:r>
          </w:p>
        </w:tc>
        <w:tc>
          <w:tcPr>
            <w:tcW w:w="833" w:type="pct"/>
            <w:vAlign w:val="center"/>
          </w:tcPr>
          <w:p w14:paraId="51B50B27">
            <w:pPr>
              <w:widowControl w:val="0"/>
              <w:spacing w:line="240" w:lineRule="auto"/>
              <w:ind w:firstLine="0" w:firstLineChars="0"/>
              <w:jc w:val="center"/>
              <w:rPr>
                <w:rFonts w:ascii="Calibri" w:hAnsi="Calibri" w:cs="Times New Roman"/>
                <w:sz w:val="21"/>
              </w:rPr>
            </w:pPr>
            <w:r>
              <w:rPr>
                <w:rFonts w:ascii="Calibri" w:hAnsi="Calibri" w:cs="Times New Roman"/>
                <w:sz w:val="21"/>
              </w:rPr>
              <w:t>阿弥它佛</w:t>
            </w:r>
          </w:p>
        </w:tc>
        <w:tc>
          <w:tcPr>
            <w:tcW w:w="833" w:type="pct"/>
            <w:vAlign w:val="center"/>
          </w:tcPr>
          <w:p w14:paraId="2979C517">
            <w:pPr>
              <w:widowControl w:val="0"/>
              <w:spacing w:line="240" w:lineRule="auto"/>
              <w:ind w:firstLine="0" w:firstLineChars="0"/>
              <w:jc w:val="center"/>
              <w:rPr>
                <w:rFonts w:ascii="Calibri" w:hAnsi="Calibri" w:cs="Times New Roman"/>
                <w:sz w:val="21"/>
              </w:rPr>
            </w:pPr>
            <w:r>
              <w:rPr>
                <w:rFonts w:ascii="Calibri" w:hAnsi="Calibri" w:cs="Times New Roman"/>
                <w:sz w:val="21"/>
              </w:rPr>
              <w:t>万和湖</w:t>
            </w:r>
          </w:p>
        </w:tc>
        <w:tc>
          <w:tcPr>
            <w:tcW w:w="833" w:type="pct"/>
            <w:vAlign w:val="center"/>
          </w:tcPr>
          <w:p w14:paraId="3F8AC8BD">
            <w:pPr>
              <w:widowControl w:val="0"/>
              <w:spacing w:line="240" w:lineRule="auto"/>
              <w:ind w:firstLine="0" w:firstLineChars="0"/>
              <w:jc w:val="center"/>
              <w:rPr>
                <w:rFonts w:ascii="Calibri" w:hAnsi="Calibri" w:cs="Times New Roman"/>
                <w:sz w:val="21"/>
              </w:rPr>
            </w:pPr>
            <w:r>
              <w:rPr>
                <w:rFonts w:ascii="Calibri" w:hAnsi="Calibri" w:cs="Times New Roman"/>
                <w:sz w:val="21"/>
              </w:rPr>
              <w:t>Ⅳ级</w:t>
            </w:r>
          </w:p>
        </w:tc>
        <w:tc>
          <w:tcPr>
            <w:tcW w:w="833" w:type="pct"/>
            <w:vAlign w:val="center"/>
          </w:tcPr>
          <w:p w14:paraId="4A43DC24">
            <w:pPr>
              <w:widowControl w:val="0"/>
              <w:spacing w:line="240" w:lineRule="auto"/>
              <w:ind w:firstLine="0" w:firstLineChars="0"/>
              <w:jc w:val="center"/>
              <w:rPr>
                <w:rFonts w:ascii="Calibri" w:hAnsi="Calibri" w:cs="Times New Roman"/>
                <w:sz w:val="21"/>
              </w:rPr>
            </w:pPr>
            <w:r>
              <w:rPr>
                <w:rFonts w:ascii="Calibri" w:hAnsi="Calibri" w:cs="Times New Roman"/>
                <w:sz w:val="21"/>
              </w:rPr>
              <w:t>4</w:t>
            </w:r>
          </w:p>
        </w:tc>
      </w:tr>
      <w:tr w14:paraId="75AAD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9" w:type="pct"/>
            <w:vAlign w:val="center"/>
          </w:tcPr>
          <w:p w14:paraId="34871639">
            <w:pPr>
              <w:widowControl w:val="0"/>
              <w:spacing w:line="240" w:lineRule="auto"/>
              <w:ind w:firstLine="0" w:firstLineChars="0"/>
              <w:jc w:val="center"/>
              <w:rPr>
                <w:rFonts w:ascii="Calibri" w:hAnsi="Calibri" w:cs="Times New Roman"/>
                <w:sz w:val="21"/>
              </w:rPr>
            </w:pPr>
            <w:r>
              <w:rPr>
                <w:rFonts w:ascii="Calibri" w:hAnsi="Calibri" w:cs="Times New Roman"/>
                <w:sz w:val="21"/>
              </w:rPr>
              <w:t>6</w:t>
            </w:r>
          </w:p>
        </w:tc>
        <w:tc>
          <w:tcPr>
            <w:tcW w:w="1098" w:type="pct"/>
            <w:vAlign w:val="center"/>
          </w:tcPr>
          <w:p w14:paraId="3D6C56C8">
            <w:pPr>
              <w:widowControl w:val="0"/>
              <w:spacing w:line="240" w:lineRule="auto"/>
              <w:ind w:firstLine="0" w:firstLineChars="0"/>
              <w:jc w:val="center"/>
              <w:rPr>
                <w:rFonts w:ascii="Calibri" w:hAnsi="Calibri" w:cs="Times New Roman"/>
                <w:sz w:val="21"/>
              </w:rPr>
            </w:pPr>
            <w:r>
              <w:rPr>
                <w:rFonts w:ascii="Calibri" w:hAnsi="Calibri" w:cs="Times New Roman"/>
                <w:sz w:val="21"/>
              </w:rPr>
              <w:t>菖黑公路</w:t>
            </w:r>
          </w:p>
        </w:tc>
        <w:tc>
          <w:tcPr>
            <w:tcW w:w="833" w:type="pct"/>
            <w:vAlign w:val="center"/>
          </w:tcPr>
          <w:p w14:paraId="004A1AD7">
            <w:pPr>
              <w:widowControl w:val="0"/>
              <w:spacing w:line="240" w:lineRule="auto"/>
              <w:ind w:firstLine="0" w:firstLineChars="0"/>
              <w:jc w:val="center"/>
              <w:rPr>
                <w:rFonts w:ascii="Calibri" w:hAnsi="Calibri" w:cs="Times New Roman"/>
                <w:sz w:val="21"/>
              </w:rPr>
            </w:pPr>
            <w:r>
              <w:rPr>
                <w:rFonts w:ascii="Calibri" w:hAnsi="Calibri" w:cs="Times New Roman"/>
                <w:sz w:val="21"/>
              </w:rPr>
              <w:t>菖莆源</w:t>
            </w:r>
          </w:p>
        </w:tc>
        <w:tc>
          <w:tcPr>
            <w:tcW w:w="833" w:type="pct"/>
            <w:vAlign w:val="center"/>
          </w:tcPr>
          <w:p w14:paraId="35F457F6">
            <w:pPr>
              <w:widowControl w:val="0"/>
              <w:spacing w:line="240" w:lineRule="auto"/>
              <w:ind w:firstLine="0" w:firstLineChars="0"/>
              <w:jc w:val="center"/>
              <w:rPr>
                <w:rFonts w:ascii="Calibri" w:hAnsi="Calibri" w:cs="Times New Roman"/>
                <w:sz w:val="21"/>
              </w:rPr>
            </w:pPr>
            <w:r>
              <w:rPr>
                <w:rFonts w:ascii="Calibri" w:hAnsi="Calibri" w:cs="Times New Roman"/>
                <w:sz w:val="21"/>
              </w:rPr>
              <w:t>黑暗漕</w:t>
            </w:r>
          </w:p>
        </w:tc>
        <w:tc>
          <w:tcPr>
            <w:tcW w:w="833" w:type="pct"/>
            <w:vAlign w:val="center"/>
          </w:tcPr>
          <w:p w14:paraId="79DF5880">
            <w:pPr>
              <w:widowControl w:val="0"/>
              <w:spacing w:line="240" w:lineRule="auto"/>
              <w:ind w:firstLine="0" w:firstLineChars="0"/>
              <w:jc w:val="center"/>
              <w:rPr>
                <w:rFonts w:ascii="Calibri" w:hAnsi="Calibri" w:cs="Times New Roman"/>
                <w:sz w:val="21"/>
              </w:rPr>
            </w:pPr>
            <w:r>
              <w:rPr>
                <w:rFonts w:ascii="Calibri" w:hAnsi="Calibri" w:cs="Times New Roman"/>
                <w:sz w:val="21"/>
              </w:rPr>
              <w:t>Ⅳ级</w:t>
            </w:r>
          </w:p>
        </w:tc>
        <w:tc>
          <w:tcPr>
            <w:tcW w:w="833" w:type="pct"/>
            <w:vAlign w:val="center"/>
          </w:tcPr>
          <w:p w14:paraId="08531074">
            <w:pPr>
              <w:widowControl w:val="0"/>
              <w:spacing w:line="240" w:lineRule="auto"/>
              <w:ind w:firstLine="0" w:firstLineChars="0"/>
              <w:jc w:val="center"/>
              <w:rPr>
                <w:rFonts w:ascii="Calibri" w:hAnsi="Calibri" w:cs="Times New Roman"/>
                <w:sz w:val="21"/>
              </w:rPr>
            </w:pPr>
            <w:r>
              <w:rPr>
                <w:rFonts w:ascii="Calibri" w:hAnsi="Calibri" w:cs="Times New Roman"/>
                <w:sz w:val="21"/>
              </w:rPr>
              <w:t>6.5</w:t>
            </w:r>
          </w:p>
        </w:tc>
      </w:tr>
      <w:tr w14:paraId="76B74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9" w:type="pct"/>
            <w:vAlign w:val="center"/>
          </w:tcPr>
          <w:p w14:paraId="3751BA6B">
            <w:pPr>
              <w:widowControl w:val="0"/>
              <w:spacing w:line="240" w:lineRule="auto"/>
              <w:ind w:firstLine="0" w:firstLineChars="0"/>
              <w:jc w:val="center"/>
              <w:rPr>
                <w:rFonts w:ascii="Calibri" w:hAnsi="Calibri" w:cs="Times New Roman"/>
                <w:sz w:val="21"/>
              </w:rPr>
            </w:pPr>
            <w:r>
              <w:rPr>
                <w:rFonts w:ascii="Calibri" w:hAnsi="Calibri" w:cs="Times New Roman"/>
                <w:sz w:val="21"/>
              </w:rPr>
              <w:t>7</w:t>
            </w:r>
          </w:p>
        </w:tc>
        <w:tc>
          <w:tcPr>
            <w:tcW w:w="1098" w:type="pct"/>
            <w:vAlign w:val="center"/>
          </w:tcPr>
          <w:p w14:paraId="556964D3">
            <w:pPr>
              <w:widowControl w:val="0"/>
              <w:spacing w:line="240" w:lineRule="auto"/>
              <w:ind w:firstLine="0" w:firstLineChars="0"/>
              <w:jc w:val="center"/>
              <w:rPr>
                <w:rFonts w:ascii="Calibri" w:hAnsi="Calibri" w:cs="Times New Roman"/>
                <w:sz w:val="21"/>
              </w:rPr>
            </w:pPr>
            <w:r>
              <w:rPr>
                <w:rFonts w:ascii="Calibri" w:hAnsi="Calibri" w:cs="Times New Roman"/>
                <w:sz w:val="21"/>
              </w:rPr>
              <w:t>双江口公路</w:t>
            </w:r>
          </w:p>
        </w:tc>
        <w:tc>
          <w:tcPr>
            <w:tcW w:w="833" w:type="pct"/>
            <w:vAlign w:val="center"/>
          </w:tcPr>
          <w:p w14:paraId="474DD735">
            <w:pPr>
              <w:widowControl w:val="0"/>
              <w:spacing w:line="240" w:lineRule="auto"/>
              <w:ind w:firstLine="0" w:firstLineChars="0"/>
              <w:jc w:val="center"/>
              <w:rPr>
                <w:rFonts w:ascii="Calibri" w:hAnsi="Calibri" w:cs="Times New Roman"/>
                <w:sz w:val="21"/>
              </w:rPr>
            </w:pPr>
            <w:r>
              <w:rPr>
                <w:rFonts w:ascii="Calibri" w:hAnsi="Calibri" w:cs="Times New Roman"/>
                <w:sz w:val="21"/>
              </w:rPr>
              <w:t>双江口</w:t>
            </w:r>
          </w:p>
        </w:tc>
        <w:tc>
          <w:tcPr>
            <w:tcW w:w="833" w:type="pct"/>
            <w:vAlign w:val="center"/>
          </w:tcPr>
          <w:p w14:paraId="1045DCF4">
            <w:pPr>
              <w:widowControl w:val="0"/>
              <w:spacing w:line="240" w:lineRule="auto"/>
              <w:ind w:firstLine="0" w:firstLineChars="0"/>
              <w:jc w:val="center"/>
              <w:rPr>
                <w:rFonts w:ascii="Calibri" w:hAnsi="Calibri" w:cs="Times New Roman"/>
                <w:sz w:val="21"/>
              </w:rPr>
            </w:pPr>
            <w:r>
              <w:rPr>
                <w:rFonts w:ascii="Calibri" w:hAnsi="Calibri" w:cs="Times New Roman"/>
                <w:sz w:val="21"/>
              </w:rPr>
              <w:t>大漯漕</w:t>
            </w:r>
          </w:p>
        </w:tc>
        <w:tc>
          <w:tcPr>
            <w:tcW w:w="833" w:type="pct"/>
            <w:vAlign w:val="center"/>
          </w:tcPr>
          <w:p w14:paraId="633A482B">
            <w:pPr>
              <w:widowControl w:val="0"/>
              <w:spacing w:line="240" w:lineRule="auto"/>
              <w:ind w:firstLine="0" w:firstLineChars="0"/>
              <w:jc w:val="center"/>
              <w:rPr>
                <w:rFonts w:ascii="Calibri" w:hAnsi="Calibri" w:cs="Times New Roman"/>
                <w:sz w:val="21"/>
              </w:rPr>
            </w:pPr>
            <w:r>
              <w:rPr>
                <w:rFonts w:ascii="Calibri" w:hAnsi="Calibri" w:cs="Times New Roman"/>
                <w:sz w:val="21"/>
              </w:rPr>
              <w:t>Ⅳ级</w:t>
            </w:r>
          </w:p>
        </w:tc>
        <w:tc>
          <w:tcPr>
            <w:tcW w:w="833" w:type="pct"/>
            <w:vAlign w:val="center"/>
          </w:tcPr>
          <w:p w14:paraId="4DEF770E">
            <w:pPr>
              <w:widowControl w:val="0"/>
              <w:spacing w:line="240" w:lineRule="auto"/>
              <w:ind w:firstLine="0" w:firstLineChars="0"/>
              <w:jc w:val="center"/>
              <w:rPr>
                <w:rFonts w:ascii="Calibri" w:hAnsi="Calibri" w:cs="Times New Roman"/>
                <w:sz w:val="21"/>
              </w:rPr>
            </w:pPr>
            <w:r>
              <w:rPr>
                <w:rFonts w:ascii="Calibri" w:hAnsi="Calibri" w:cs="Times New Roman"/>
                <w:sz w:val="21"/>
              </w:rPr>
              <w:t>3</w:t>
            </w:r>
          </w:p>
        </w:tc>
      </w:tr>
      <w:tr w14:paraId="49862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9" w:type="pct"/>
            <w:vAlign w:val="center"/>
          </w:tcPr>
          <w:p w14:paraId="6F522D46">
            <w:pPr>
              <w:widowControl w:val="0"/>
              <w:spacing w:line="240" w:lineRule="auto"/>
              <w:ind w:firstLine="0" w:firstLineChars="0"/>
              <w:jc w:val="center"/>
              <w:rPr>
                <w:rFonts w:ascii="Calibri" w:hAnsi="Calibri" w:cs="Times New Roman"/>
                <w:sz w:val="21"/>
              </w:rPr>
            </w:pPr>
            <w:r>
              <w:rPr>
                <w:rFonts w:ascii="Calibri" w:hAnsi="Calibri" w:cs="Times New Roman"/>
                <w:sz w:val="21"/>
              </w:rPr>
              <w:t>8</w:t>
            </w:r>
          </w:p>
        </w:tc>
        <w:tc>
          <w:tcPr>
            <w:tcW w:w="1098" w:type="pct"/>
            <w:vAlign w:val="center"/>
          </w:tcPr>
          <w:p w14:paraId="3E9FB6B7">
            <w:pPr>
              <w:widowControl w:val="0"/>
              <w:spacing w:line="240" w:lineRule="auto"/>
              <w:ind w:firstLine="0" w:firstLineChars="0"/>
              <w:jc w:val="center"/>
              <w:rPr>
                <w:rFonts w:ascii="Calibri" w:hAnsi="Calibri" w:cs="Times New Roman"/>
                <w:sz w:val="21"/>
              </w:rPr>
            </w:pPr>
            <w:r>
              <w:rPr>
                <w:rFonts w:ascii="Calibri" w:hAnsi="Calibri" w:cs="Times New Roman"/>
                <w:sz w:val="21"/>
              </w:rPr>
              <w:t>茶子岭公路</w:t>
            </w:r>
          </w:p>
        </w:tc>
        <w:tc>
          <w:tcPr>
            <w:tcW w:w="833" w:type="pct"/>
            <w:vAlign w:val="center"/>
          </w:tcPr>
          <w:p w14:paraId="10314DB2">
            <w:pPr>
              <w:widowControl w:val="0"/>
              <w:spacing w:line="240" w:lineRule="auto"/>
              <w:ind w:firstLine="0" w:firstLineChars="0"/>
              <w:jc w:val="center"/>
              <w:rPr>
                <w:rFonts w:ascii="Calibri" w:hAnsi="Calibri" w:cs="Times New Roman"/>
                <w:sz w:val="21"/>
              </w:rPr>
            </w:pPr>
            <w:r>
              <w:rPr>
                <w:rFonts w:ascii="Calibri" w:hAnsi="Calibri" w:cs="Times New Roman"/>
                <w:sz w:val="21"/>
              </w:rPr>
              <w:t>林海</w:t>
            </w:r>
          </w:p>
        </w:tc>
        <w:tc>
          <w:tcPr>
            <w:tcW w:w="833" w:type="pct"/>
            <w:vAlign w:val="center"/>
          </w:tcPr>
          <w:p w14:paraId="4E7E5684">
            <w:pPr>
              <w:widowControl w:val="0"/>
              <w:spacing w:line="240" w:lineRule="auto"/>
              <w:ind w:firstLine="0" w:firstLineChars="0"/>
              <w:jc w:val="center"/>
              <w:rPr>
                <w:rFonts w:ascii="Calibri" w:hAnsi="Calibri" w:cs="Times New Roman"/>
                <w:sz w:val="21"/>
              </w:rPr>
            </w:pPr>
            <w:r>
              <w:rPr>
                <w:rFonts w:ascii="Calibri" w:hAnsi="Calibri" w:cs="Times New Roman"/>
                <w:sz w:val="21"/>
              </w:rPr>
              <w:t>茶子岭</w:t>
            </w:r>
          </w:p>
        </w:tc>
        <w:tc>
          <w:tcPr>
            <w:tcW w:w="833" w:type="pct"/>
            <w:vAlign w:val="center"/>
          </w:tcPr>
          <w:p w14:paraId="5FC9F046">
            <w:pPr>
              <w:widowControl w:val="0"/>
              <w:spacing w:line="240" w:lineRule="auto"/>
              <w:ind w:firstLine="0" w:firstLineChars="0"/>
              <w:jc w:val="center"/>
              <w:rPr>
                <w:rFonts w:ascii="Calibri" w:hAnsi="Calibri" w:cs="Times New Roman"/>
                <w:sz w:val="21"/>
              </w:rPr>
            </w:pPr>
            <w:r>
              <w:rPr>
                <w:rFonts w:ascii="Calibri" w:hAnsi="Calibri" w:cs="Times New Roman"/>
                <w:sz w:val="21"/>
              </w:rPr>
              <w:t>Ⅳ级</w:t>
            </w:r>
          </w:p>
        </w:tc>
        <w:tc>
          <w:tcPr>
            <w:tcW w:w="833" w:type="pct"/>
            <w:vAlign w:val="center"/>
          </w:tcPr>
          <w:p w14:paraId="6113A3F7">
            <w:pPr>
              <w:widowControl w:val="0"/>
              <w:spacing w:line="240" w:lineRule="auto"/>
              <w:ind w:firstLine="0" w:firstLineChars="0"/>
              <w:jc w:val="center"/>
              <w:rPr>
                <w:rFonts w:ascii="Calibri" w:hAnsi="Calibri" w:cs="Times New Roman"/>
                <w:sz w:val="21"/>
              </w:rPr>
            </w:pPr>
            <w:r>
              <w:rPr>
                <w:rFonts w:ascii="Calibri" w:hAnsi="Calibri" w:cs="Times New Roman"/>
                <w:sz w:val="21"/>
              </w:rPr>
              <w:t>5</w:t>
            </w:r>
          </w:p>
        </w:tc>
      </w:tr>
      <w:tr w14:paraId="4A6DD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9" w:type="pct"/>
            <w:vAlign w:val="center"/>
          </w:tcPr>
          <w:p w14:paraId="39DB1F2D">
            <w:pPr>
              <w:widowControl w:val="0"/>
              <w:spacing w:line="240" w:lineRule="auto"/>
              <w:ind w:firstLine="0" w:firstLineChars="0"/>
              <w:jc w:val="center"/>
              <w:rPr>
                <w:rFonts w:ascii="Calibri" w:hAnsi="Calibri" w:cs="Times New Roman"/>
                <w:sz w:val="21"/>
              </w:rPr>
            </w:pPr>
            <w:r>
              <w:rPr>
                <w:rFonts w:ascii="Calibri" w:hAnsi="Calibri" w:cs="Times New Roman"/>
                <w:sz w:val="21"/>
              </w:rPr>
              <w:t>合计</w:t>
            </w:r>
          </w:p>
        </w:tc>
        <w:tc>
          <w:tcPr>
            <w:tcW w:w="1098" w:type="pct"/>
            <w:vAlign w:val="center"/>
          </w:tcPr>
          <w:p w14:paraId="2647C59C">
            <w:pPr>
              <w:widowControl w:val="0"/>
              <w:spacing w:line="240" w:lineRule="auto"/>
              <w:ind w:firstLine="0" w:firstLineChars="0"/>
              <w:jc w:val="center"/>
              <w:rPr>
                <w:rFonts w:ascii="Calibri" w:hAnsi="Calibri" w:cs="Times New Roman"/>
                <w:sz w:val="21"/>
              </w:rPr>
            </w:pPr>
          </w:p>
        </w:tc>
        <w:tc>
          <w:tcPr>
            <w:tcW w:w="833" w:type="pct"/>
            <w:vAlign w:val="center"/>
          </w:tcPr>
          <w:p w14:paraId="2A74B75B">
            <w:pPr>
              <w:widowControl w:val="0"/>
              <w:spacing w:line="240" w:lineRule="auto"/>
              <w:ind w:firstLine="0" w:firstLineChars="0"/>
              <w:jc w:val="center"/>
              <w:rPr>
                <w:rFonts w:ascii="Calibri" w:hAnsi="Calibri" w:cs="Times New Roman"/>
                <w:sz w:val="21"/>
              </w:rPr>
            </w:pPr>
          </w:p>
        </w:tc>
        <w:tc>
          <w:tcPr>
            <w:tcW w:w="833" w:type="pct"/>
            <w:vAlign w:val="center"/>
          </w:tcPr>
          <w:p w14:paraId="5AAAF50D">
            <w:pPr>
              <w:widowControl w:val="0"/>
              <w:spacing w:line="240" w:lineRule="auto"/>
              <w:ind w:firstLine="0" w:firstLineChars="0"/>
              <w:jc w:val="center"/>
              <w:rPr>
                <w:rFonts w:ascii="Calibri" w:hAnsi="Calibri" w:cs="Times New Roman"/>
                <w:sz w:val="21"/>
              </w:rPr>
            </w:pPr>
          </w:p>
        </w:tc>
        <w:tc>
          <w:tcPr>
            <w:tcW w:w="833" w:type="pct"/>
            <w:vAlign w:val="center"/>
          </w:tcPr>
          <w:p w14:paraId="6B87C923">
            <w:pPr>
              <w:widowControl w:val="0"/>
              <w:spacing w:line="240" w:lineRule="auto"/>
              <w:ind w:firstLine="0" w:firstLineChars="0"/>
              <w:jc w:val="center"/>
              <w:rPr>
                <w:rFonts w:ascii="Calibri" w:hAnsi="Calibri" w:cs="Times New Roman"/>
                <w:sz w:val="21"/>
              </w:rPr>
            </w:pPr>
          </w:p>
        </w:tc>
        <w:tc>
          <w:tcPr>
            <w:tcW w:w="833" w:type="pct"/>
            <w:vAlign w:val="center"/>
          </w:tcPr>
          <w:p w14:paraId="533C469D">
            <w:pPr>
              <w:widowControl w:val="0"/>
              <w:spacing w:line="240" w:lineRule="auto"/>
              <w:ind w:firstLine="0" w:firstLineChars="0"/>
              <w:jc w:val="center"/>
              <w:rPr>
                <w:rFonts w:ascii="Calibri" w:hAnsi="Calibri" w:cs="Times New Roman"/>
                <w:sz w:val="21"/>
                <w:lang w:eastAsia="zh-CN"/>
              </w:rPr>
            </w:pPr>
            <w:r>
              <w:rPr>
                <w:rFonts w:ascii="Calibri" w:hAnsi="Calibri" w:cs="Times New Roman"/>
                <w:sz w:val="21"/>
              </w:rPr>
              <w:t>91.</w:t>
            </w:r>
            <w:r>
              <w:rPr>
                <w:rFonts w:hint="eastAsia" w:ascii="Calibri" w:hAnsi="Calibri" w:cs="Times New Roman"/>
                <w:sz w:val="21"/>
                <w:lang w:eastAsia="zh-CN"/>
              </w:rPr>
              <w:t>7</w:t>
            </w:r>
          </w:p>
        </w:tc>
      </w:tr>
    </w:tbl>
    <w:p w14:paraId="73892351">
      <w:pPr>
        <w:spacing w:line="240" w:lineRule="auto"/>
        <w:ind w:firstLine="0" w:firstLineChars="0"/>
        <w:jc w:val="center"/>
        <w:rPr>
          <w:rFonts w:eastAsia="黑体" w:cs="宋体"/>
          <w:b/>
          <w:lang w:eastAsia="zh-CN"/>
        </w:rPr>
      </w:pPr>
      <w:r>
        <w:rPr>
          <w:rFonts w:eastAsia="黑体" w:cs="Times New Roman"/>
          <w:b/>
          <w:bCs/>
          <w:lang w:eastAsia="zh-CN"/>
        </w:rPr>
        <w:t>表</w:t>
      </w:r>
      <w:r>
        <w:rPr>
          <w:rFonts w:cs="Times New Roman"/>
          <w:b/>
          <w:bCs/>
          <w:lang w:eastAsia="zh-CN"/>
        </w:rPr>
        <w:t>9-2</w:t>
      </w:r>
      <w:r>
        <w:rPr>
          <w:rFonts w:hint="eastAsia" w:eastAsia="黑体" w:cs="宋体"/>
          <w:b/>
          <w:lang w:eastAsia="zh-CN"/>
        </w:rPr>
        <w:t>林区公路维护和扩建规划表</w:t>
      </w:r>
    </w:p>
    <w:p w14:paraId="6F1CD861">
      <w:pPr>
        <w:spacing w:line="240" w:lineRule="auto"/>
        <w:ind w:firstLine="0" w:firstLineChars="0"/>
        <w:jc w:val="right"/>
        <w:rPr>
          <w:b/>
          <w:sz w:val="21"/>
          <w:lang w:eastAsia="zh-CN"/>
        </w:rPr>
      </w:pPr>
      <w:r>
        <w:rPr>
          <w:rFonts w:hint="eastAsia"/>
          <w:sz w:val="21"/>
        </w:rPr>
        <w:t>单位：</w:t>
      </w:r>
      <w:r>
        <w:rPr>
          <w:rFonts w:hint="eastAsia"/>
          <w:sz w:val="21"/>
          <w:lang w:eastAsia="zh-CN"/>
        </w:rPr>
        <w:t>km</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6"/>
        <w:gridCol w:w="1506"/>
        <w:gridCol w:w="1317"/>
        <w:gridCol w:w="1317"/>
        <w:gridCol w:w="1130"/>
        <w:gridCol w:w="1130"/>
        <w:gridCol w:w="1646"/>
      </w:tblGrid>
      <w:tr w14:paraId="13E57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6" w:type="pct"/>
            <w:vAlign w:val="center"/>
          </w:tcPr>
          <w:p w14:paraId="40A5E81D">
            <w:pPr>
              <w:widowControl/>
              <w:spacing w:line="240" w:lineRule="auto"/>
              <w:ind w:firstLine="0" w:firstLineChars="0"/>
              <w:jc w:val="center"/>
              <w:rPr>
                <w:rFonts w:ascii="Calibri" w:hAnsi="Calibri" w:cs="Times New Roman"/>
                <w:sz w:val="21"/>
              </w:rPr>
            </w:pPr>
            <w:r>
              <w:rPr>
                <w:rFonts w:ascii="Calibri" w:hAnsi="Calibri" w:cs="Times New Roman"/>
                <w:sz w:val="21"/>
              </w:rPr>
              <w:t>序号</w:t>
            </w:r>
          </w:p>
        </w:tc>
        <w:tc>
          <w:tcPr>
            <w:tcW w:w="845" w:type="pct"/>
            <w:vAlign w:val="center"/>
          </w:tcPr>
          <w:p w14:paraId="37C68983">
            <w:pPr>
              <w:widowControl/>
              <w:spacing w:line="240" w:lineRule="auto"/>
              <w:ind w:firstLine="0" w:firstLineChars="0"/>
              <w:jc w:val="center"/>
              <w:rPr>
                <w:rFonts w:ascii="Calibri" w:hAnsi="Calibri" w:cs="Times New Roman"/>
                <w:sz w:val="21"/>
              </w:rPr>
            </w:pPr>
            <w:r>
              <w:rPr>
                <w:rFonts w:ascii="Calibri" w:hAnsi="Calibri" w:cs="Times New Roman"/>
                <w:sz w:val="21"/>
              </w:rPr>
              <w:t>线路名</w:t>
            </w:r>
          </w:p>
        </w:tc>
        <w:tc>
          <w:tcPr>
            <w:tcW w:w="739" w:type="pct"/>
            <w:vAlign w:val="center"/>
          </w:tcPr>
          <w:p w14:paraId="56962C6C">
            <w:pPr>
              <w:widowControl/>
              <w:spacing w:line="240" w:lineRule="auto"/>
              <w:ind w:firstLine="0" w:firstLineChars="0"/>
              <w:jc w:val="center"/>
              <w:rPr>
                <w:rFonts w:ascii="Calibri" w:hAnsi="Calibri" w:cs="Times New Roman"/>
                <w:sz w:val="21"/>
              </w:rPr>
            </w:pPr>
            <w:r>
              <w:rPr>
                <w:rFonts w:ascii="Calibri" w:hAnsi="Calibri" w:cs="Times New Roman"/>
                <w:sz w:val="21"/>
              </w:rPr>
              <w:t>起点</w:t>
            </w:r>
          </w:p>
        </w:tc>
        <w:tc>
          <w:tcPr>
            <w:tcW w:w="739" w:type="pct"/>
            <w:vAlign w:val="center"/>
          </w:tcPr>
          <w:p w14:paraId="5A331029">
            <w:pPr>
              <w:widowControl/>
              <w:spacing w:line="240" w:lineRule="auto"/>
              <w:ind w:firstLine="0" w:firstLineChars="0"/>
              <w:jc w:val="center"/>
              <w:rPr>
                <w:rFonts w:ascii="Calibri" w:hAnsi="Calibri" w:cs="Times New Roman"/>
                <w:sz w:val="21"/>
              </w:rPr>
            </w:pPr>
            <w:r>
              <w:rPr>
                <w:rFonts w:ascii="Calibri" w:hAnsi="Calibri" w:cs="Times New Roman"/>
                <w:sz w:val="21"/>
              </w:rPr>
              <w:t>终点</w:t>
            </w:r>
          </w:p>
        </w:tc>
        <w:tc>
          <w:tcPr>
            <w:tcW w:w="634" w:type="pct"/>
            <w:vAlign w:val="center"/>
          </w:tcPr>
          <w:p w14:paraId="73FFE86E">
            <w:pPr>
              <w:widowControl/>
              <w:spacing w:line="240" w:lineRule="auto"/>
              <w:ind w:firstLine="0" w:firstLineChars="0"/>
              <w:jc w:val="center"/>
              <w:rPr>
                <w:rFonts w:ascii="Calibri" w:hAnsi="Calibri" w:cs="Times New Roman"/>
                <w:sz w:val="21"/>
              </w:rPr>
            </w:pPr>
            <w:r>
              <w:rPr>
                <w:rFonts w:ascii="Calibri" w:hAnsi="Calibri" w:cs="Times New Roman"/>
                <w:sz w:val="21"/>
              </w:rPr>
              <w:t>等级</w:t>
            </w:r>
          </w:p>
        </w:tc>
        <w:tc>
          <w:tcPr>
            <w:tcW w:w="634" w:type="pct"/>
            <w:vAlign w:val="center"/>
          </w:tcPr>
          <w:p w14:paraId="3B84C79C">
            <w:pPr>
              <w:widowControl/>
              <w:spacing w:line="240" w:lineRule="auto"/>
              <w:ind w:firstLine="0" w:firstLineChars="0"/>
              <w:jc w:val="center"/>
              <w:rPr>
                <w:rFonts w:ascii="Calibri" w:hAnsi="Calibri" w:cs="Times New Roman"/>
                <w:sz w:val="21"/>
              </w:rPr>
            </w:pPr>
            <w:r>
              <w:rPr>
                <w:rFonts w:ascii="Calibri" w:hAnsi="Calibri" w:cs="Times New Roman"/>
                <w:sz w:val="21"/>
              </w:rPr>
              <w:t>里程</w:t>
            </w:r>
          </w:p>
        </w:tc>
        <w:tc>
          <w:tcPr>
            <w:tcW w:w="924" w:type="pct"/>
            <w:vAlign w:val="center"/>
          </w:tcPr>
          <w:p w14:paraId="6FEA8B0E">
            <w:pPr>
              <w:widowControl/>
              <w:spacing w:line="240" w:lineRule="auto"/>
              <w:ind w:firstLine="0" w:firstLineChars="0"/>
              <w:jc w:val="center"/>
              <w:rPr>
                <w:rFonts w:ascii="Calibri" w:hAnsi="Calibri" w:cs="Times New Roman"/>
                <w:sz w:val="21"/>
              </w:rPr>
            </w:pPr>
            <w:r>
              <w:rPr>
                <w:rFonts w:ascii="Calibri" w:hAnsi="Calibri" w:cs="Times New Roman"/>
                <w:sz w:val="21"/>
              </w:rPr>
              <w:t>改造方式</w:t>
            </w:r>
          </w:p>
        </w:tc>
      </w:tr>
      <w:tr w14:paraId="7A572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6" w:type="pct"/>
            <w:vAlign w:val="center"/>
          </w:tcPr>
          <w:p w14:paraId="65A0B3A3">
            <w:pPr>
              <w:widowControl/>
              <w:spacing w:line="240" w:lineRule="auto"/>
              <w:ind w:firstLine="0" w:firstLineChars="0"/>
              <w:jc w:val="center"/>
              <w:rPr>
                <w:rFonts w:ascii="Calibri" w:hAnsi="Calibri" w:cs="Times New Roman"/>
                <w:sz w:val="21"/>
              </w:rPr>
            </w:pPr>
            <w:r>
              <w:rPr>
                <w:rFonts w:ascii="Calibri" w:hAnsi="Calibri" w:cs="Times New Roman"/>
                <w:sz w:val="21"/>
              </w:rPr>
              <w:t>1</w:t>
            </w:r>
          </w:p>
        </w:tc>
        <w:tc>
          <w:tcPr>
            <w:tcW w:w="845" w:type="pct"/>
            <w:vAlign w:val="center"/>
          </w:tcPr>
          <w:p w14:paraId="61185E29">
            <w:pPr>
              <w:widowControl/>
              <w:spacing w:line="240" w:lineRule="auto"/>
              <w:ind w:firstLine="0" w:firstLineChars="0"/>
              <w:jc w:val="center"/>
              <w:rPr>
                <w:rFonts w:ascii="Calibri" w:hAnsi="Calibri" w:cs="Times New Roman"/>
                <w:sz w:val="21"/>
              </w:rPr>
            </w:pPr>
            <w:r>
              <w:rPr>
                <w:rFonts w:ascii="Calibri" w:hAnsi="Calibri" w:cs="Times New Roman"/>
                <w:sz w:val="21"/>
              </w:rPr>
              <w:t>叶子漯公路</w:t>
            </w:r>
          </w:p>
        </w:tc>
        <w:tc>
          <w:tcPr>
            <w:tcW w:w="739" w:type="pct"/>
            <w:vAlign w:val="center"/>
          </w:tcPr>
          <w:p w14:paraId="7EE144F3">
            <w:pPr>
              <w:widowControl/>
              <w:spacing w:line="240" w:lineRule="auto"/>
              <w:ind w:firstLine="0" w:firstLineChars="0"/>
              <w:jc w:val="center"/>
              <w:rPr>
                <w:rFonts w:ascii="Calibri" w:hAnsi="Calibri" w:cs="Times New Roman"/>
                <w:sz w:val="21"/>
              </w:rPr>
            </w:pPr>
            <w:r>
              <w:rPr>
                <w:rFonts w:ascii="Calibri" w:hAnsi="Calibri" w:cs="Times New Roman"/>
                <w:sz w:val="21"/>
              </w:rPr>
              <w:t>神仙谷</w:t>
            </w:r>
          </w:p>
        </w:tc>
        <w:tc>
          <w:tcPr>
            <w:tcW w:w="739" w:type="pct"/>
            <w:vAlign w:val="center"/>
          </w:tcPr>
          <w:p w14:paraId="231F1A5C">
            <w:pPr>
              <w:widowControl/>
              <w:spacing w:line="240" w:lineRule="auto"/>
              <w:ind w:firstLine="0" w:firstLineChars="0"/>
              <w:jc w:val="center"/>
              <w:rPr>
                <w:rFonts w:ascii="Calibri" w:hAnsi="Calibri" w:cs="Times New Roman"/>
                <w:sz w:val="21"/>
              </w:rPr>
            </w:pPr>
            <w:r>
              <w:rPr>
                <w:rFonts w:ascii="Calibri" w:hAnsi="Calibri" w:cs="Times New Roman"/>
                <w:sz w:val="21"/>
              </w:rPr>
              <w:t>老屋场</w:t>
            </w:r>
          </w:p>
        </w:tc>
        <w:tc>
          <w:tcPr>
            <w:tcW w:w="634" w:type="pct"/>
            <w:vAlign w:val="center"/>
          </w:tcPr>
          <w:p w14:paraId="7B430D77">
            <w:pPr>
              <w:widowControl/>
              <w:spacing w:line="240" w:lineRule="auto"/>
              <w:ind w:firstLine="0" w:firstLineChars="0"/>
              <w:jc w:val="center"/>
              <w:rPr>
                <w:rFonts w:ascii="Calibri" w:hAnsi="Calibri" w:cs="Times New Roman"/>
                <w:sz w:val="21"/>
              </w:rPr>
            </w:pPr>
            <w:r>
              <w:rPr>
                <w:rFonts w:ascii="Calibri" w:hAnsi="Calibri" w:cs="Times New Roman"/>
                <w:sz w:val="21"/>
              </w:rPr>
              <w:t>Ⅳ级</w:t>
            </w:r>
          </w:p>
        </w:tc>
        <w:tc>
          <w:tcPr>
            <w:tcW w:w="634" w:type="pct"/>
            <w:vAlign w:val="center"/>
          </w:tcPr>
          <w:p w14:paraId="56688A76">
            <w:pPr>
              <w:widowControl/>
              <w:spacing w:line="240" w:lineRule="auto"/>
              <w:ind w:firstLine="0" w:firstLineChars="0"/>
              <w:jc w:val="center"/>
              <w:rPr>
                <w:rFonts w:ascii="Calibri" w:hAnsi="Calibri" w:cs="Times New Roman"/>
                <w:sz w:val="21"/>
              </w:rPr>
            </w:pPr>
            <w:r>
              <w:rPr>
                <w:rFonts w:ascii="Calibri" w:hAnsi="Calibri" w:cs="Times New Roman"/>
                <w:sz w:val="21"/>
              </w:rPr>
              <w:t>3.5</w:t>
            </w:r>
          </w:p>
        </w:tc>
        <w:tc>
          <w:tcPr>
            <w:tcW w:w="924" w:type="pct"/>
            <w:vAlign w:val="center"/>
          </w:tcPr>
          <w:p w14:paraId="0394B101">
            <w:pPr>
              <w:widowControl/>
              <w:spacing w:line="240" w:lineRule="auto"/>
              <w:ind w:firstLine="0" w:firstLineChars="0"/>
              <w:jc w:val="center"/>
              <w:rPr>
                <w:rFonts w:ascii="Calibri" w:hAnsi="Calibri" w:cs="Times New Roman"/>
                <w:sz w:val="21"/>
              </w:rPr>
            </w:pPr>
            <w:r>
              <w:rPr>
                <w:rFonts w:ascii="Calibri" w:hAnsi="Calibri" w:cs="Times New Roman"/>
                <w:sz w:val="21"/>
              </w:rPr>
              <w:t>改造</w:t>
            </w:r>
          </w:p>
        </w:tc>
      </w:tr>
      <w:tr w14:paraId="65324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6" w:type="pct"/>
            <w:vAlign w:val="center"/>
          </w:tcPr>
          <w:p w14:paraId="7CBBF4CD">
            <w:pPr>
              <w:widowControl/>
              <w:spacing w:line="240" w:lineRule="auto"/>
              <w:ind w:firstLine="0" w:firstLineChars="0"/>
              <w:jc w:val="center"/>
              <w:rPr>
                <w:rFonts w:ascii="Calibri" w:hAnsi="Calibri" w:cs="Times New Roman"/>
                <w:sz w:val="21"/>
              </w:rPr>
            </w:pPr>
            <w:r>
              <w:rPr>
                <w:rFonts w:ascii="Calibri" w:hAnsi="Calibri" w:cs="Times New Roman"/>
                <w:sz w:val="21"/>
              </w:rPr>
              <w:t>2</w:t>
            </w:r>
          </w:p>
        </w:tc>
        <w:tc>
          <w:tcPr>
            <w:tcW w:w="845" w:type="pct"/>
            <w:vAlign w:val="center"/>
          </w:tcPr>
          <w:p w14:paraId="51AB4A3E">
            <w:pPr>
              <w:widowControl/>
              <w:spacing w:line="240" w:lineRule="auto"/>
              <w:ind w:firstLine="0" w:firstLineChars="0"/>
              <w:jc w:val="center"/>
              <w:rPr>
                <w:rFonts w:ascii="Calibri" w:hAnsi="Calibri" w:cs="Times New Roman"/>
                <w:sz w:val="21"/>
              </w:rPr>
            </w:pPr>
            <w:r>
              <w:rPr>
                <w:rFonts w:ascii="Calibri" w:hAnsi="Calibri" w:cs="Times New Roman"/>
                <w:sz w:val="21"/>
              </w:rPr>
              <w:t>阿万公路</w:t>
            </w:r>
          </w:p>
        </w:tc>
        <w:tc>
          <w:tcPr>
            <w:tcW w:w="739" w:type="pct"/>
            <w:vAlign w:val="center"/>
          </w:tcPr>
          <w:p w14:paraId="334C0A69">
            <w:pPr>
              <w:widowControl/>
              <w:spacing w:line="240" w:lineRule="auto"/>
              <w:ind w:firstLine="0" w:firstLineChars="0"/>
              <w:jc w:val="center"/>
              <w:rPr>
                <w:rFonts w:ascii="Calibri" w:hAnsi="Calibri" w:cs="Times New Roman"/>
                <w:sz w:val="21"/>
              </w:rPr>
            </w:pPr>
            <w:r>
              <w:rPr>
                <w:rFonts w:ascii="Calibri" w:hAnsi="Calibri" w:cs="Times New Roman"/>
                <w:sz w:val="21"/>
              </w:rPr>
              <w:t>阿弥它佛</w:t>
            </w:r>
          </w:p>
        </w:tc>
        <w:tc>
          <w:tcPr>
            <w:tcW w:w="739" w:type="pct"/>
            <w:vAlign w:val="center"/>
          </w:tcPr>
          <w:p w14:paraId="0738287A">
            <w:pPr>
              <w:widowControl/>
              <w:spacing w:line="240" w:lineRule="auto"/>
              <w:ind w:firstLine="0" w:firstLineChars="0"/>
              <w:jc w:val="center"/>
              <w:rPr>
                <w:rFonts w:ascii="Calibri" w:hAnsi="Calibri" w:cs="Times New Roman"/>
                <w:sz w:val="21"/>
              </w:rPr>
            </w:pPr>
            <w:r>
              <w:rPr>
                <w:rFonts w:ascii="Calibri" w:hAnsi="Calibri" w:cs="Times New Roman"/>
                <w:sz w:val="21"/>
              </w:rPr>
              <w:t>万和湖</w:t>
            </w:r>
          </w:p>
        </w:tc>
        <w:tc>
          <w:tcPr>
            <w:tcW w:w="634" w:type="pct"/>
            <w:vAlign w:val="center"/>
          </w:tcPr>
          <w:p w14:paraId="10758AFE">
            <w:pPr>
              <w:widowControl/>
              <w:spacing w:line="240" w:lineRule="auto"/>
              <w:ind w:firstLine="0" w:firstLineChars="0"/>
              <w:jc w:val="center"/>
              <w:rPr>
                <w:rFonts w:ascii="Calibri" w:hAnsi="Calibri" w:cs="Times New Roman"/>
                <w:sz w:val="21"/>
              </w:rPr>
            </w:pPr>
            <w:r>
              <w:rPr>
                <w:rFonts w:ascii="Calibri" w:hAnsi="Calibri" w:cs="Times New Roman"/>
                <w:sz w:val="21"/>
              </w:rPr>
              <w:t>Ⅳ级</w:t>
            </w:r>
          </w:p>
        </w:tc>
        <w:tc>
          <w:tcPr>
            <w:tcW w:w="634" w:type="pct"/>
            <w:vAlign w:val="center"/>
          </w:tcPr>
          <w:p w14:paraId="0861EE5F">
            <w:pPr>
              <w:widowControl/>
              <w:spacing w:line="240" w:lineRule="auto"/>
              <w:ind w:firstLine="0" w:firstLineChars="0"/>
              <w:jc w:val="center"/>
              <w:rPr>
                <w:rFonts w:ascii="Calibri" w:hAnsi="Calibri" w:cs="Times New Roman"/>
                <w:sz w:val="21"/>
              </w:rPr>
            </w:pPr>
            <w:r>
              <w:rPr>
                <w:rFonts w:ascii="Calibri" w:hAnsi="Calibri" w:cs="Times New Roman"/>
                <w:sz w:val="21"/>
              </w:rPr>
              <w:t>4</w:t>
            </w:r>
          </w:p>
        </w:tc>
        <w:tc>
          <w:tcPr>
            <w:tcW w:w="924" w:type="pct"/>
            <w:vAlign w:val="center"/>
          </w:tcPr>
          <w:p w14:paraId="3002598D">
            <w:pPr>
              <w:widowControl/>
              <w:spacing w:line="240" w:lineRule="auto"/>
              <w:ind w:firstLine="0" w:firstLineChars="0"/>
              <w:jc w:val="center"/>
              <w:rPr>
                <w:rFonts w:ascii="Calibri" w:hAnsi="Calibri" w:cs="Times New Roman"/>
                <w:sz w:val="21"/>
              </w:rPr>
            </w:pPr>
            <w:r>
              <w:rPr>
                <w:rFonts w:ascii="Calibri" w:hAnsi="Calibri" w:cs="Times New Roman"/>
                <w:sz w:val="21"/>
              </w:rPr>
              <w:t>改造</w:t>
            </w:r>
          </w:p>
        </w:tc>
      </w:tr>
      <w:tr w14:paraId="09DDE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6" w:type="pct"/>
            <w:vAlign w:val="center"/>
          </w:tcPr>
          <w:p w14:paraId="541CBFAB">
            <w:pPr>
              <w:widowControl/>
              <w:spacing w:line="240" w:lineRule="auto"/>
              <w:ind w:firstLine="0" w:firstLineChars="0"/>
              <w:jc w:val="center"/>
              <w:rPr>
                <w:rFonts w:ascii="Calibri" w:hAnsi="Calibri" w:cs="Times New Roman"/>
                <w:sz w:val="21"/>
              </w:rPr>
            </w:pPr>
            <w:r>
              <w:rPr>
                <w:rFonts w:ascii="Calibri" w:hAnsi="Calibri" w:cs="Times New Roman"/>
                <w:sz w:val="21"/>
              </w:rPr>
              <w:t>3</w:t>
            </w:r>
          </w:p>
        </w:tc>
        <w:tc>
          <w:tcPr>
            <w:tcW w:w="845" w:type="pct"/>
            <w:vAlign w:val="center"/>
          </w:tcPr>
          <w:p w14:paraId="6DF1DFE1">
            <w:pPr>
              <w:widowControl/>
              <w:spacing w:line="240" w:lineRule="auto"/>
              <w:ind w:firstLine="0" w:firstLineChars="0"/>
              <w:jc w:val="center"/>
              <w:rPr>
                <w:rFonts w:ascii="Calibri" w:hAnsi="Calibri" w:cs="Times New Roman"/>
                <w:sz w:val="21"/>
              </w:rPr>
            </w:pPr>
            <w:r>
              <w:rPr>
                <w:rFonts w:ascii="Calibri" w:hAnsi="Calibri" w:cs="Times New Roman"/>
                <w:sz w:val="21"/>
              </w:rPr>
              <w:t>菖黑公路</w:t>
            </w:r>
          </w:p>
        </w:tc>
        <w:tc>
          <w:tcPr>
            <w:tcW w:w="739" w:type="pct"/>
            <w:vAlign w:val="center"/>
          </w:tcPr>
          <w:p w14:paraId="7326B5FE">
            <w:pPr>
              <w:widowControl/>
              <w:spacing w:line="240" w:lineRule="auto"/>
              <w:ind w:firstLine="0" w:firstLineChars="0"/>
              <w:jc w:val="center"/>
              <w:rPr>
                <w:rFonts w:ascii="Calibri" w:hAnsi="Calibri" w:cs="Times New Roman"/>
                <w:sz w:val="21"/>
              </w:rPr>
            </w:pPr>
            <w:r>
              <w:rPr>
                <w:rFonts w:ascii="Calibri" w:hAnsi="Calibri" w:cs="Times New Roman"/>
                <w:sz w:val="21"/>
              </w:rPr>
              <w:t>菖莆源</w:t>
            </w:r>
          </w:p>
        </w:tc>
        <w:tc>
          <w:tcPr>
            <w:tcW w:w="739" w:type="pct"/>
            <w:vAlign w:val="center"/>
          </w:tcPr>
          <w:p w14:paraId="2F20C9D6">
            <w:pPr>
              <w:widowControl/>
              <w:spacing w:line="240" w:lineRule="auto"/>
              <w:ind w:firstLine="0" w:firstLineChars="0"/>
              <w:jc w:val="center"/>
              <w:rPr>
                <w:rFonts w:ascii="Calibri" w:hAnsi="Calibri" w:cs="Times New Roman"/>
                <w:sz w:val="21"/>
              </w:rPr>
            </w:pPr>
            <w:r>
              <w:rPr>
                <w:rFonts w:ascii="Calibri" w:hAnsi="Calibri" w:cs="Times New Roman"/>
                <w:sz w:val="21"/>
              </w:rPr>
              <w:t>黑暗漕</w:t>
            </w:r>
          </w:p>
        </w:tc>
        <w:tc>
          <w:tcPr>
            <w:tcW w:w="634" w:type="pct"/>
            <w:vAlign w:val="center"/>
          </w:tcPr>
          <w:p w14:paraId="17EBD443">
            <w:pPr>
              <w:widowControl/>
              <w:spacing w:line="240" w:lineRule="auto"/>
              <w:ind w:firstLine="0" w:firstLineChars="0"/>
              <w:jc w:val="center"/>
              <w:rPr>
                <w:rFonts w:ascii="Calibri" w:hAnsi="Calibri" w:cs="Times New Roman"/>
                <w:sz w:val="21"/>
              </w:rPr>
            </w:pPr>
            <w:r>
              <w:rPr>
                <w:rFonts w:ascii="Calibri" w:hAnsi="Calibri" w:cs="Times New Roman"/>
                <w:sz w:val="21"/>
              </w:rPr>
              <w:t>Ⅳ级</w:t>
            </w:r>
          </w:p>
        </w:tc>
        <w:tc>
          <w:tcPr>
            <w:tcW w:w="634" w:type="pct"/>
            <w:vAlign w:val="center"/>
          </w:tcPr>
          <w:p w14:paraId="4D3AC6AF">
            <w:pPr>
              <w:widowControl/>
              <w:spacing w:line="240" w:lineRule="auto"/>
              <w:ind w:firstLine="0" w:firstLineChars="0"/>
              <w:jc w:val="center"/>
              <w:rPr>
                <w:rFonts w:ascii="Calibri" w:hAnsi="Calibri" w:cs="Times New Roman"/>
                <w:sz w:val="21"/>
              </w:rPr>
            </w:pPr>
            <w:r>
              <w:rPr>
                <w:rFonts w:ascii="Calibri" w:hAnsi="Calibri" w:cs="Times New Roman"/>
                <w:sz w:val="21"/>
              </w:rPr>
              <w:t>6.5</w:t>
            </w:r>
          </w:p>
        </w:tc>
        <w:tc>
          <w:tcPr>
            <w:tcW w:w="924" w:type="pct"/>
            <w:vAlign w:val="center"/>
          </w:tcPr>
          <w:p w14:paraId="62E51831">
            <w:pPr>
              <w:widowControl/>
              <w:spacing w:line="240" w:lineRule="auto"/>
              <w:ind w:firstLine="0" w:firstLineChars="0"/>
              <w:jc w:val="center"/>
              <w:rPr>
                <w:rFonts w:ascii="Calibri" w:hAnsi="Calibri" w:cs="Times New Roman"/>
                <w:sz w:val="21"/>
              </w:rPr>
            </w:pPr>
            <w:r>
              <w:rPr>
                <w:rFonts w:ascii="Calibri" w:hAnsi="Calibri" w:cs="Times New Roman"/>
                <w:sz w:val="21"/>
              </w:rPr>
              <w:t>扩宽硬化</w:t>
            </w:r>
          </w:p>
        </w:tc>
      </w:tr>
      <w:tr w14:paraId="2D1E2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6" w:type="pct"/>
            <w:vAlign w:val="center"/>
          </w:tcPr>
          <w:p w14:paraId="2161A9DD">
            <w:pPr>
              <w:widowControl/>
              <w:spacing w:line="240" w:lineRule="auto"/>
              <w:ind w:firstLine="0" w:firstLineChars="0"/>
              <w:jc w:val="center"/>
              <w:rPr>
                <w:rFonts w:ascii="Calibri" w:hAnsi="Calibri" w:cs="Times New Roman"/>
                <w:sz w:val="21"/>
              </w:rPr>
            </w:pPr>
            <w:r>
              <w:rPr>
                <w:rFonts w:ascii="Calibri" w:hAnsi="Calibri" w:cs="Times New Roman"/>
                <w:sz w:val="21"/>
              </w:rPr>
              <w:t>4</w:t>
            </w:r>
          </w:p>
        </w:tc>
        <w:tc>
          <w:tcPr>
            <w:tcW w:w="845" w:type="pct"/>
            <w:vAlign w:val="center"/>
          </w:tcPr>
          <w:p w14:paraId="3ABE5050">
            <w:pPr>
              <w:widowControl/>
              <w:spacing w:line="240" w:lineRule="auto"/>
              <w:ind w:firstLine="0" w:firstLineChars="0"/>
              <w:jc w:val="center"/>
              <w:rPr>
                <w:rFonts w:ascii="Calibri" w:hAnsi="Calibri" w:cs="Times New Roman"/>
                <w:sz w:val="21"/>
              </w:rPr>
            </w:pPr>
            <w:r>
              <w:rPr>
                <w:rFonts w:ascii="Calibri" w:hAnsi="Calibri" w:cs="Times New Roman"/>
                <w:sz w:val="21"/>
              </w:rPr>
              <w:t>双江口公路</w:t>
            </w:r>
          </w:p>
        </w:tc>
        <w:tc>
          <w:tcPr>
            <w:tcW w:w="739" w:type="pct"/>
            <w:vAlign w:val="center"/>
          </w:tcPr>
          <w:p w14:paraId="321BDC6A">
            <w:pPr>
              <w:widowControl/>
              <w:spacing w:line="240" w:lineRule="auto"/>
              <w:ind w:firstLine="0" w:firstLineChars="0"/>
              <w:jc w:val="center"/>
              <w:rPr>
                <w:rFonts w:ascii="Calibri" w:hAnsi="Calibri" w:cs="Times New Roman"/>
                <w:sz w:val="21"/>
              </w:rPr>
            </w:pPr>
            <w:r>
              <w:rPr>
                <w:rFonts w:ascii="Calibri" w:hAnsi="Calibri" w:cs="Times New Roman"/>
                <w:sz w:val="21"/>
              </w:rPr>
              <w:t>双江口</w:t>
            </w:r>
          </w:p>
        </w:tc>
        <w:tc>
          <w:tcPr>
            <w:tcW w:w="739" w:type="pct"/>
            <w:vAlign w:val="center"/>
          </w:tcPr>
          <w:p w14:paraId="71E38FB1">
            <w:pPr>
              <w:widowControl/>
              <w:spacing w:line="240" w:lineRule="auto"/>
              <w:ind w:firstLine="0" w:firstLineChars="0"/>
              <w:jc w:val="center"/>
              <w:rPr>
                <w:rFonts w:ascii="Calibri" w:hAnsi="Calibri" w:cs="Times New Roman"/>
                <w:sz w:val="21"/>
              </w:rPr>
            </w:pPr>
            <w:r>
              <w:rPr>
                <w:rFonts w:ascii="Calibri" w:hAnsi="Calibri" w:cs="Times New Roman"/>
                <w:sz w:val="21"/>
              </w:rPr>
              <w:t>大漯漕</w:t>
            </w:r>
          </w:p>
        </w:tc>
        <w:tc>
          <w:tcPr>
            <w:tcW w:w="634" w:type="pct"/>
            <w:vAlign w:val="center"/>
          </w:tcPr>
          <w:p w14:paraId="420C7A8D">
            <w:pPr>
              <w:widowControl/>
              <w:spacing w:line="240" w:lineRule="auto"/>
              <w:ind w:firstLine="0" w:firstLineChars="0"/>
              <w:jc w:val="center"/>
              <w:rPr>
                <w:rFonts w:ascii="Calibri" w:hAnsi="Calibri" w:cs="Times New Roman"/>
                <w:sz w:val="21"/>
              </w:rPr>
            </w:pPr>
            <w:r>
              <w:rPr>
                <w:rFonts w:ascii="Calibri" w:hAnsi="Calibri" w:cs="Times New Roman"/>
                <w:sz w:val="21"/>
              </w:rPr>
              <w:t>Ⅳ级</w:t>
            </w:r>
          </w:p>
        </w:tc>
        <w:tc>
          <w:tcPr>
            <w:tcW w:w="634" w:type="pct"/>
            <w:vAlign w:val="center"/>
          </w:tcPr>
          <w:p w14:paraId="73C659CC">
            <w:pPr>
              <w:widowControl/>
              <w:spacing w:line="240" w:lineRule="auto"/>
              <w:ind w:firstLine="0" w:firstLineChars="0"/>
              <w:jc w:val="center"/>
              <w:rPr>
                <w:rFonts w:ascii="Calibri" w:hAnsi="Calibri" w:cs="Times New Roman"/>
                <w:sz w:val="21"/>
              </w:rPr>
            </w:pPr>
            <w:r>
              <w:rPr>
                <w:rFonts w:ascii="Calibri" w:hAnsi="Calibri" w:cs="Times New Roman"/>
                <w:sz w:val="21"/>
              </w:rPr>
              <w:t>3</w:t>
            </w:r>
          </w:p>
        </w:tc>
        <w:tc>
          <w:tcPr>
            <w:tcW w:w="924" w:type="pct"/>
            <w:vAlign w:val="center"/>
          </w:tcPr>
          <w:p w14:paraId="1B6FDA80">
            <w:pPr>
              <w:widowControl/>
              <w:spacing w:line="240" w:lineRule="auto"/>
              <w:ind w:firstLine="0" w:firstLineChars="0"/>
              <w:jc w:val="center"/>
              <w:rPr>
                <w:rFonts w:ascii="Calibri" w:hAnsi="Calibri" w:cs="Times New Roman"/>
                <w:sz w:val="21"/>
              </w:rPr>
            </w:pPr>
            <w:r>
              <w:rPr>
                <w:rFonts w:ascii="Calibri" w:hAnsi="Calibri" w:cs="Times New Roman"/>
                <w:sz w:val="21"/>
              </w:rPr>
              <w:t>扩宽硬化</w:t>
            </w:r>
          </w:p>
        </w:tc>
      </w:tr>
      <w:tr w14:paraId="1CBF4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6" w:type="pct"/>
            <w:vAlign w:val="center"/>
          </w:tcPr>
          <w:p w14:paraId="7A1E7F61">
            <w:pPr>
              <w:widowControl/>
              <w:spacing w:line="240" w:lineRule="auto"/>
              <w:ind w:firstLine="0" w:firstLineChars="0"/>
              <w:jc w:val="center"/>
              <w:rPr>
                <w:rFonts w:ascii="Calibri" w:hAnsi="Calibri" w:cs="Times New Roman"/>
                <w:sz w:val="21"/>
              </w:rPr>
            </w:pPr>
            <w:r>
              <w:rPr>
                <w:rFonts w:ascii="Calibri" w:hAnsi="Calibri" w:cs="Times New Roman"/>
                <w:sz w:val="21"/>
              </w:rPr>
              <w:t>5</w:t>
            </w:r>
          </w:p>
        </w:tc>
        <w:tc>
          <w:tcPr>
            <w:tcW w:w="845" w:type="pct"/>
            <w:vAlign w:val="center"/>
          </w:tcPr>
          <w:p w14:paraId="7F09AD7C">
            <w:pPr>
              <w:widowControl/>
              <w:spacing w:line="240" w:lineRule="auto"/>
              <w:ind w:firstLine="0" w:firstLineChars="0"/>
              <w:jc w:val="center"/>
              <w:rPr>
                <w:rFonts w:ascii="Calibri" w:hAnsi="Calibri" w:cs="Times New Roman"/>
                <w:sz w:val="21"/>
              </w:rPr>
            </w:pPr>
            <w:r>
              <w:rPr>
                <w:rFonts w:ascii="Calibri" w:hAnsi="Calibri" w:cs="Times New Roman"/>
                <w:sz w:val="21"/>
              </w:rPr>
              <w:t>茶子岭公路</w:t>
            </w:r>
          </w:p>
        </w:tc>
        <w:tc>
          <w:tcPr>
            <w:tcW w:w="739" w:type="pct"/>
            <w:vAlign w:val="center"/>
          </w:tcPr>
          <w:p w14:paraId="31517AFD">
            <w:pPr>
              <w:widowControl/>
              <w:spacing w:line="240" w:lineRule="auto"/>
              <w:ind w:firstLine="0" w:firstLineChars="0"/>
              <w:jc w:val="center"/>
              <w:rPr>
                <w:rFonts w:ascii="Calibri" w:hAnsi="Calibri" w:cs="Times New Roman"/>
                <w:sz w:val="21"/>
              </w:rPr>
            </w:pPr>
            <w:r>
              <w:rPr>
                <w:rFonts w:ascii="Calibri" w:hAnsi="Calibri" w:cs="Times New Roman"/>
                <w:sz w:val="21"/>
              </w:rPr>
              <w:t>林海</w:t>
            </w:r>
          </w:p>
        </w:tc>
        <w:tc>
          <w:tcPr>
            <w:tcW w:w="739" w:type="pct"/>
            <w:vAlign w:val="center"/>
          </w:tcPr>
          <w:p w14:paraId="1DE80904">
            <w:pPr>
              <w:widowControl/>
              <w:spacing w:line="240" w:lineRule="auto"/>
              <w:ind w:firstLine="0" w:firstLineChars="0"/>
              <w:jc w:val="center"/>
              <w:rPr>
                <w:rFonts w:ascii="Calibri" w:hAnsi="Calibri" w:cs="Times New Roman"/>
                <w:sz w:val="21"/>
              </w:rPr>
            </w:pPr>
            <w:r>
              <w:rPr>
                <w:rFonts w:ascii="Calibri" w:hAnsi="Calibri" w:cs="Times New Roman"/>
                <w:sz w:val="21"/>
              </w:rPr>
              <w:t>茶子岭</w:t>
            </w:r>
          </w:p>
        </w:tc>
        <w:tc>
          <w:tcPr>
            <w:tcW w:w="634" w:type="pct"/>
            <w:vAlign w:val="center"/>
          </w:tcPr>
          <w:p w14:paraId="69AE8E68">
            <w:pPr>
              <w:widowControl/>
              <w:spacing w:line="240" w:lineRule="auto"/>
              <w:ind w:firstLine="0" w:firstLineChars="0"/>
              <w:jc w:val="center"/>
              <w:rPr>
                <w:rFonts w:ascii="Calibri" w:hAnsi="Calibri" w:cs="Times New Roman"/>
                <w:sz w:val="21"/>
              </w:rPr>
            </w:pPr>
            <w:r>
              <w:rPr>
                <w:rFonts w:ascii="Calibri" w:hAnsi="Calibri" w:cs="Times New Roman"/>
                <w:sz w:val="21"/>
              </w:rPr>
              <w:t>Ⅳ级</w:t>
            </w:r>
          </w:p>
        </w:tc>
        <w:tc>
          <w:tcPr>
            <w:tcW w:w="634" w:type="pct"/>
            <w:vAlign w:val="center"/>
          </w:tcPr>
          <w:p w14:paraId="689A0F35">
            <w:pPr>
              <w:widowControl/>
              <w:spacing w:line="240" w:lineRule="auto"/>
              <w:ind w:firstLine="0" w:firstLineChars="0"/>
              <w:jc w:val="center"/>
              <w:rPr>
                <w:rFonts w:ascii="Calibri" w:hAnsi="Calibri" w:cs="Times New Roman"/>
                <w:sz w:val="21"/>
              </w:rPr>
            </w:pPr>
            <w:r>
              <w:rPr>
                <w:rFonts w:ascii="Calibri" w:hAnsi="Calibri" w:cs="Times New Roman"/>
                <w:sz w:val="21"/>
              </w:rPr>
              <w:t>5</w:t>
            </w:r>
          </w:p>
        </w:tc>
        <w:tc>
          <w:tcPr>
            <w:tcW w:w="924" w:type="pct"/>
            <w:vAlign w:val="center"/>
          </w:tcPr>
          <w:p w14:paraId="794665E0">
            <w:pPr>
              <w:widowControl/>
              <w:spacing w:line="240" w:lineRule="auto"/>
              <w:ind w:firstLine="0" w:firstLineChars="0"/>
              <w:jc w:val="center"/>
              <w:rPr>
                <w:rFonts w:ascii="Calibri" w:hAnsi="Calibri" w:cs="Times New Roman"/>
                <w:sz w:val="21"/>
              </w:rPr>
            </w:pPr>
            <w:r>
              <w:rPr>
                <w:rFonts w:ascii="Calibri" w:hAnsi="Calibri" w:cs="Times New Roman"/>
                <w:sz w:val="21"/>
              </w:rPr>
              <w:t>改造</w:t>
            </w:r>
          </w:p>
        </w:tc>
      </w:tr>
      <w:tr w14:paraId="5B49B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6" w:type="pct"/>
            <w:vAlign w:val="center"/>
          </w:tcPr>
          <w:p w14:paraId="71C8A9BB">
            <w:pPr>
              <w:widowControl/>
              <w:spacing w:line="240" w:lineRule="auto"/>
              <w:ind w:firstLine="0" w:firstLineChars="0"/>
              <w:jc w:val="center"/>
              <w:rPr>
                <w:rFonts w:ascii="Calibri" w:hAnsi="Calibri" w:cs="Times New Roman"/>
                <w:sz w:val="21"/>
              </w:rPr>
            </w:pPr>
            <w:r>
              <w:rPr>
                <w:rFonts w:ascii="Calibri" w:hAnsi="Calibri" w:cs="Times New Roman"/>
                <w:sz w:val="21"/>
              </w:rPr>
              <w:t>总计</w:t>
            </w:r>
          </w:p>
        </w:tc>
        <w:tc>
          <w:tcPr>
            <w:tcW w:w="845" w:type="pct"/>
            <w:vAlign w:val="center"/>
          </w:tcPr>
          <w:p w14:paraId="3A246D9C">
            <w:pPr>
              <w:widowControl/>
              <w:spacing w:line="240" w:lineRule="auto"/>
              <w:ind w:firstLine="0" w:firstLineChars="0"/>
              <w:jc w:val="center"/>
              <w:rPr>
                <w:rFonts w:ascii="Calibri" w:hAnsi="Calibri" w:cs="Times New Roman"/>
                <w:sz w:val="21"/>
              </w:rPr>
            </w:pPr>
          </w:p>
        </w:tc>
        <w:tc>
          <w:tcPr>
            <w:tcW w:w="739" w:type="pct"/>
            <w:vAlign w:val="center"/>
          </w:tcPr>
          <w:p w14:paraId="228DCB1F">
            <w:pPr>
              <w:widowControl/>
              <w:spacing w:line="240" w:lineRule="auto"/>
              <w:ind w:firstLine="0" w:firstLineChars="0"/>
              <w:jc w:val="center"/>
              <w:rPr>
                <w:rFonts w:ascii="Calibri" w:hAnsi="Calibri" w:cs="Times New Roman"/>
                <w:sz w:val="21"/>
              </w:rPr>
            </w:pPr>
          </w:p>
        </w:tc>
        <w:tc>
          <w:tcPr>
            <w:tcW w:w="739" w:type="pct"/>
            <w:vAlign w:val="center"/>
          </w:tcPr>
          <w:p w14:paraId="34B628BF">
            <w:pPr>
              <w:widowControl/>
              <w:spacing w:line="240" w:lineRule="auto"/>
              <w:ind w:firstLine="0" w:firstLineChars="0"/>
              <w:jc w:val="center"/>
              <w:rPr>
                <w:rFonts w:ascii="Calibri" w:hAnsi="Calibri" w:cs="Times New Roman"/>
                <w:sz w:val="21"/>
              </w:rPr>
            </w:pPr>
          </w:p>
        </w:tc>
        <w:tc>
          <w:tcPr>
            <w:tcW w:w="634" w:type="pct"/>
            <w:vAlign w:val="center"/>
          </w:tcPr>
          <w:p w14:paraId="4B4601FA">
            <w:pPr>
              <w:widowControl/>
              <w:spacing w:line="240" w:lineRule="auto"/>
              <w:ind w:firstLine="0" w:firstLineChars="0"/>
              <w:jc w:val="center"/>
              <w:rPr>
                <w:rFonts w:ascii="Calibri" w:hAnsi="Calibri" w:cs="Times New Roman"/>
                <w:sz w:val="21"/>
              </w:rPr>
            </w:pPr>
          </w:p>
        </w:tc>
        <w:tc>
          <w:tcPr>
            <w:tcW w:w="634" w:type="pct"/>
            <w:vAlign w:val="center"/>
          </w:tcPr>
          <w:p w14:paraId="57C69E73">
            <w:pPr>
              <w:widowControl/>
              <w:spacing w:line="240" w:lineRule="auto"/>
              <w:ind w:firstLine="0" w:firstLineChars="0"/>
              <w:jc w:val="center"/>
              <w:rPr>
                <w:rFonts w:ascii="Calibri" w:hAnsi="Calibri" w:cs="Times New Roman"/>
                <w:sz w:val="21"/>
              </w:rPr>
            </w:pPr>
            <w:r>
              <w:rPr>
                <w:rFonts w:ascii="Calibri" w:hAnsi="Calibri" w:cs="Times New Roman"/>
                <w:sz w:val="21"/>
              </w:rPr>
              <w:t>22</w:t>
            </w:r>
          </w:p>
        </w:tc>
        <w:tc>
          <w:tcPr>
            <w:tcW w:w="924" w:type="pct"/>
            <w:vAlign w:val="center"/>
          </w:tcPr>
          <w:p w14:paraId="79B97851">
            <w:pPr>
              <w:widowControl/>
              <w:spacing w:line="240" w:lineRule="auto"/>
              <w:ind w:firstLine="0" w:firstLineChars="0"/>
              <w:jc w:val="center"/>
              <w:rPr>
                <w:rFonts w:ascii="Calibri" w:hAnsi="Calibri" w:cs="Times New Roman"/>
                <w:sz w:val="21"/>
              </w:rPr>
            </w:pPr>
          </w:p>
        </w:tc>
      </w:tr>
    </w:tbl>
    <w:p w14:paraId="35820EE4">
      <w:pPr>
        <w:pStyle w:val="4"/>
      </w:pPr>
      <w:r>
        <w:rPr>
          <w:rFonts w:hint="eastAsia"/>
        </w:rPr>
        <w:t>9.1.</w:t>
      </w:r>
      <w:r>
        <w:rPr>
          <w:rFonts w:hint="eastAsia"/>
          <w:lang w:val="en-US" w:eastAsia="zh-CN"/>
        </w:rPr>
        <w:t>4</w:t>
      </w:r>
      <w:r>
        <w:rPr>
          <w:rFonts w:hint="eastAsia"/>
        </w:rPr>
        <w:t>巡护林道维护改造</w:t>
      </w:r>
    </w:p>
    <w:p w14:paraId="59820C81">
      <w:pPr>
        <w:ind w:firstLine="480"/>
        <w:rPr>
          <w:lang w:eastAsia="zh-CN"/>
        </w:rPr>
      </w:pPr>
      <w:r>
        <w:rPr>
          <w:rFonts w:hint="eastAsia"/>
          <w:lang w:eastAsia="zh-CN"/>
        </w:rPr>
        <w:t>本经营期巡护林道维护和扩建共14条林道，长97.5km。详见表9-3。</w:t>
      </w:r>
    </w:p>
    <w:p w14:paraId="6D269C3C">
      <w:pPr>
        <w:kinsoku/>
        <w:autoSpaceDE/>
        <w:autoSpaceDN/>
        <w:adjustRightInd/>
        <w:snapToGrid/>
        <w:spacing w:line="240" w:lineRule="auto"/>
        <w:ind w:firstLine="0" w:firstLineChars="0"/>
        <w:jc w:val="left"/>
        <w:textAlignment w:val="auto"/>
        <w:rPr>
          <w:rFonts w:eastAsia="黑体" w:cs="宋体"/>
          <w:b/>
          <w:lang w:eastAsia="zh-CN"/>
        </w:rPr>
      </w:pPr>
      <w:r>
        <w:rPr>
          <w:rFonts w:hint="eastAsia" w:eastAsia="黑体" w:cs="宋体"/>
          <w:b/>
          <w:lang w:eastAsia="zh-CN"/>
        </w:rPr>
        <w:br w:type="page"/>
      </w:r>
    </w:p>
    <w:p w14:paraId="7D448ECC">
      <w:pPr>
        <w:spacing w:line="240" w:lineRule="auto"/>
        <w:ind w:firstLine="0" w:firstLineChars="0"/>
        <w:jc w:val="center"/>
        <w:rPr>
          <w:rFonts w:eastAsia="黑体" w:cs="宋体"/>
          <w:b/>
          <w:lang w:eastAsia="zh-CN"/>
        </w:rPr>
      </w:pPr>
      <w:r>
        <w:rPr>
          <w:rFonts w:hint="eastAsia" w:eastAsia="黑体" w:cs="宋体"/>
          <w:b/>
          <w:lang w:eastAsia="zh-CN"/>
        </w:rPr>
        <w:t>表9-3巡护林道维护和扩建规划表</w:t>
      </w:r>
    </w:p>
    <w:p w14:paraId="4A27229E">
      <w:pPr>
        <w:spacing w:line="240" w:lineRule="auto"/>
        <w:ind w:firstLine="0" w:firstLineChars="0"/>
        <w:jc w:val="right"/>
        <w:rPr>
          <w:rFonts w:cs="宋体"/>
          <w:bCs/>
          <w:sz w:val="21"/>
          <w:lang w:eastAsia="zh-CN"/>
        </w:rPr>
      </w:pPr>
      <w:r>
        <w:rPr>
          <w:rFonts w:hint="eastAsia" w:cs="宋体"/>
          <w:bCs/>
          <w:sz w:val="21"/>
        </w:rPr>
        <w:t>单位：</w:t>
      </w:r>
      <w:r>
        <w:rPr>
          <w:rFonts w:hint="eastAsia" w:cs="宋体"/>
          <w:bCs/>
          <w:sz w:val="21"/>
          <w:lang w:eastAsia="zh-CN"/>
        </w:rPr>
        <w:t>km</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9"/>
        <w:gridCol w:w="3165"/>
        <w:gridCol w:w="1150"/>
        <w:gridCol w:w="1909"/>
        <w:gridCol w:w="1535"/>
      </w:tblGrid>
      <w:tr w14:paraId="2A342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5" w:type="pct"/>
            <w:vAlign w:val="center"/>
          </w:tcPr>
          <w:p w14:paraId="5A67E0A3">
            <w:pPr>
              <w:spacing w:line="240" w:lineRule="auto"/>
              <w:ind w:firstLine="0" w:firstLineChars="0"/>
              <w:jc w:val="center"/>
              <w:rPr>
                <w:rFonts w:cs="Times New Roman"/>
                <w:b/>
              </w:rPr>
            </w:pPr>
            <w:r>
              <w:rPr>
                <w:rFonts w:cs="Times New Roman"/>
                <w:b/>
                <w:sz w:val="21"/>
              </w:rPr>
              <w:t>序号</w:t>
            </w:r>
          </w:p>
        </w:tc>
        <w:tc>
          <w:tcPr>
            <w:tcW w:w="1776" w:type="pct"/>
            <w:vAlign w:val="center"/>
          </w:tcPr>
          <w:p w14:paraId="5E21B3DD">
            <w:pPr>
              <w:spacing w:line="240" w:lineRule="auto"/>
              <w:ind w:firstLine="0" w:firstLineChars="0"/>
              <w:jc w:val="center"/>
              <w:rPr>
                <w:rFonts w:cs="Times New Roman"/>
                <w:b/>
              </w:rPr>
            </w:pPr>
            <w:r>
              <w:rPr>
                <w:rFonts w:cs="Times New Roman"/>
                <w:b/>
                <w:sz w:val="21"/>
              </w:rPr>
              <w:t>线路起止</w:t>
            </w:r>
          </w:p>
        </w:tc>
        <w:tc>
          <w:tcPr>
            <w:tcW w:w="645" w:type="pct"/>
            <w:vAlign w:val="center"/>
          </w:tcPr>
          <w:p w14:paraId="4DFE1FA4">
            <w:pPr>
              <w:spacing w:line="240" w:lineRule="auto"/>
              <w:ind w:firstLine="0" w:firstLineChars="0"/>
              <w:jc w:val="center"/>
              <w:rPr>
                <w:rFonts w:cs="Times New Roman"/>
                <w:b/>
              </w:rPr>
            </w:pPr>
            <w:r>
              <w:rPr>
                <w:rFonts w:cs="Times New Roman"/>
                <w:b/>
                <w:sz w:val="21"/>
              </w:rPr>
              <w:t>长度</w:t>
            </w:r>
          </w:p>
        </w:tc>
        <w:tc>
          <w:tcPr>
            <w:tcW w:w="1071" w:type="pct"/>
            <w:vAlign w:val="center"/>
          </w:tcPr>
          <w:p w14:paraId="2910C82C">
            <w:pPr>
              <w:spacing w:line="240" w:lineRule="auto"/>
              <w:ind w:firstLine="0" w:firstLineChars="0"/>
              <w:jc w:val="center"/>
              <w:rPr>
                <w:rFonts w:cs="Times New Roman"/>
                <w:b/>
              </w:rPr>
            </w:pPr>
            <w:r>
              <w:rPr>
                <w:rFonts w:cs="Times New Roman"/>
                <w:b/>
                <w:sz w:val="21"/>
              </w:rPr>
              <w:t>改造方式</w:t>
            </w:r>
          </w:p>
        </w:tc>
        <w:tc>
          <w:tcPr>
            <w:tcW w:w="861" w:type="pct"/>
            <w:vAlign w:val="center"/>
          </w:tcPr>
          <w:p w14:paraId="03DC018D">
            <w:pPr>
              <w:spacing w:line="240" w:lineRule="auto"/>
              <w:ind w:firstLine="0" w:firstLineChars="0"/>
              <w:jc w:val="center"/>
              <w:rPr>
                <w:rFonts w:cs="Times New Roman"/>
                <w:b/>
              </w:rPr>
            </w:pPr>
            <w:r>
              <w:rPr>
                <w:rFonts w:cs="Times New Roman"/>
                <w:b/>
                <w:sz w:val="21"/>
              </w:rPr>
              <w:t>标准</w:t>
            </w:r>
          </w:p>
        </w:tc>
      </w:tr>
      <w:tr w14:paraId="4B9F8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5" w:type="pct"/>
            <w:vAlign w:val="center"/>
          </w:tcPr>
          <w:p w14:paraId="2F0495F8">
            <w:pPr>
              <w:spacing w:line="240" w:lineRule="auto"/>
              <w:ind w:firstLine="0" w:firstLineChars="0"/>
              <w:jc w:val="center"/>
              <w:rPr>
                <w:rFonts w:cs="Times New Roman"/>
              </w:rPr>
            </w:pPr>
          </w:p>
        </w:tc>
        <w:tc>
          <w:tcPr>
            <w:tcW w:w="1776" w:type="pct"/>
            <w:vAlign w:val="center"/>
          </w:tcPr>
          <w:p w14:paraId="5DFA1306">
            <w:pPr>
              <w:spacing w:line="240" w:lineRule="auto"/>
              <w:ind w:firstLine="0" w:firstLineChars="0"/>
              <w:jc w:val="center"/>
              <w:rPr>
                <w:rFonts w:cs="Times New Roman"/>
              </w:rPr>
            </w:pPr>
            <w:r>
              <w:rPr>
                <w:rFonts w:cs="Times New Roman"/>
                <w:sz w:val="21"/>
              </w:rPr>
              <w:t>合计</w:t>
            </w:r>
          </w:p>
        </w:tc>
        <w:tc>
          <w:tcPr>
            <w:tcW w:w="645" w:type="pct"/>
            <w:vAlign w:val="center"/>
          </w:tcPr>
          <w:p w14:paraId="5DB8B567">
            <w:pPr>
              <w:spacing w:line="240" w:lineRule="auto"/>
              <w:ind w:firstLine="0" w:firstLineChars="0"/>
              <w:jc w:val="center"/>
              <w:rPr>
                <w:rFonts w:cs="Times New Roman"/>
              </w:rPr>
            </w:pPr>
            <w:r>
              <w:rPr>
                <w:rFonts w:cs="Times New Roman"/>
                <w:sz w:val="21"/>
              </w:rPr>
              <w:t>97.5</w:t>
            </w:r>
          </w:p>
        </w:tc>
        <w:tc>
          <w:tcPr>
            <w:tcW w:w="1071" w:type="pct"/>
            <w:vAlign w:val="center"/>
          </w:tcPr>
          <w:p w14:paraId="121423A9">
            <w:pPr>
              <w:spacing w:line="240" w:lineRule="auto"/>
              <w:ind w:firstLine="0" w:firstLineChars="0"/>
              <w:jc w:val="center"/>
              <w:rPr>
                <w:rFonts w:cs="Times New Roman"/>
              </w:rPr>
            </w:pPr>
          </w:p>
        </w:tc>
        <w:tc>
          <w:tcPr>
            <w:tcW w:w="861" w:type="pct"/>
            <w:vAlign w:val="center"/>
          </w:tcPr>
          <w:p w14:paraId="29A8CBCF">
            <w:pPr>
              <w:spacing w:line="240" w:lineRule="auto"/>
              <w:ind w:firstLine="0" w:firstLineChars="0"/>
              <w:jc w:val="center"/>
              <w:rPr>
                <w:rFonts w:cs="Times New Roman"/>
              </w:rPr>
            </w:pPr>
          </w:p>
        </w:tc>
      </w:tr>
      <w:tr w14:paraId="07433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5" w:type="pct"/>
            <w:vAlign w:val="center"/>
          </w:tcPr>
          <w:p w14:paraId="430933A1">
            <w:pPr>
              <w:spacing w:line="240" w:lineRule="auto"/>
              <w:ind w:firstLine="0" w:firstLineChars="0"/>
              <w:jc w:val="center"/>
              <w:rPr>
                <w:rFonts w:cs="Times New Roman"/>
              </w:rPr>
            </w:pPr>
            <w:r>
              <w:rPr>
                <w:rFonts w:cs="Times New Roman"/>
                <w:sz w:val="21"/>
              </w:rPr>
              <w:t>1</w:t>
            </w:r>
          </w:p>
        </w:tc>
        <w:tc>
          <w:tcPr>
            <w:tcW w:w="1776" w:type="pct"/>
            <w:vAlign w:val="center"/>
          </w:tcPr>
          <w:p w14:paraId="530E6EAB">
            <w:pPr>
              <w:spacing w:line="240" w:lineRule="auto"/>
              <w:ind w:firstLine="0" w:firstLineChars="0"/>
              <w:jc w:val="center"/>
              <w:rPr>
                <w:rFonts w:cs="Times New Roman"/>
              </w:rPr>
            </w:pPr>
            <w:r>
              <w:rPr>
                <w:rFonts w:cs="Times New Roman"/>
                <w:sz w:val="21"/>
              </w:rPr>
              <w:t>阳明山-双江口</w:t>
            </w:r>
          </w:p>
        </w:tc>
        <w:tc>
          <w:tcPr>
            <w:tcW w:w="645" w:type="pct"/>
            <w:vAlign w:val="center"/>
          </w:tcPr>
          <w:p w14:paraId="6BB88563">
            <w:pPr>
              <w:spacing w:line="240" w:lineRule="auto"/>
              <w:ind w:firstLine="0" w:firstLineChars="0"/>
              <w:jc w:val="center"/>
              <w:rPr>
                <w:rFonts w:cs="Times New Roman"/>
              </w:rPr>
            </w:pPr>
            <w:r>
              <w:rPr>
                <w:rFonts w:cs="Times New Roman"/>
                <w:sz w:val="21"/>
              </w:rPr>
              <w:t>5</w:t>
            </w:r>
          </w:p>
        </w:tc>
        <w:tc>
          <w:tcPr>
            <w:tcW w:w="1071" w:type="pct"/>
            <w:vAlign w:val="center"/>
          </w:tcPr>
          <w:p w14:paraId="20E21D0E">
            <w:pPr>
              <w:spacing w:line="240" w:lineRule="auto"/>
              <w:ind w:firstLine="0" w:firstLineChars="0"/>
              <w:jc w:val="center"/>
              <w:rPr>
                <w:rFonts w:cs="Times New Roman"/>
              </w:rPr>
            </w:pPr>
            <w:r>
              <w:rPr>
                <w:rFonts w:cs="Times New Roman"/>
                <w:sz w:val="21"/>
              </w:rPr>
              <w:t>维护扩宽</w:t>
            </w:r>
          </w:p>
        </w:tc>
        <w:tc>
          <w:tcPr>
            <w:tcW w:w="861" w:type="pct"/>
            <w:vAlign w:val="center"/>
          </w:tcPr>
          <w:p w14:paraId="1D815FC1">
            <w:pPr>
              <w:spacing w:line="240" w:lineRule="auto"/>
              <w:ind w:firstLine="0" w:firstLineChars="0"/>
              <w:jc w:val="center"/>
              <w:rPr>
                <w:rFonts w:cs="Times New Roman"/>
              </w:rPr>
            </w:pPr>
            <w:r>
              <w:rPr>
                <w:rFonts w:cs="Times New Roman"/>
                <w:sz w:val="21"/>
              </w:rPr>
              <w:t>1.5m宽</w:t>
            </w:r>
          </w:p>
        </w:tc>
      </w:tr>
      <w:tr w14:paraId="558DE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5" w:type="pct"/>
            <w:vAlign w:val="center"/>
          </w:tcPr>
          <w:p w14:paraId="38644C11">
            <w:pPr>
              <w:spacing w:line="240" w:lineRule="auto"/>
              <w:ind w:firstLine="0" w:firstLineChars="0"/>
              <w:jc w:val="center"/>
              <w:rPr>
                <w:rFonts w:cs="Times New Roman"/>
              </w:rPr>
            </w:pPr>
            <w:r>
              <w:rPr>
                <w:rFonts w:cs="Times New Roman"/>
                <w:sz w:val="21"/>
              </w:rPr>
              <w:t>2</w:t>
            </w:r>
          </w:p>
        </w:tc>
        <w:tc>
          <w:tcPr>
            <w:tcW w:w="1776" w:type="pct"/>
            <w:vAlign w:val="center"/>
          </w:tcPr>
          <w:p w14:paraId="7AC702FC">
            <w:pPr>
              <w:spacing w:line="240" w:lineRule="auto"/>
              <w:ind w:firstLine="0" w:firstLineChars="0"/>
              <w:jc w:val="center"/>
              <w:rPr>
                <w:rFonts w:cs="Times New Roman"/>
              </w:rPr>
            </w:pPr>
            <w:r>
              <w:rPr>
                <w:rFonts w:cs="Times New Roman"/>
                <w:sz w:val="21"/>
              </w:rPr>
              <w:t>竹篙笈-阳明山</w:t>
            </w:r>
          </w:p>
        </w:tc>
        <w:tc>
          <w:tcPr>
            <w:tcW w:w="645" w:type="pct"/>
            <w:vAlign w:val="center"/>
          </w:tcPr>
          <w:p w14:paraId="3FCA8372">
            <w:pPr>
              <w:spacing w:line="240" w:lineRule="auto"/>
              <w:ind w:firstLine="0" w:firstLineChars="0"/>
              <w:jc w:val="center"/>
              <w:rPr>
                <w:rFonts w:cs="Times New Roman"/>
              </w:rPr>
            </w:pPr>
            <w:r>
              <w:rPr>
                <w:rFonts w:cs="Times New Roman"/>
                <w:sz w:val="21"/>
              </w:rPr>
              <w:t>8</w:t>
            </w:r>
          </w:p>
        </w:tc>
        <w:tc>
          <w:tcPr>
            <w:tcW w:w="1071" w:type="pct"/>
            <w:vAlign w:val="center"/>
          </w:tcPr>
          <w:p w14:paraId="572176AB">
            <w:pPr>
              <w:spacing w:line="240" w:lineRule="auto"/>
              <w:ind w:firstLine="0" w:firstLineChars="0"/>
              <w:jc w:val="center"/>
              <w:rPr>
                <w:rFonts w:cs="Times New Roman"/>
              </w:rPr>
            </w:pPr>
            <w:r>
              <w:rPr>
                <w:rFonts w:cs="Times New Roman"/>
                <w:sz w:val="21"/>
              </w:rPr>
              <w:t>维护扩宽</w:t>
            </w:r>
          </w:p>
        </w:tc>
        <w:tc>
          <w:tcPr>
            <w:tcW w:w="861" w:type="pct"/>
            <w:vAlign w:val="center"/>
          </w:tcPr>
          <w:p w14:paraId="39D25830">
            <w:pPr>
              <w:spacing w:line="240" w:lineRule="auto"/>
              <w:ind w:firstLine="0" w:firstLineChars="0"/>
              <w:jc w:val="center"/>
              <w:rPr>
                <w:rFonts w:cs="Times New Roman"/>
              </w:rPr>
            </w:pPr>
            <w:r>
              <w:rPr>
                <w:rFonts w:cs="Times New Roman"/>
                <w:sz w:val="21"/>
              </w:rPr>
              <w:t>1.5m宽</w:t>
            </w:r>
          </w:p>
        </w:tc>
      </w:tr>
      <w:tr w14:paraId="43855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5" w:type="pct"/>
            <w:vAlign w:val="center"/>
          </w:tcPr>
          <w:p w14:paraId="404978B2">
            <w:pPr>
              <w:spacing w:line="240" w:lineRule="auto"/>
              <w:ind w:firstLine="0" w:firstLineChars="0"/>
              <w:jc w:val="center"/>
              <w:rPr>
                <w:rFonts w:cs="Times New Roman"/>
              </w:rPr>
            </w:pPr>
            <w:r>
              <w:rPr>
                <w:rFonts w:cs="Times New Roman"/>
                <w:sz w:val="21"/>
              </w:rPr>
              <w:t>3</w:t>
            </w:r>
          </w:p>
        </w:tc>
        <w:tc>
          <w:tcPr>
            <w:tcW w:w="1776" w:type="pct"/>
            <w:vAlign w:val="center"/>
          </w:tcPr>
          <w:p w14:paraId="5DA81403">
            <w:pPr>
              <w:spacing w:line="240" w:lineRule="auto"/>
              <w:ind w:firstLine="0" w:firstLineChars="0"/>
              <w:jc w:val="center"/>
              <w:rPr>
                <w:rFonts w:cs="Times New Roman"/>
              </w:rPr>
            </w:pPr>
            <w:r>
              <w:rPr>
                <w:rFonts w:cs="Times New Roman"/>
                <w:sz w:val="21"/>
              </w:rPr>
              <w:t>望佛台-鸡公冠子</w:t>
            </w:r>
          </w:p>
        </w:tc>
        <w:tc>
          <w:tcPr>
            <w:tcW w:w="645" w:type="pct"/>
            <w:vAlign w:val="center"/>
          </w:tcPr>
          <w:p w14:paraId="14149EA5">
            <w:pPr>
              <w:spacing w:line="240" w:lineRule="auto"/>
              <w:ind w:firstLine="0" w:firstLineChars="0"/>
              <w:jc w:val="center"/>
              <w:rPr>
                <w:rFonts w:cs="Times New Roman"/>
              </w:rPr>
            </w:pPr>
            <w:r>
              <w:rPr>
                <w:rFonts w:cs="Times New Roman"/>
                <w:sz w:val="21"/>
              </w:rPr>
              <w:t>5</w:t>
            </w:r>
          </w:p>
        </w:tc>
        <w:tc>
          <w:tcPr>
            <w:tcW w:w="1071" w:type="pct"/>
            <w:vAlign w:val="center"/>
          </w:tcPr>
          <w:p w14:paraId="7616D477">
            <w:pPr>
              <w:spacing w:line="240" w:lineRule="auto"/>
              <w:ind w:firstLine="0" w:firstLineChars="0"/>
              <w:jc w:val="center"/>
              <w:rPr>
                <w:rFonts w:cs="Times New Roman"/>
              </w:rPr>
            </w:pPr>
            <w:r>
              <w:rPr>
                <w:rFonts w:cs="Times New Roman"/>
                <w:sz w:val="21"/>
              </w:rPr>
              <w:t>维护扩宽</w:t>
            </w:r>
          </w:p>
        </w:tc>
        <w:tc>
          <w:tcPr>
            <w:tcW w:w="861" w:type="pct"/>
            <w:vAlign w:val="center"/>
          </w:tcPr>
          <w:p w14:paraId="64E1BFBB">
            <w:pPr>
              <w:spacing w:line="240" w:lineRule="auto"/>
              <w:ind w:firstLine="0" w:firstLineChars="0"/>
              <w:jc w:val="center"/>
              <w:rPr>
                <w:rFonts w:cs="Times New Roman"/>
              </w:rPr>
            </w:pPr>
            <w:r>
              <w:rPr>
                <w:rFonts w:cs="Times New Roman"/>
                <w:sz w:val="21"/>
              </w:rPr>
              <w:t>1.5m宽</w:t>
            </w:r>
          </w:p>
        </w:tc>
      </w:tr>
      <w:tr w14:paraId="425BE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5" w:type="pct"/>
            <w:vAlign w:val="center"/>
          </w:tcPr>
          <w:p w14:paraId="6D285787">
            <w:pPr>
              <w:spacing w:line="240" w:lineRule="auto"/>
              <w:ind w:firstLine="0" w:firstLineChars="0"/>
              <w:jc w:val="center"/>
              <w:rPr>
                <w:rFonts w:cs="Times New Roman"/>
              </w:rPr>
            </w:pPr>
            <w:r>
              <w:rPr>
                <w:rFonts w:cs="Times New Roman"/>
                <w:sz w:val="21"/>
              </w:rPr>
              <w:t>4</w:t>
            </w:r>
          </w:p>
        </w:tc>
        <w:tc>
          <w:tcPr>
            <w:tcW w:w="1776" w:type="pct"/>
            <w:vAlign w:val="center"/>
          </w:tcPr>
          <w:p w14:paraId="3FB2BD38">
            <w:pPr>
              <w:spacing w:line="240" w:lineRule="auto"/>
              <w:ind w:firstLine="0" w:firstLineChars="0"/>
              <w:jc w:val="center"/>
              <w:rPr>
                <w:rFonts w:cs="Times New Roman"/>
              </w:rPr>
            </w:pPr>
            <w:r>
              <w:rPr>
                <w:rFonts w:cs="Times New Roman"/>
                <w:sz w:val="21"/>
              </w:rPr>
              <w:t>望佛台-双江口</w:t>
            </w:r>
          </w:p>
        </w:tc>
        <w:tc>
          <w:tcPr>
            <w:tcW w:w="645" w:type="pct"/>
            <w:vAlign w:val="center"/>
          </w:tcPr>
          <w:p w14:paraId="4711EBD4">
            <w:pPr>
              <w:spacing w:line="240" w:lineRule="auto"/>
              <w:ind w:firstLine="0" w:firstLineChars="0"/>
              <w:jc w:val="center"/>
              <w:rPr>
                <w:rFonts w:cs="Times New Roman"/>
              </w:rPr>
            </w:pPr>
            <w:r>
              <w:rPr>
                <w:rFonts w:cs="Times New Roman"/>
                <w:sz w:val="21"/>
              </w:rPr>
              <w:t>5.5</w:t>
            </w:r>
          </w:p>
        </w:tc>
        <w:tc>
          <w:tcPr>
            <w:tcW w:w="1071" w:type="pct"/>
            <w:vAlign w:val="center"/>
          </w:tcPr>
          <w:p w14:paraId="1590FFBB">
            <w:pPr>
              <w:spacing w:line="240" w:lineRule="auto"/>
              <w:ind w:firstLine="0" w:firstLineChars="0"/>
              <w:jc w:val="center"/>
              <w:rPr>
                <w:rFonts w:cs="Times New Roman"/>
              </w:rPr>
            </w:pPr>
            <w:r>
              <w:rPr>
                <w:rFonts w:cs="Times New Roman"/>
                <w:sz w:val="21"/>
              </w:rPr>
              <w:t>维护扩宽</w:t>
            </w:r>
          </w:p>
        </w:tc>
        <w:tc>
          <w:tcPr>
            <w:tcW w:w="861" w:type="pct"/>
            <w:vAlign w:val="center"/>
          </w:tcPr>
          <w:p w14:paraId="76AF68FF">
            <w:pPr>
              <w:spacing w:line="240" w:lineRule="auto"/>
              <w:ind w:firstLine="0" w:firstLineChars="0"/>
              <w:jc w:val="center"/>
              <w:rPr>
                <w:rFonts w:cs="Times New Roman"/>
              </w:rPr>
            </w:pPr>
            <w:r>
              <w:rPr>
                <w:rFonts w:cs="Times New Roman"/>
                <w:sz w:val="21"/>
              </w:rPr>
              <w:t>1.5m宽</w:t>
            </w:r>
          </w:p>
        </w:tc>
      </w:tr>
      <w:tr w14:paraId="0C6D2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5" w:type="pct"/>
            <w:vAlign w:val="center"/>
          </w:tcPr>
          <w:p w14:paraId="5A4A1E18">
            <w:pPr>
              <w:spacing w:line="240" w:lineRule="auto"/>
              <w:ind w:firstLine="0" w:firstLineChars="0"/>
              <w:jc w:val="center"/>
              <w:rPr>
                <w:rFonts w:cs="Times New Roman"/>
              </w:rPr>
            </w:pPr>
            <w:r>
              <w:rPr>
                <w:rFonts w:cs="Times New Roman"/>
                <w:sz w:val="21"/>
              </w:rPr>
              <w:t>5</w:t>
            </w:r>
          </w:p>
        </w:tc>
        <w:tc>
          <w:tcPr>
            <w:tcW w:w="1776" w:type="pct"/>
            <w:vAlign w:val="center"/>
          </w:tcPr>
          <w:p w14:paraId="68717374">
            <w:pPr>
              <w:spacing w:line="240" w:lineRule="auto"/>
              <w:ind w:firstLine="0" w:firstLineChars="0"/>
              <w:jc w:val="center"/>
              <w:rPr>
                <w:rFonts w:cs="Times New Roman"/>
              </w:rPr>
            </w:pPr>
            <w:r>
              <w:rPr>
                <w:rFonts w:cs="Times New Roman"/>
                <w:sz w:val="21"/>
              </w:rPr>
              <w:t>灯盏坳-漫井塘</w:t>
            </w:r>
          </w:p>
        </w:tc>
        <w:tc>
          <w:tcPr>
            <w:tcW w:w="645" w:type="pct"/>
            <w:vAlign w:val="center"/>
          </w:tcPr>
          <w:p w14:paraId="63672931">
            <w:pPr>
              <w:spacing w:line="240" w:lineRule="auto"/>
              <w:ind w:firstLine="0" w:firstLineChars="0"/>
              <w:jc w:val="center"/>
              <w:rPr>
                <w:rFonts w:cs="Times New Roman"/>
              </w:rPr>
            </w:pPr>
            <w:r>
              <w:rPr>
                <w:rFonts w:cs="Times New Roman"/>
                <w:sz w:val="21"/>
              </w:rPr>
              <w:t>12</w:t>
            </w:r>
          </w:p>
        </w:tc>
        <w:tc>
          <w:tcPr>
            <w:tcW w:w="1071" w:type="pct"/>
            <w:vAlign w:val="center"/>
          </w:tcPr>
          <w:p w14:paraId="07A426E7">
            <w:pPr>
              <w:spacing w:line="240" w:lineRule="auto"/>
              <w:ind w:firstLine="0" w:firstLineChars="0"/>
              <w:jc w:val="center"/>
              <w:rPr>
                <w:rFonts w:cs="Times New Roman"/>
              </w:rPr>
            </w:pPr>
            <w:r>
              <w:rPr>
                <w:rFonts w:cs="Times New Roman"/>
                <w:sz w:val="21"/>
              </w:rPr>
              <w:t>维护扩宽</w:t>
            </w:r>
          </w:p>
        </w:tc>
        <w:tc>
          <w:tcPr>
            <w:tcW w:w="861" w:type="pct"/>
            <w:vAlign w:val="center"/>
          </w:tcPr>
          <w:p w14:paraId="3F752730">
            <w:pPr>
              <w:spacing w:line="240" w:lineRule="auto"/>
              <w:ind w:firstLine="0" w:firstLineChars="0"/>
              <w:jc w:val="center"/>
              <w:rPr>
                <w:rFonts w:cs="Times New Roman"/>
              </w:rPr>
            </w:pPr>
            <w:r>
              <w:rPr>
                <w:rFonts w:cs="Times New Roman"/>
                <w:sz w:val="21"/>
              </w:rPr>
              <w:t>1.5m宽</w:t>
            </w:r>
          </w:p>
        </w:tc>
      </w:tr>
      <w:tr w14:paraId="111A2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5" w:type="pct"/>
            <w:vAlign w:val="center"/>
          </w:tcPr>
          <w:p w14:paraId="52EDC8CE">
            <w:pPr>
              <w:spacing w:line="240" w:lineRule="auto"/>
              <w:ind w:firstLine="0" w:firstLineChars="0"/>
              <w:jc w:val="center"/>
              <w:rPr>
                <w:rFonts w:cs="Times New Roman"/>
              </w:rPr>
            </w:pPr>
            <w:r>
              <w:rPr>
                <w:rFonts w:cs="Times New Roman"/>
                <w:sz w:val="21"/>
              </w:rPr>
              <w:t>6</w:t>
            </w:r>
          </w:p>
        </w:tc>
        <w:tc>
          <w:tcPr>
            <w:tcW w:w="1776" w:type="pct"/>
            <w:vAlign w:val="center"/>
          </w:tcPr>
          <w:p w14:paraId="073D55AA">
            <w:pPr>
              <w:spacing w:line="240" w:lineRule="auto"/>
              <w:ind w:firstLine="0" w:firstLineChars="0"/>
              <w:jc w:val="center"/>
              <w:rPr>
                <w:rFonts w:cs="Times New Roman"/>
              </w:rPr>
            </w:pPr>
            <w:r>
              <w:rPr>
                <w:rFonts w:cs="Times New Roman"/>
                <w:sz w:val="21"/>
              </w:rPr>
              <w:t>漫井塘-菖蒲源</w:t>
            </w:r>
          </w:p>
        </w:tc>
        <w:tc>
          <w:tcPr>
            <w:tcW w:w="645" w:type="pct"/>
            <w:vAlign w:val="center"/>
          </w:tcPr>
          <w:p w14:paraId="570C1188">
            <w:pPr>
              <w:spacing w:line="240" w:lineRule="auto"/>
              <w:ind w:firstLine="0" w:firstLineChars="0"/>
              <w:jc w:val="center"/>
              <w:rPr>
                <w:rFonts w:cs="Times New Roman"/>
              </w:rPr>
            </w:pPr>
            <w:r>
              <w:rPr>
                <w:rFonts w:cs="Times New Roman"/>
                <w:sz w:val="21"/>
              </w:rPr>
              <w:t>7</w:t>
            </w:r>
          </w:p>
        </w:tc>
        <w:tc>
          <w:tcPr>
            <w:tcW w:w="1071" w:type="pct"/>
            <w:vAlign w:val="center"/>
          </w:tcPr>
          <w:p w14:paraId="05095FC8">
            <w:pPr>
              <w:spacing w:line="240" w:lineRule="auto"/>
              <w:ind w:firstLine="0" w:firstLineChars="0"/>
              <w:jc w:val="center"/>
              <w:rPr>
                <w:rFonts w:cs="Times New Roman"/>
              </w:rPr>
            </w:pPr>
            <w:r>
              <w:rPr>
                <w:rFonts w:cs="Times New Roman"/>
                <w:sz w:val="21"/>
              </w:rPr>
              <w:t>维护扩宽</w:t>
            </w:r>
          </w:p>
        </w:tc>
        <w:tc>
          <w:tcPr>
            <w:tcW w:w="861" w:type="pct"/>
            <w:vAlign w:val="center"/>
          </w:tcPr>
          <w:p w14:paraId="53AC392C">
            <w:pPr>
              <w:spacing w:line="240" w:lineRule="auto"/>
              <w:ind w:firstLine="0" w:firstLineChars="0"/>
              <w:jc w:val="center"/>
              <w:rPr>
                <w:rFonts w:cs="Times New Roman"/>
              </w:rPr>
            </w:pPr>
            <w:r>
              <w:rPr>
                <w:rFonts w:cs="Times New Roman"/>
                <w:sz w:val="21"/>
              </w:rPr>
              <w:t>1.5m宽</w:t>
            </w:r>
          </w:p>
        </w:tc>
      </w:tr>
      <w:tr w14:paraId="26D00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5" w:type="pct"/>
            <w:vAlign w:val="center"/>
          </w:tcPr>
          <w:p w14:paraId="340B15EB">
            <w:pPr>
              <w:spacing w:line="240" w:lineRule="auto"/>
              <w:ind w:firstLine="0" w:firstLineChars="0"/>
              <w:jc w:val="center"/>
              <w:rPr>
                <w:rFonts w:cs="Times New Roman"/>
              </w:rPr>
            </w:pPr>
            <w:r>
              <w:rPr>
                <w:rFonts w:cs="Times New Roman"/>
                <w:sz w:val="21"/>
              </w:rPr>
              <w:t>7</w:t>
            </w:r>
          </w:p>
        </w:tc>
        <w:tc>
          <w:tcPr>
            <w:tcW w:w="1776" w:type="pct"/>
            <w:vAlign w:val="center"/>
          </w:tcPr>
          <w:p w14:paraId="2854B270">
            <w:pPr>
              <w:spacing w:line="240" w:lineRule="auto"/>
              <w:ind w:firstLine="0" w:firstLineChars="0"/>
              <w:jc w:val="center"/>
              <w:rPr>
                <w:rFonts w:cs="Times New Roman"/>
              </w:rPr>
            </w:pPr>
            <w:r>
              <w:rPr>
                <w:rFonts w:cs="Times New Roman"/>
                <w:sz w:val="21"/>
              </w:rPr>
              <w:t>三垮漕-阿弥陀佛</w:t>
            </w:r>
          </w:p>
        </w:tc>
        <w:tc>
          <w:tcPr>
            <w:tcW w:w="645" w:type="pct"/>
            <w:vAlign w:val="center"/>
          </w:tcPr>
          <w:p w14:paraId="544E32E6">
            <w:pPr>
              <w:spacing w:line="240" w:lineRule="auto"/>
              <w:ind w:firstLine="0" w:firstLineChars="0"/>
              <w:jc w:val="center"/>
              <w:rPr>
                <w:rFonts w:cs="Times New Roman"/>
              </w:rPr>
            </w:pPr>
            <w:r>
              <w:rPr>
                <w:rFonts w:cs="Times New Roman"/>
                <w:sz w:val="21"/>
              </w:rPr>
              <w:t>11</w:t>
            </w:r>
          </w:p>
        </w:tc>
        <w:tc>
          <w:tcPr>
            <w:tcW w:w="1071" w:type="pct"/>
            <w:vAlign w:val="center"/>
          </w:tcPr>
          <w:p w14:paraId="570394F1">
            <w:pPr>
              <w:spacing w:line="240" w:lineRule="auto"/>
              <w:ind w:firstLine="0" w:firstLineChars="0"/>
              <w:jc w:val="center"/>
              <w:rPr>
                <w:rFonts w:cs="Times New Roman"/>
              </w:rPr>
            </w:pPr>
            <w:r>
              <w:rPr>
                <w:rFonts w:cs="Times New Roman"/>
                <w:sz w:val="21"/>
              </w:rPr>
              <w:t>维护扩宽</w:t>
            </w:r>
          </w:p>
        </w:tc>
        <w:tc>
          <w:tcPr>
            <w:tcW w:w="861" w:type="pct"/>
            <w:vAlign w:val="center"/>
          </w:tcPr>
          <w:p w14:paraId="3F75D743">
            <w:pPr>
              <w:spacing w:line="240" w:lineRule="auto"/>
              <w:ind w:firstLine="0" w:firstLineChars="0"/>
              <w:jc w:val="center"/>
              <w:rPr>
                <w:rFonts w:cs="Times New Roman"/>
              </w:rPr>
            </w:pPr>
            <w:r>
              <w:rPr>
                <w:rFonts w:cs="Times New Roman"/>
                <w:sz w:val="21"/>
              </w:rPr>
              <w:t>1.5m宽</w:t>
            </w:r>
          </w:p>
        </w:tc>
      </w:tr>
      <w:tr w14:paraId="1A7CF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5" w:type="pct"/>
            <w:vAlign w:val="center"/>
          </w:tcPr>
          <w:p w14:paraId="168B61B8">
            <w:pPr>
              <w:spacing w:line="240" w:lineRule="auto"/>
              <w:ind w:firstLine="0" w:firstLineChars="0"/>
              <w:jc w:val="center"/>
              <w:rPr>
                <w:rFonts w:cs="Times New Roman"/>
              </w:rPr>
            </w:pPr>
            <w:r>
              <w:rPr>
                <w:rFonts w:cs="Times New Roman"/>
                <w:sz w:val="21"/>
              </w:rPr>
              <w:t>8</w:t>
            </w:r>
          </w:p>
        </w:tc>
        <w:tc>
          <w:tcPr>
            <w:tcW w:w="1776" w:type="pct"/>
            <w:vAlign w:val="center"/>
          </w:tcPr>
          <w:p w14:paraId="7C308FFB">
            <w:pPr>
              <w:spacing w:line="240" w:lineRule="auto"/>
              <w:ind w:firstLine="0" w:firstLineChars="0"/>
              <w:jc w:val="center"/>
              <w:rPr>
                <w:rFonts w:cs="Times New Roman"/>
              </w:rPr>
            </w:pPr>
            <w:r>
              <w:rPr>
                <w:rFonts w:cs="Times New Roman"/>
                <w:sz w:val="21"/>
              </w:rPr>
              <w:t>左手垮-北江冲</w:t>
            </w:r>
          </w:p>
        </w:tc>
        <w:tc>
          <w:tcPr>
            <w:tcW w:w="645" w:type="pct"/>
            <w:vAlign w:val="center"/>
          </w:tcPr>
          <w:p w14:paraId="6E107C9A">
            <w:pPr>
              <w:spacing w:line="240" w:lineRule="auto"/>
              <w:ind w:firstLine="0" w:firstLineChars="0"/>
              <w:jc w:val="center"/>
              <w:rPr>
                <w:rFonts w:cs="Times New Roman"/>
              </w:rPr>
            </w:pPr>
            <w:r>
              <w:rPr>
                <w:rFonts w:cs="Times New Roman"/>
                <w:sz w:val="21"/>
              </w:rPr>
              <w:t>13</w:t>
            </w:r>
          </w:p>
        </w:tc>
        <w:tc>
          <w:tcPr>
            <w:tcW w:w="1071" w:type="pct"/>
            <w:vAlign w:val="center"/>
          </w:tcPr>
          <w:p w14:paraId="098919DB">
            <w:pPr>
              <w:spacing w:line="240" w:lineRule="auto"/>
              <w:ind w:firstLine="0" w:firstLineChars="0"/>
              <w:jc w:val="center"/>
              <w:rPr>
                <w:rFonts w:cs="Times New Roman"/>
              </w:rPr>
            </w:pPr>
            <w:r>
              <w:rPr>
                <w:rFonts w:cs="Times New Roman"/>
                <w:sz w:val="21"/>
              </w:rPr>
              <w:t>维护扩宽</w:t>
            </w:r>
          </w:p>
        </w:tc>
        <w:tc>
          <w:tcPr>
            <w:tcW w:w="861" w:type="pct"/>
            <w:vAlign w:val="center"/>
          </w:tcPr>
          <w:p w14:paraId="6BB1AE6A">
            <w:pPr>
              <w:spacing w:line="240" w:lineRule="auto"/>
              <w:ind w:firstLine="0" w:firstLineChars="0"/>
              <w:jc w:val="center"/>
              <w:rPr>
                <w:rFonts w:cs="Times New Roman"/>
              </w:rPr>
            </w:pPr>
            <w:r>
              <w:rPr>
                <w:rFonts w:cs="Times New Roman"/>
                <w:sz w:val="21"/>
              </w:rPr>
              <w:t>1.5m宽</w:t>
            </w:r>
          </w:p>
        </w:tc>
      </w:tr>
      <w:tr w14:paraId="44FED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5" w:type="pct"/>
            <w:vAlign w:val="center"/>
          </w:tcPr>
          <w:p w14:paraId="4786A55A">
            <w:pPr>
              <w:spacing w:line="240" w:lineRule="auto"/>
              <w:ind w:firstLine="0" w:firstLineChars="0"/>
              <w:jc w:val="center"/>
              <w:rPr>
                <w:rFonts w:cs="Times New Roman"/>
              </w:rPr>
            </w:pPr>
            <w:r>
              <w:rPr>
                <w:rFonts w:cs="Times New Roman"/>
                <w:sz w:val="21"/>
              </w:rPr>
              <w:t>9</w:t>
            </w:r>
          </w:p>
        </w:tc>
        <w:tc>
          <w:tcPr>
            <w:tcW w:w="1776" w:type="pct"/>
            <w:vAlign w:val="center"/>
          </w:tcPr>
          <w:p w14:paraId="13823CAC">
            <w:pPr>
              <w:spacing w:line="240" w:lineRule="auto"/>
              <w:ind w:firstLine="0" w:firstLineChars="0"/>
              <w:jc w:val="center"/>
              <w:rPr>
                <w:rFonts w:cs="Times New Roman"/>
              </w:rPr>
            </w:pPr>
            <w:r>
              <w:rPr>
                <w:rFonts w:cs="Times New Roman"/>
                <w:sz w:val="21"/>
              </w:rPr>
              <w:t>黄江源-三岔水</w:t>
            </w:r>
          </w:p>
        </w:tc>
        <w:tc>
          <w:tcPr>
            <w:tcW w:w="645" w:type="pct"/>
            <w:vAlign w:val="center"/>
          </w:tcPr>
          <w:p w14:paraId="065E5733">
            <w:pPr>
              <w:spacing w:line="240" w:lineRule="auto"/>
              <w:ind w:firstLine="0" w:firstLineChars="0"/>
              <w:jc w:val="center"/>
              <w:rPr>
                <w:rFonts w:cs="Times New Roman"/>
              </w:rPr>
            </w:pPr>
            <w:r>
              <w:rPr>
                <w:rFonts w:cs="Times New Roman"/>
                <w:sz w:val="21"/>
              </w:rPr>
              <w:t>4</w:t>
            </w:r>
          </w:p>
        </w:tc>
        <w:tc>
          <w:tcPr>
            <w:tcW w:w="1071" w:type="pct"/>
            <w:vAlign w:val="center"/>
          </w:tcPr>
          <w:p w14:paraId="6C43E24B">
            <w:pPr>
              <w:spacing w:line="240" w:lineRule="auto"/>
              <w:ind w:firstLine="0" w:firstLineChars="0"/>
              <w:jc w:val="center"/>
              <w:rPr>
                <w:rFonts w:cs="Times New Roman"/>
              </w:rPr>
            </w:pPr>
            <w:r>
              <w:rPr>
                <w:rFonts w:cs="Times New Roman"/>
                <w:sz w:val="21"/>
              </w:rPr>
              <w:t>维护扩宽</w:t>
            </w:r>
          </w:p>
        </w:tc>
        <w:tc>
          <w:tcPr>
            <w:tcW w:w="861" w:type="pct"/>
            <w:vAlign w:val="center"/>
          </w:tcPr>
          <w:p w14:paraId="034D3BE1">
            <w:pPr>
              <w:spacing w:line="240" w:lineRule="auto"/>
              <w:ind w:firstLine="0" w:firstLineChars="0"/>
              <w:jc w:val="center"/>
              <w:rPr>
                <w:rFonts w:cs="Times New Roman"/>
              </w:rPr>
            </w:pPr>
            <w:r>
              <w:rPr>
                <w:rFonts w:cs="Times New Roman"/>
                <w:sz w:val="21"/>
              </w:rPr>
              <w:t>1.5m宽</w:t>
            </w:r>
          </w:p>
        </w:tc>
      </w:tr>
      <w:tr w14:paraId="1779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5" w:type="pct"/>
            <w:vAlign w:val="center"/>
          </w:tcPr>
          <w:p w14:paraId="7FB5C546">
            <w:pPr>
              <w:spacing w:line="240" w:lineRule="auto"/>
              <w:ind w:firstLine="0" w:firstLineChars="0"/>
              <w:jc w:val="center"/>
              <w:rPr>
                <w:rFonts w:cs="Times New Roman"/>
              </w:rPr>
            </w:pPr>
            <w:r>
              <w:rPr>
                <w:rFonts w:cs="Times New Roman"/>
                <w:sz w:val="21"/>
              </w:rPr>
              <w:t>10</w:t>
            </w:r>
          </w:p>
        </w:tc>
        <w:tc>
          <w:tcPr>
            <w:tcW w:w="1776" w:type="pct"/>
            <w:vAlign w:val="center"/>
          </w:tcPr>
          <w:p w14:paraId="7B5DFF1E">
            <w:pPr>
              <w:spacing w:line="240" w:lineRule="auto"/>
              <w:ind w:firstLine="0" w:firstLineChars="0"/>
              <w:jc w:val="center"/>
              <w:rPr>
                <w:rFonts w:cs="Times New Roman"/>
              </w:rPr>
            </w:pPr>
            <w:r>
              <w:rPr>
                <w:rFonts w:cs="Times New Roman"/>
                <w:sz w:val="21"/>
              </w:rPr>
              <w:t>大茅山-葛滕岐</w:t>
            </w:r>
          </w:p>
        </w:tc>
        <w:tc>
          <w:tcPr>
            <w:tcW w:w="645" w:type="pct"/>
            <w:vAlign w:val="center"/>
          </w:tcPr>
          <w:p w14:paraId="6011294B">
            <w:pPr>
              <w:spacing w:line="240" w:lineRule="auto"/>
              <w:ind w:firstLine="0" w:firstLineChars="0"/>
              <w:jc w:val="center"/>
              <w:rPr>
                <w:rFonts w:cs="Times New Roman"/>
              </w:rPr>
            </w:pPr>
            <w:r>
              <w:rPr>
                <w:rFonts w:cs="Times New Roman"/>
                <w:sz w:val="21"/>
              </w:rPr>
              <w:t>2</w:t>
            </w:r>
          </w:p>
        </w:tc>
        <w:tc>
          <w:tcPr>
            <w:tcW w:w="1071" w:type="pct"/>
            <w:vAlign w:val="center"/>
          </w:tcPr>
          <w:p w14:paraId="0D6A04C8">
            <w:pPr>
              <w:spacing w:line="240" w:lineRule="auto"/>
              <w:ind w:firstLine="0" w:firstLineChars="0"/>
              <w:jc w:val="center"/>
              <w:rPr>
                <w:rFonts w:cs="Times New Roman"/>
              </w:rPr>
            </w:pPr>
            <w:r>
              <w:rPr>
                <w:rFonts w:cs="Times New Roman"/>
                <w:sz w:val="21"/>
              </w:rPr>
              <w:t>维护扩宽</w:t>
            </w:r>
          </w:p>
        </w:tc>
        <w:tc>
          <w:tcPr>
            <w:tcW w:w="861" w:type="pct"/>
            <w:vAlign w:val="center"/>
          </w:tcPr>
          <w:p w14:paraId="37461AAA">
            <w:pPr>
              <w:spacing w:line="240" w:lineRule="auto"/>
              <w:ind w:firstLine="0" w:firstLineChars="0"/>
              <w:jc w:val="center"/>
              <w:rPr>
                <w:rFonts w:cs="Times New Roman"/>
              </w:rPr>
            </w:pPr>
            <w:r>
              <w:rPr>
                <w:rFonts w:cs="Times New Roman"/>
                <w:sz w:val="21"/>
              </w:rPr>
              <w:t>1.5m宽</w:t>
            </w:r>
          </w:p>
        </w:tc>
      </w:tr>
      <w:tr w14:paraId="2222F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5" w:type="pct"/>
            <w:vAlign w:val="center"/>
          </w:tcPr>
          <w:p w14:paraId="32E6AF8D">
            <w:pPr>
              <w:spacing w:line="240" w:lineRule="auto"/>
              <w:ind w:firstLine="0" w:firstLineChars="0"/>
              <w:jc w:val="center"/>
              <w:rPr>
                <w:rFonts w:cs="Times New Roman"/>
              </w:rPr>
            </w:pPr>
            <w:r>
              <w:rPr>
                <w:rFonts w:cs="Times New Roman"/>
                <w:sz w:val="21"/>
              </w:rPr>
              <w:t>11</w:t>
            </w:r>
          </w:p>
        </w:tc>
        <w:tc>
          <w:tcPr>
            <w:tcW w:w="1776" w:type="pct"/>
            <w:vAlign w:val="center"/>
          </w:tcPr>
          <w:p w14:paraId="56E98D76">
            <w:pPr>
              <w:spacing w:line="240" w:lineRule="auto"/>
              <w:ind w:firstLine="0" w:firstLineChars="0"/>
              <w:jc w:val="center"/>
              <w:rPr>
                <w:rFonts w:cs="Times New Roman"/>
              </w:rPr>
            </w:pPr>
            <w:r>
              <w:rPr>
                <w:rFonts w:cs="Times New Roman"/>
                <w:sz w:val="21"/>
              </w:rPr>
              <w:t>黄溪庙-塘空漯</w:t>
            </w:r>
          </w:p>
        </w:tc>
        <w:tc>
          <w:tcPr>
            <w:tcW w:w="645" w:type="pct"/>
            <w:vAlign w:val="center"/>
          </w:tcPr>
          <w:p w14:paraId="58E4CE85">
            <w:pPr>
              <w:spacing w:line="240" w:lineRule="auto"/>
              <w:ind w:firstLine="0" w:firstLineChars="0"/>
              <w:jc w:val="center"/>
              <w:rPr>
                <w:rFonts w:cs="Times New Roman"/>
              </w:rPr>
            </w:pPr>
            <w:r>
              <w:rPr>
                <w:rFonts w:cs="Times New Roman"/>
                <w:sz w:val="21"/>
              </w:rPr>
              <w:t>8</w:t>
            </w:r>
          </w:p>
        </w:tc>
        <w:tc>
          <w:tcPr>
            <w:tcW w:w="1071" w:type="pct"/>
            <w:vAlign w:val="center"/>
          </w:tcPr>
          <w:p w14:paraId="5CD3984F">
            <w:pPr>
              <w:spacing w:line="240" w:lineRule="auto"/>
              <w:ind w:firstLine="0" w:firstLineChars="0"/>
              <w:jc w:val="center"/>
              <w:rPr>
                <w:rFonts w:cs="Times New Roman"/>
              </w:rPr>
            </w:pPr>
            <w:r>
              <w:rPr>
                <w:rFonts w:cs="Times New Roman"/>
                <w:sz w:val="21"/>
              </w:rPr>
              <w:t>维护扩宽</w:t>
            </w:r>
          </w:p>
        </w:tc>
        <w:tc>
          <w:tcPr>
            <w:tcW w:w="861" w:type="pct"/>
            <w:vAlign w:val="center"/>
          </w:tcPr>
          <w:p w14:paraId="3C87004B">
            <w:pPr>
              <w:spacing w:line="240" w:lineRule="auto"/>
              <w:ind w:firstLine="0" w:firstLineChars="0"/>
              <w:jc w:val="center"/>
              <w:rPr>
                <w:rFonts w:cs="Times New Roman"/>
              </w:rPr>
            </w:pPr>
            <w:r>
              <w:rPr>
                <w:rFonts w:cs="Times New Roman"/>
                <w:sz w:val="21"/>
              </w:rPr>
              <w:t>1.5m宽</w:t>
            </w:r>
          </w:p>
        </w:tc>
      </w:tr>
      <w:tr w14:paraId="442CF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5" w:type="pct"/>
            <w:vAlign w:val="center"/>
          </w:tcPr>
          <w:p w14:paraId="33962291">
            <w:pPr>
              <w:spacing w:line="240" w:lineRule="auto"/>
              <w:ind w:firstLine="0" w:firstLineChars="0"/>
              <w:jc w:val="center"/>
              <w:rPr>
                <w:rFonts w:cs="Times New Roman"/>
              </w:rPr>
            </w:pPr>
            <w:r>
              <w:rPr>
                <w:rFonts w:cs="Times New Roman"/>
                <w:sz w:val="21"/>
              </w:rPr>
              <w:t>12</w:t>
            </w:r>
          </w:p>
        </w:tc>
        <w:tc>
          <w:tcPr>
            <w:tcW w:w="1776" w:type="pct"/>
            <w:vAlign w:val="center"/>
          </w:tcPr>
          <w:p w14:paraId="21B8E693">
            <w:pPr>
              <w:spacing w:line="240" w:lineRule="auto"/>
              <w:ind w:firstLine="0" w:firstLineChars="0"/>
              <w:jc w:val="center"/>
              <w:rPr>
                <w:rFonts w:cs="Times New Roman"/>
              </w:rPr>
            </w:pPr>
            <w:r>
              <w:rPr>
                <w:rFonts w:cs="Times New Roman"/>
                <w:sz w:val="21"/>
              </w:rPr>
              <w:t>三丘田-黄溪庙</w:t>
            </w:r>
          </w:p>
        </w:tc>
        <w:tc>
          <w:tcPr>
            <w:tcW w:w="645" w:type="pct"/>
            <w:vAlign w:val="center"/>
          </w:tcPr>
          <w:p w14:paraId="4D725D55">
            <w:pPr>
              <w:spacing w:line="240" w:lineRule="auto"/>
              <w:ind w:firstLine="0" w:firstLineChars="0"/>
              <w:jc w:val="center"/>
              <w:rPr>
                <w:rFonts w:cs="Times New Roman"/>
              </w:rPr>
            </w:pPr>
            <w:r>
              <w:rPr>
                <w:rFonts w:cs="Times New Roman"/>
                <w:sz w:val="21"/>
              </w:rPr>
              <w:t>9</w:t>
            </w:r>
          </w:p>
        </w:tc>
        <w:tc>
          <w:tcPr>
            <w:tcW w:w="1071" w:type="pct"/>
            <w:vAlign w:val="center"/>
          </w:tcPr>
          <w:p w14:paraId="37736E1B">
            <w:pPr>
              <w:spacing w:line="240" w:lineRule="auto"/>
              <w:ind w:firstLine="0" w:firstLineChars="0"/>
              <w:jc w:val="center"/>
              <w:rPr>
                <w:rFonts w:cs="Times New Roman"/>
              </w:rPr>
            </w:pPr>
            <w:r>
              <w:rPr>
                <w:rFonts w:cs="Times New Roman"/>
                <w:sz w:val="21"/>
              </w:rPr>
              <w:t>维护扩宽</w:t>
            </w:r>
          </w:p>
        </w:tc>
        <w:tc>
          <w:tcPr>
            <w:tcW w:w="861" w:type="pct"/>
            <w:vAlign w:val="center"/>
          </w:tcPr>
          <w:p w14:paraId="6253CEAF">
            <w:pPr>
              <w:spacing w:line="240" w:lineRule="auto"/>
              <w:ind w:firstLine="0" w:firstLineChars="0"/>
              <w:jc w:val="center"/>
              <w:rPr>
                <w:rFonts w:cs="Times New Roman"/>
              </w:rPr>
            </w:pPr>
            <w:r>
              <w:rPr>
                <w:rFonts w:cs="Times New Roman"/>
                <w:sz w:val="21"/>
              </w:rPr>
              <w:t>1.5m宽</w:t>
            </w:r>
          </w:p>
        </w:tc>
      </w:tr>
      <w:tr w14:paraId="7B019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5" w:type="pct"/>
            <w:vAlign w:val="center"/>
          </w:tcPr>
          <w:p w14:paraId="0C1A0121">
            <w:pPr>
              <w:spacing w:line="240" w:lineRule="auto"/>
              <w:ind w:firstLine="0" w:firstLineChars="0"/>
              <w:jc w:val="center"/>
              <w:rPr>
                <w:rFonts w:cs="Times New Roman"/>
              </w:rPr>
            </w:pPr>
            <w:r>
              <w:rPr>
                <w:rFonts w:cs="Times New Roman"/>
                <w:sz w:val="21"/>
              </w:rPr>
              <w:t>13</w:t>
            </w:r>
          </w:p>
        </w:tc>
        <w:tc>
          <w:tcPr>
            <w:tcW w:w="1776" w:type="pct"/>
            <w:vAlign w:val="center"/>
          </w:tcPr>
          <w:p w14:paraId="5CAA02C3">
            <w:pPr>
              <w:spacing w:line="240" w:lineRule="auto"/>
              <w:ind w:firstLine="0" w:firstLineChars="0"/>
              <w:jc w:val="center"/>
              <w:rPr>
                <w:rFonts w:cs="Times New Roman"/>
              </w:rPr>
            </w:pPr>
            <w:r>
              <w:rPr>
                <w:rFonts w:cs="Times New Roman"/>
                <w:sz w:val="21"/>
              </w:rPr>
              <w:t>黄溪庙-观战坳</w:t>
            </w:r>
          </w:p>
        </w:tc>
        <w:tc>
          <w:tcPr>
            <w:tcW w:w="645" w:type="pct"/>
            <w:vAlign w:val="center"/>
          </w:tcPr>
          <w:p w14:paraId="0138E064">
            <w:pPr>
              <w:spacing w:line="240" w:lineRule="auto"/>
              <w:ind w:firstLine="0" w:firstLineChars="0"/>
              <w:jc w:val="center"/>
              <w:rPr>
                <w:rFonts w:cs="Times New Roman"/>
              </w:rPr>
            </w:pPr>
            <w:r>
              <w:rPr>
                <w:rFonts w:cs="Times New Roman"/>
                <w:sz w:val="21"/>
              </w:rPr>
              <w:t>4.5</w:t>
            </w:r>
          </w:p>
        </w:tc>
        <w:tc>
          <w:tcPr>
            <w:tcW w:w="1071" w:type="pct"/>
            <w:vAlign w:val="center"/>
          </w:tcPr>
          <w:p w14:paraId="7E04FEDE">
            <w:pPr>
              <w:spacing w:line="240" w:lineRule="auto"/>
              <w:ind w:firstLine="0" w:firstLineChars="0"/>
              <w:jc w:val="center"/>
              <w:rPr>
                <w:rFonts w:cs="Times New Roman"/>
              </w:rPr>
            </w:pPr>
            <w:r>
              <w:rPr>
                <w:rFonts w:cs="Times New Roman"/>
                <w:sz w:val="21"/>
              </w:rPr>
              <w:t>维护扩宽</w:t>
            </w:r>
          </w:p>
        </w:tc>
        <w:tc>
          <w:tcPr>
            <w:tcW w:w="861" w:type="pct"/>
            <w:vAlign w:val="center"/>
          </w:tcPr>
          <w:p w14:paraId="20B280BD">
            <w:pPr>
              <w:spacing w:line="240" w:lineRule="auto"/>
              <w:ind w:firstLine="0" w:firstLineChars="0"/>
              <w:jc w:val="center"/>
              <w:rPr>
                <w:rFonts w:cs="Times New Roman"/>
              </w:rPr>
            </w:pPr>
            <w:r>
              <w:rPr>
                <w:rFonts w:cs="Times New Roman"/>
                <w:sz w:val="21"/>
              </w:rPr>
              <w:t>1.5m宽</w:t>
            </w:r>
          </w:p>
        </w:tc>
      </w:tr>
      <w:tr w14:paraId="6DA63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5" w:type="pct"/>
            <w:vAlign w:val="center"/>
          </w:tcPr>
          <w:p w14:paraId="07C558E3">
            <w:pPr>
              <w:spacing w:line="240" w:lineRule="auto"/>
              <w:ind w:firstLine="0" w:firstLineChars="0"/>
              <w:jc w:val="center"/>
              <w:rPr>
                <w:rFonts w:cs="Times New Roman"/>
              </w:rPr>
            </w:pPr>
            <w:r>
              <w:rPr>
                <w:rFonts w:cs="Times New Roman"/>
                <w:sz w:val="21"/>
              </w:rPr>
              <w:t>14</w:t>
            </w:r>
          </w:p>
        </w:tc>
        <w:tc>
          <w:tcPr>
            <w:tcW w:w="1776" w:type="pct"/>
            <w:vAlign w:val="center"/>
          </w:tcPr>
          <w:p w14:paraId="38EFA9A6">
            <w:pPr>
              <w:spacing w:line="240" w:lineRule="auto"/>
              <w:ind w:firstLine="0" w:firstLineChars="0"/>
              <w:jc w:val="center"/>
              <w:rPr>
                <w:rFonts w:cs="Times New Roman"/>
              </w:rPr>
            </w:pPr>
            <w:r>
              <w:rPr>
                <w:rFonts w:cs="Times New Roman"/>
                <w:sz w:val="21"/>
              </w:rPr>
              <w:t>熊巴岩-蒋家屋场</w:t>
            </w:r>
          </w:p>
        </w:tc>
        <w:tc>
          <w:tcPr>
            <w:tcW w:w="645" w:type="pct"/>
            <w:vAlign w:val="center"/>
          </w:tcPr>
          <w:p w14:paraId="5D4C0D16">
            <w:pPr>
              <w:spacing w:line="240" w:lineRule="auto"/>
              <w:ind w:firstLine="0" w:firstLineChars="0"/>
              <w:jc w:val="center"/>
              <w:rPr>
                <w:rFonts w:cs="Times New Roman"/>
              </w:rPr>
            </w:pPr>
            <w:r>
              <w:rPr>
                <w:rFonts w:cs="Times New Roman"/>
                <w:sz w:val="21"/>
              </w:rPr>
              <w:t>3.5</w:t>
            </w:r>
          </w:p>
        </w:tc>
        <w:tc>
          <w:tcPr>
            <w:tcW w:w="1071" w:type="pct"/>
            <w:vAlign w:val="center"/>
          </w:tcPr>
          <w:p w14:paraId="499EDF48">
            <w:pPr>
              <w:spacing w:line="240" w:lineRule="auto"/>
              <w:ind w:firstLine="0" w:firstLineChars="0"/>
              <w:jc w:val="center"/>
              <w:rPr>
                <w:rFonts w:cs="Times New Roman"/>
              </w:rPr>
            </w:pPr>
            <w:r>
              <w:rPr>
                <w:rFonts w:cs="Times New Roman"/>
                <w:sz w:val="21"/>
              </w:rPr>
              <w:t>维护扩宽</w:t>
            </w:r>
          </w:p>
        </w:tc>
        <w:tc>
          <w:tcPr>
            <w:tcW w:w="861" w:type="pct"/>
            <w:vAlign w:val="center"/>
          </w:tcPr>
          <w:p w14:paraId="6EE8A246">
            <w:pPr>
              <w:spacing w:line="240" w:lineRule="auto"/>
              <w:ind w:firstLine="0" w:firstLineChars="0"/>
              <w:jc w:val="center"/>
              <w:rPr>
                <w:rFonts w:cs="Times New Roman"/>
              </w:rPr>
            </w:pPr>
            <w:r>
              <w:rPr>
                <w:rFonts w:cs="Times New Roman"/>
                <w:sz w:val="21"/>
              </w:rPr>
              <w:t>1.5m宽</w:t>
            </w:r>
          </w:p>
        </w:tc>
      </w:tr>
    </w:tbl>
    <w:p w14:paraId="1DB6DF0E">
      <w:pPr>
        <w:pStyle w:val="3"/>
        <w:rPr>
          <w:lang w:eastAsia="zh-CN"/>
        </w:rPr>
      </w:pPr>
      <w:bookmarkStart w:id="131" w:name="_Toc10340"/>
      <w:r>
        <w:rPr>
          <w:rFonts w:hint="eastAsia"/>
          <w:lang w:eastAsia="zh-CN"/>
        </w:rPr>
        <w:t>9.2管护用房建设</w:t>
      </w:r>
      <w:bookmarkEnd w:id="131"/>
    </w:p>
    <w:p w14:paraId="0B97D9C1">
      <w:pPr>
        <w:ind w:firstLine="480"/>
        <w:rPr>
          <w:lang w:eastAsia="zh-CN"/>
        </w:rPr>
      </w:pPr>
      <w:r>
        <w:rPr>
          <w:rFonts w:hint="eastAsia"/>
          <w:lang w:eastAsia="zh-CN"/>
        </w:rPr>
        <w:t>林场现有管护用房多为上世纪七、八十年代建的砖混房，每年受冰冻、雪压的危害，部分房屋已成危房，每年都需进行检修，危房原址重建5处，管护用房维修改造前需按审批流程向林场上级主管部门办理相关手续。基本信息见表9-4、表9-5。</w:t>
      </w:r>
    </w:p>
    <w:p w14:paraId="5B898765">
      <w:pPr>
        <w:spacing w:line="240" w:lineRule="auto"/>
        <w:ind w:firstLine="0" w:firstLineChars="0"/>
        <w:jc w:val="center"/>
        <w:rPr>
          <w:rFonts w:cs="宋体"/>
          <w:b/>
          <w:lang w:eastAsia="zh-CN"/>
        </w:rPr>
      </w:pPr>
      <w:r>
        <w:rPr>
          <w:rFonts w:hint="eastAsia" w:eastAsia="黑体" w:cs="宋体"/>
          <w:b/>
          <w:lang w:eastAsia="zh-CN"/>
        </w:rPr>
        <w:t>表</w:t>
      </w:r>
      <w:r>
        <w:rPr>
          <w:rFonts w:eastAsia="黑体" w:cs="Times New Roman"/>
          <w:b/>
          <w:lang w:eastAsia="zh-CN"/>
        </w:rPr>
        <w:t>9-4</w:t>
      </w:r>
      <w:r>
        <w:rPr>
          <w:rFonts w:hint="eastAsia" w:eastAsia="黑体" w:cs="宋体"/>
          <w:b/>
          <w:lang w:eastAsia="zh-CN"/>
        </w:rPr>
        <w:t>护用房改造规划表</w:t>
      </w:r>
    </w:p>
    <w:p w14:paraId="461C1611">
      <w:pPr>
        <w:spacing w:line="240" w:lineRule="auto"/>
        <w:ind w:firstLine="0" w:firstLineChars="0"/>
        <w:jc w:val="right"/>
        <w:rPr>
          <w:rFonts w:cs="宋体"/>
          <w:bCs/>
          <w:sz w:val="21"/>
          <w:lang w:eastAsia="zh-CN"/>
        </w:rPr>
      </w:pPr>
      <w:r>
        <w:rPr>
          <w:rFonts w:hint="eastAsia" w:cs="宋体"/>
          <w:bCs/>
          <w:sz w:val="21"/>
          <w:lang w:eastAsia="zh-CN"/>
        </w:rPr>
        <w:t>单位：年、m</w:t>
      </w:r>
      <w:r>
        <w:rPr>
          <w:rFonts w:hint="eastAsia" w:cs="宋体"/>
          <w:bCs/>
          <w:sz w:val="21"/>
          <w:vertAlign w:val="superscript"/>
          <w:lang w:eastAsia="zh-CN"/>
        </w:rPr>
        <w:t>2</w:t>
      </w:r>
      <w:r>
        <w:rPr>
          <w:rFonts w:hint="eastAsia" w:cs="宋体"/>
          <w:bCs/>
          <w:sz w:val="21"/>
          <w:lang w:eastAsia="zh-CN"/>
        </w:rPr>
        <w:t>、亩、人</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1267"/>
        <w:gridCol w:w="967"/>
        <w:gridCol w:w="741"/>
        <w:gridCol w:w="1299"/>
        <w:gridCol w:w="930"/>
        <w:gridCol w:w="1484"/>
        <w:gridCol w:w="1484"/>
      </w:tblGrid>
      <w:tr w14:paraId="369CB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3" w:type="pct"/>
            <w:vMerge w:val="restart"/>
            <w:vAlign w:val="center"/>
          </w:tcPr>
          <w:p w14:paraId="3E8764FD">
            <w:pPr>
              <w:widowControl w:val="0"/>
              <w:spacing w:line="240" w:lineRule="auto"/>
              <w:ind w:firstLine="0" w:firstLineChars="0"/>
              <w:jc w:val="center"/>
              <w:rPr>
                <w:rFonts w:ascii="Calibri" w:hAnsi="Calibri" w:cs="Times New Roman"/>
                <w:b/>
              </w:rPr>
            </w:pPr>
            <w:r>
              <w:rPr>
                <w:rFonts w:ascii="Calibri" w:hAnsi="Calibri" w:cs="Times New Roman"/>
                <w:b/>
                <w:sz w:val="21"/>
              </w:rPr>
              <w:t>序号</w:t>
            </w:r>
          </w:p>
        </w:tc>
        <w:tc>
          <w:tcPr>
            <w:tcW w:w="711" w:type="pct"/>
            <w:vMerge w:val="restart"/>
            <w:vAlign w:val="center"/>
          </w:tcPr>
          <w:p w14:paraId="6B3A1D71">
            <w:pPr>
              <w:widowControl w:val="0"/>
              <w:spacing w:line="240" w:lineRule="auto"/>
              <w:ind w:firstLine="0" w:firstLineChars="0"/>
              <w:jc w:val="center"/>
              <w:rPr>
                <w:rFonts w:ascii="Calibri" w:hAnsi="Calibri" w:cs="Times New Roman"/>
                <w:b/>
              </w:rPr>
            </w:pPr>
            <w:r>
              <w:rPr>
                <w:rFonts w:ascii="Calibri" w:hAnsi="Calibri" w:cs="Times New Roman"/>
                <w:b/>
                <w:sz w:val="21"/>
              </w:rPr>
              <w:t>地点</w:t>
            </w:r>
          </w:p>
        </w:tc>
        <w:tc>
          <w:tcPr>
            <w:tcW w:w="2210" w:type="pct"/>
            <w:gridSpan w:val="4"/>
            <w:vAlign w:val="center"/>
          </w:tcPr>
          <w:p w14:paraId="2F886898">
            <w:pPr>
              <w:widowControl w:val="0"/>
              <w:spacing w:line="240" w:lineRule="auto"/>
              <w:ind w:firstLine="0" w:firstLineChars="0"/>
              <w:jc w:val="center"/>
              <w:rPr>
                <w:rFonts w:ascii="Calibri" w:hAnsi="Calibri" w:cs="Times New Roman"/>
                <w:b/>
              </w:rPr>
            </w:pPr>
            <w:r>
              <w:rPr>
                <w:rFonts w:ascii="Calibri" w:hAnsi="Calibri" w:cs="Times New Roman"/>
                <w:b/>
                <w:sz w:val="21"/>
              </w:rPr>
              <w:t>管护用房建设情况</w:t>
            </w:r>
          </w:p>
        </w:tc>
        <w:tc>
          <w:tcPr>
            <w:tcW w:w="833" w:type="pct"/>
            <w:vMerge w:val="restart"/>
            <w:vAlign w:val="center"/>
          </w:tcPr>
          <w:p w14:paraId="1F216277">
            <w:pPr>
              <w:widowControl w:val="0"/>
              <w:spacing w:line="240" w:lineRule="auto"/>
              <w:ind w:firstLine="0" w:firstLineChars="0"/>
              <w:jc w:val="center"/>
              <w:rPr>
                <w:rFonts w:ascii="Calibri" w:hAnsi="Calibri" w:cs="Times New Roman"/>
                <w:b/>
              </w:rPr>
            </w:pPr>
            <w:r>
              <w:rPr>
                <w:rFonts w:ascii="Calibri" w:hAnsi="Calibri" w:cs="Times New Roman"/>
                <w:b/>
                <w:sz w:val="21"/>
              </w:rPr>
              <w:t>功能</w:t>
            </w:r>
          </w:p>
        </w:tc>
        <w:tc>
          <w:tcPr>
            <w:tcW w:w="833" w:type="pct"/>
            <w:vMerge w:val="restart"/>
            <w:vAlign w:val="center"/>
          </w:tcPr>
          <w:p w14:paraId="5ECB4180">
            <w:pPr>
              <w:widowControl w:val="0"/>
              <w:spacing w:line="240" w:lineRule="auto"/>
              <w:ind w:firstLine="0" w:firstLineChars="0"/>
              <w:jc w:val="center"/>
              <w:rPr>
                <w:rFonts w:ascii="Calibri" w:hAnsi="Calibri" w:cs="Times New Roman"/>
                <w:b/>
              </w:rPr>
            </w:pPr>
            <w:r>
              <w:rPr>
                <w:rFonts w:ascii="Calibri" w:hAnsi="Calibri" w:cs="Times New Roman"/>
                <w:b/>
                <w:sz w:val="21"/>
              </w:rPr>
              <w:t>备注</w:t>
            </w:r>
          </w:p>
        </w:tc>
      </w:tr>
      <w:tr w14:paraId="7DCE3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3" w:type="pct"/>
            <w:vMerge w:val="continue"/>
            <w:vAlign w:val="center"/>
          </w:tcPr>
          <w:p w14:paraId="35096F0D">
            <w:pPr>
              <w:widowControl w:val="0"/>
              <w:spacing w:line="240" w:lineRule="auto"/>
              <w:ind w:firstLine="0" w:firstLineChars="0"/>
              <w:jc w:val="center"/>
              <w:rPr>
                <w:rFonts w:ascii="Calibri" w:hAnsi="Calibri" w:cs="Times New Roman"/>
              </w:rPr>
            </w:pPr>
          </w:p>
        </w:tc>
        <w:tc>
          <w:tcPr>
            <w:tcW w:w="711" w:type="pct"/>
            <w:vMerge w:val="continue"/>
            <w:vAlign w:val="center"/>
          </w:tcPr>
          <w:p w14:paraId="45F61479">
            <w:pPr>
              <w:widowControl w:val="0"/>
              <w:spacing w:line="240" w:lineRule="auto"/>
              <w:ind w:firstLine="0" w:firstLineChars="0"/>
              <w:jc w:val="center"/>
              <w:rPr>
                <w:rFonts w:ascii="Calibri" w:hAnsi="Calibri" w:cs="Times New Roman"/>
              </w:rPr>
            </w:pPr>
          </w:p>
        </w:tc>
        <w:tc>
          <w:tcPr>
            <w:tcW w:w="543" w:type="pct"/>
            <w:vAlign w:val="center"/>
          </w:tcPr>
          <w:p w14:paraId="0C7C3C21">
            <w:pPr>
              <w:widowControl w:val="0"/>
              <w:spacing w:line="240" w:lineRule="auto"/>
              <w:ind w:firstLine="0" w:firstLineChars="0"/>
              <w:jc w:val="center"/>
              <w:rPr>
                <w:rFonts w:ascii="Calibri" w:hAnsi="Calibri" w:cs="Times New Roman"/>
                <w:b/>
              </w:rPr>
            </w:pPr>
            <w:r>
              <w:rPr>
                <w:rFonts w:ascii="Calibri" w:hAnsi="Calibri" w:cs="Times New Roman"/>
                <w:b/>
                <w:sz w:val="21"/>
              </w:rPr>
              <w:t>建成年限</w:t>
            </w:r>
          </w:p>
        </w:tc>
        <w:tc>
          <w:tcPr>
            <w:tcW w:w="416" w:type="pct"/>
            <w:vAlign w:val="center"/>
          </w:tcPr>
          <w:p w14:paraId="151B6D1F">
            <w:pPr>
              <w:widowControl w:val="0"/>
              <w:spacing w:line="240" w:lineRule="auto"/>
              <w:ind w:firstLine="0" w:firstLineChars="0"/>
              <w:jc w:val="center"/>
              <w:rPr>
                <w:rFonts w:ascii="Calibri" w:hAnsi="Calibri" w:cs="Times New Roman"/>
                <w:b/>
              </w:rPr>
            </w:pPr>
            <w:r>
              <w:rPr>
                <w:rFonts w:ascii="Calibri" w:hAnsi="Calibri" w:cs="Times New Roman"/>
                <w:b/>
                <w:sz w:val="21"/>
              </w:rPr>
              <w:t>建筑面积</w:t>
            </w:r>
          </w:p>
        </w:tc>
        <w:tc>
          <w:tcPr>
            <w:tcW w:w="729" w:type="pct"/>
            <w:vAlign w:val="center"/>
          </w:tcPr>
          <w:p w14:paraId="5835FB67">
            <w:pPr>
              <w:widowControl w:val="0"/>
              <w:spacing w:line="240" w:lineRule="auto"/>
              <w:ind w:firstLine="0" w:firstLineChars="0"/>
              <w:jc w:val="center"/>
              <w:rPr>
                <w:rFonts w:ascii="Calibri" w:hAnsi="Calibri" w:cs="Times New Roman"/>
                <w:b/>
              </w:rPr>
            </w:pPr>
            <w:r>
              <w:rPr>
                <w:rFonts w:ascii="Calibri" w:hAnsi="Calibri" w:cs="Times New Roman"/>
                <w:b/>
                <w:sz w:val="21"/>
              </w:rPr>
              <w:t>建筑结构</w:t>
            </w:r>
          </w:p>
        </w:tc>
        <w:tc>
          <w:tcPr>
            <w:tcW w:w="522" w:type="pct"/>
            <w:vAlign w:val="center"/>
          </w:tcPr>
          <w:p w14:paraId="29FA80A7">
            <w:pPr>
              <w:widowControl w:val="0"/>
              <w:spacing w:line="240" w:lineRule="auto"/>
              <w:ind w:firstLine="0" w:firstLineChars="0"/>
              <w:jc w:val="center"/>
              <w:rPr>
                <w:rFonts w:ascii="Calibri" w:hAnsi="Calibri" w:cs="Times New Roman"/>
                <w:b/>
              </w:rPr>
            </w:pPr>
            <w:r>
              <w:rPr>
                <w:rFonts w:ascii="Calibri" w:hAnsi="Calibri" w:cs="Times New Roman"/>
                <w:b/>
                <w:sz w:val="21"/>
              </w:rPr>
              <w:t>楼层</w:t>
            </w:r>
          </w:p>
        </w:tc>
        <w:tc>
          <w:tcPr>
            <w:tcW w:w="833" w:type="pct"/>
            <w:vMerge w:val="continue"/>
            <w:vAlign w:val="center"/>
          </w:tcPr>
          <w:p w14:paraId="0A263F2B">
            <w:pPr>
              <w:widowControl w:val="0"/>
              <w:spacing w:line="240" w:lineRule="auto"/>
              <w:ind w:firstLine="0" w:firstLineChars="0"/>
              <w:jc w:val="center"/>
              <w:rPr>
                <w:rFonts w:ascii="Calibri" w:hAnsi="Calibri" w:cs="Times New Roman"/>
              </w:rPr>
            </w:pPr>
          </w:p>
        </w:tc>
        <w:tc>
          <w:tcPr>
            <w:tcW w:w="833" w:type="pct"/>
            <w:vMerge w:val="continue"/>
            <w:vAlign w:val="center"/>
          </w:tcPr>
          <w:p w14:paraId="78520672">
            <w:pPr>
              <w:widowControl w:val="0"/>
              <w:spacing w:line="240" w:lineRule="auto"/>
              <w:ind w:firstLine="0" w:firstLineChars="0"/>
              <w:jc w:val="center"/>
              <w:rPr>
                <w:rFonts w:ascii="Calibri" w:hAnsi="Calibri" w:cs="Times New Roman"/>
              </w:rPr>
            </w:pPr>
          </w:p>
        </w:tc>
      </w:tr>
      <w:tr w14:paraId="298B1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3" w:type="pct"/>
            <w:vAlign w:val="center"/>
          </w:tcPr>
          <w:p w14:paraId="6BD143E8">
            <w:pPr>
              <w:widowControl w:val="0"/>
              <w:spacing w:line="240" w:lineRule="auto"/>
              <w:ind w:firstLine="0" w:firstLineChars="0"/>
              <w:jc w:val="center"/>
              <w:rPr>
                <w:rFonts w:ascii="Calibri" w:hAnsi="Calibri" w:cs="Times New Roman"/>
              </w:rPr>
            </w:pPr>
            <w:r>
              <w:rPr>
                <w:rFonts w:ascii="Calibri" w:hAnsi="Calibri" w:cs="Times New Roman"/>
                <w:sz w:val="21"/>
              </w:rPr>
              <w:t>1</w:t>
            </w:r>
          </w:p>
        </w:tc>
        <w:tc>
          <w:tcPr>
            <w:tcW w:w="711" w:type="pct"/>
            <w:vAlign w:val="center"/>
          </w:tcPr>
          <w:p w14:paraId="562707B4">
            <w:pPr>
              <w:widowControl w:val="0"/>
              <w:spacing w:line="240" w:lineRule="auto"/>
              <w:ind w:firstLine="0" w:firstLineChars="0"/>
              <w:jc w:val="center"/>
              <w:rPr>
                <w:rFonts w:ascii="Calibri" w:hAnsi="Calibri" w:cs="Times New Roman"/>
              </w:rPr>
            </w:pPr>
            <w:r>
              <w:rPr>
                <w:rFonts w:ascii="Calibri" w:hAnsi="Calibri" w:cs="Times New Roman"/>
                <w:sz w:val="21"/>
              </w:rPr>
              <w:t>林场场部</w:t>
            </w:r>
          </w:p>
        </w:tc>
        <w:tc>
          <w:tcPr>
            <w:tcW w:w="543" w:type="pct"/>
            <w:vAlign w:val="center"/>
          </w:tcPr>
          <w:p w14:paraId="325F57F0">
            <w:pPr>
              <w:widowControl w:val="0"/>
              <w:spacing w:line="240" w:lineRule="auto"/>
              <w:ind w:firstLine="0" w:firstLineChars="0"/>
              <w:jc w:val="center"/>
              <w:rPr>
                <w:rFonts w:ascii="Calibri" w:hAnsi="Calibri" w:cs="Times New Roman"/>
              </w:rPr>
            </w:pPr>
            <w:r>
              <w:rPr>
                <w:rFonts w:ascii="Calibri" w:hAnsi="Calibri" w:cs="Times New Roman"/>
                <w:sz w:val="21"/>
              </w:rPr>
              <w:t>1985</w:t>
            </w:r>
          </w:p>
        </w:tc>
        <w:tc>
          <w:tcPr>
            <w:tcW w:w="416" w:type="pct"/>
            <w:vAlign w:val="center"/>
          </w:tcPr>
          <w:p w14:paraId="0EBD59F9">
            <w:pPr>
              <w:widowControl w:val="0"/>
              <w:spacing w:line="240" w:lineRule="auto"/>
              <w:ind w:firstLine="0" w:firstLineChars="0"/>
              <w:jc w:val="center"/>
              <w:rPr>
                <w:rFonts w:ascii="Calibri" w:hAnsi="Calibri" w:cs="Times New Roman"/>
              </w:rPr>
            </w:pPr>
            <w:r>
              <w:rPr>
                <w:rFonts w:ascii="Calibri" w:hAnsi="Calibri" w:cs="Times New Roman"/>
                <w:sz w:val="21"/>
              </w:rPr>
              <w:t>1600</w:t>
            </w:r>
          </w:p>
        </w:tc>
        <w:tc>
          <w:tcPr>
            <w:tcW w:w="729" w:type="pct"/>
            <w:vAlign w:val="center"/>
          </w:tcPr>
          <w:p w14:paraId="11315963">
            <w:pPr>
              <w:widowControl w:val="0"/>
              <w:spacing w:line="240" w:lineRule="auto"/>
              <w:ind w:firstLine="0" w:firstLineChars="0"/>
              <w:jc w:val="center"/>
              <w:rPr>
                <w:rFonts w:ascii="Calibri" w:hAnsi="Calibri" w:cs="Times New Roman"/>
              </w:rPr>
            </w:pPr>
            <w:r>
              <w:rPr>
                <w:rFonts w:ascii="Calibri" w:hAnsi="Calibri" w:cs="Times New Roman"/>
                <w:sz w:val="21"/>
              </w:rPr>
              <w:t>砖混结构</w:t>
            </w:r>
          </w:p>
        </w:tc>
        <w:tc>
          <w:tcPr>
            <w:tcW w:w="522" w:type="pct"/>
            <w:vAlign w:val="center"/>
          </w:tcPr>
          <w:p w14:paraId="2D3ED9B9">
            <w:pPr>
              <w:widowControl w:val="0"/>
              <w:spacing w:line="240" w:lineRule="auto"/>
              <w:ind w:firstLine="0" w:firstLineChars="0"/>
              <w:jc w:val="center"/>
              <w:rPr>
                <w:rFonts w:ascii="Calibri" w:hAnsi="Calibri" w:cs="Times New Roman"/>
              </w:rPr>
            </w:pPr>
            <w:r>
              <w:rPr>
                <w:rFonts w:ascii="Calibri" w:hAnsi="Calibri" w:cs="Times New Roman"/>
                <w:sz w:val="21"/>
              </w:rPr>
              <w:t>3层</w:t>
            </w:r>
          </w:p>
        </w:tc>
        <w:tc>
          <w:tcPr>
            <w:tcW w:w="833" w:type="pct"/>
            <w:vAlign w:val="center"/>
          </w:tcPr>
          <w:p w14:paraId="5F334EDE">
            <w:pPr>
              <w:widowControl w:val="0"/>
              <w:spacing w:line="240" w:lineRule="auto"/>
              <w:ind w:firstLine="0" w:firstLineChars="0"/>
              <w:jc w:val="center"/>
              <w:rPr>
                <w:rFonts w:ascii="Calibri" w:hAnsi="Calibri" w:cs="Times New Roman"/>
              </w:rPr>
            </w:pPr>
            <w:r>
              <w:rPr>
                <w:rFonts w:ascii="Calibri" w:hAnsi="Calibri" w:cs="Times New Roman"/>
                <w:sz w:val="21"/>
              </w:rPr>
              <w:t>办公、住宿</w:t>
            </w:r>
          </w:p>
        </w:tc>
        <w:tc>
          <w:tcPr>
            <w:tcW w:w="833" w:type="pct"/>
            <w:vAlign w:val="center"/>
          </w:tcPr>
          <w:p w14:paraId="4E65917C">
            <w:pPr>
              <w:widowControl w:val="0"/>
              <w:spacing w:line="240" w:lineRule="auto"/>
              <w:ind w:firstLine="0" w:firstLineChars="0"/>
              <w:jc w:val="center"/>
              <w:rPr>
                <w:rFonts w:ascii="Calibri" w:hAnsi="Calibri" w:cs="Times New Roman"/>
              </w:rPr>
            </w:pPr>
            <w:r>
              <w:rPr>
                <w:rFonts w:ascii="Calibri" w:hAnsi="Calibri" w:cs="Times New Roman"/>
                <w:sz w:val="21"/>
              </w:rPr>
              <w:t>混用</w:t>
            </w:r>
          </w:p>
        </w:tc>
      </w:tr>
      <w:tr w14:paraId="0DA47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3" w:type="pct"/>
            <w:vAlign w:val="center"/>
          </w:tcPr>
          <w:p w14:paraId="59325FB4">
            <w:pPr>
              <w:widowControl w:val="0"/>
              <w:spacing w:line="240" w:lineRule="auto"/>
              <w:ind w:firstLine="0" w:firstLineChars="0"/>
              <w:jc w:val="center"/>
              <w:rPr>
                <w:rFonts w:ascii="Calibri" w:hAnsi="Calibri" w:cs="Times New Roman"/>
              </w:rPr>
            </w:pPr>
            <w:r>
              <w:rPr>
                <w:rFonts w:ascii="Calibri" w:hAnsi="Calibri" w:cs="Times New Roman"/>
                <w:sz w:val="21"/>
              </w:rPr>
              <w:t>2</w:t>
            </w:r>
          </w:p>
        </w:tc>
        <w:tc>
          <w:tcPr>
            <w:tcW w:w="711" w:type="pct"/>
            <w:vAlign w:val="center"/>
          </w:tcPr>
          <w:p w14:paraId="7C8E6882">
            <w:pPr>
              <w:widowControl w:val="0"/>
              <w:spacing w:line="240" w:lineRule="auto"/>
              <w:ind w:firstLine="0" w:firstLineChars="0"/>
              <w:jc w:val="center"/>
              <w:rPr>
                <w:rFonts w:ascii="Calibri" w:hAnsi="Calibri" w:cs="Times New Roman"/>
              </w:rPr>
            </w:pPr>
            <w:r>
              <w:rPr>
                <w:rFonts w:ascii="Calibri" w:hAnsi="Calibri" w:cs="Times New Roman"/>
                <w:sz w:val="21"/>
              </w:rPr>
              <w:t>林场场部</w:t>
            </w:r>
          </w:p>
        </w:tc>
        <w:tc>
          <w:tcPr>
            <w:tcW w:w="543" w:type="pct"/>
            <w:vAlign w:val="center"/>
          </w:tcPr>
          <w:p w14:paraId="7E4C478C">
            <w:pPr>
              <w:widowControl w:val="0"/>
              <w:spacing w:line="240" w:lineRule="auto"/>
              <w:ind w:firstLine="0" w:firstLineChars="0"/>
              <w:jc w:val="center"/>
              <w:rPr>
                <w:rFonts w:ascii="Calibri" w:hAnsi="Calibri" w:cs="Times New Roman"/>
              </w:rPr>
            </w:pPr>
            <w:r>
              <w:rPr>
                <w:rFonts w:ascii="Calibri" w:hAnsi="Calibri" w:cs="Times New Roman"/>
                <w:sz w:val="21"/>
              </w:rPr>
              <w:t>1992</w:t>
            </w:r>
          </w:p>
        </w:tc>
        <w:tc>
          <w:tcPr>
            <w:tcW w:w="416" w:type="pct"/>
            <w:vAlign w:val="center"/>
          </w:tcPr>
          <w:p w14:paraId="4F61BDAB">
            <w:pPr>
              <w:widowControl w:val="0"/>
              <w:spacing w:line="240" w:lineRule="auto"/>
              <w:ind w:firstLine="0" w:firstLineChars="0"/>
              <w:jc w:val="center"/>
              <w:rPr>
                <w:rFonts w:ascii="Calibri" w:hAnsi="Calibri" w:cs="Times New Roman"/>
              </w:rPr>
            </w:pPr>
            <w:r>
              <w:rPr>
                <w:rFonts w:ascii="Calibri" w:hAnsi="Calibri" w:cs="Times New Roman"/>
                <w:sz w:val="21"/>
              </w:rPr>
              <w:t>1200</w:t>
            </w:r>
          </w:p>
        </w:tc>
        <w:tc>
          <w:tcPr>
            <w:tcW w:w="729" w:type="pct"/>
            <w:vAlign w:val="center"/>
          </w:tcPr>
          <w:p w14:paraId="73B6340A">
            <w:pPr>
              <w:widowControl w:val="0"/>
              <w:spacing w:line="240" w:lineRule="auto"/>
              <w:ind w:firstLine="0" w:firstLineChars="0"/>
              <w:jc w:val="center"/>
              <w:rPr>
                <w:rFonts w:ascii="Calibri" w:hAnsi="Calibri" w:cs="Times New Roman"/>
              </w:rPr>
            </w:pPr>
            <w:r>
              <w:rPr>
                <w:rFonts w:ascii="Calibri" w:hAnsi="Calibri" w:cs="Times New Roman"/>
                <w:sz w:val="21"/>
              </w:rPr>
              <w:t>砖混结构</w:t>
            </w:r>
          </w:p>
        </w:tc>
        <w:tc>
          <w:tcPr>
            <w:tcW w:w="522" w:type="pct"/>
            <w:vAlign w:val="center"/>
          </w:tcPr>
          <w:p w14:paraId="2FF76B8E">
            <w:pPr>
              <w:widowControl w:val="0"/>
              <w:spacing w:line="240" w:lineRule="auto"/>
              <w:ind w:firstLine="0" w:firstLineChars="0"/>
              <w:jc w:val="center"/>
              <w:rPr>
                <w:rFonts w:ascii="Calibri" w:hAnsi="Calibri" w:cs="Times New Roman"/>
              </w:rPr>
            </w:pPr>
            <w:r>
              <w:rPr>
                <w:rFonts w:ascii="Calibri" w:hAnsi="Calibri" w:cs="Times New Roman"/>
                <w:sz w:val="21"/>
              </w:rPr>
              <w:t>2屋</w:t>
            </w:r>
          </w:p>
        </w:tc>
        <w:tc>
          <w:tcPr>
            <w:tcW w:w="833" w:type="pct"/>
            <w:vAlign w:val="center"/>
          </w:tcPr>
          <w:p w14:paraId="41E5ED3E">
            <w:pPr>
              <w:widowControl w:val="0"/>
              <w:spacing w:line="240" w:lineRule="auto"/>
              <w:ind w:firstLine="0" w:firstLineChars="0"/>
              <w:jc w:val="center"/>
              <w:rPr>
                <w:rFonts w:ascii="Calibri" w:hAnsi="Calibri" w:cs="Times New Roman"/>
              </w:rPr>
            </w:pPr>
            <w:r>
              <w:rPr>
                <w:rFonts w:ascii="Calibri" w:hAnsi="Calibri" w:cs="Times New Roman"/>
                <w:sz w:val="21"/>
              </w:rPr>
              <w:t>办公、住宿</w:t>
            </w:r>
          </w:p>
        </w:tc>
        <w:tc>
          <w:tcPr>
            <w:tcW w:w="833" w:type="pct"/>
            <w:vAlign w:val="center"/>
          </w:tcPr>
          <w:p w14:paraId="2CCB4861">
            <w:pPr>
              <w:widowControl w:val="0"/>
              <w:spacing w:line="240" w:lineRule="auto"/>
              <w:ind w:firstLine="0" w:firstLineChars="0"/>
              <w:jc w:val="center"/>
              <w:rPr>
                <w:rFonts w:ascii="Calibri" w:hAnsi="Calibri" w:cs="Times New Roman"/>
              </w:rPr>
            </w:pPr>
            <w:r>
              <w:rPr>
                <w:rFonts w:ascii="Calibri" w:hAnsi="Calibri" w:cs="Times New Roman"/>
                <w:sz w:val="21"/>
              </w:rPr>
              <w:t>混用</w:t>
            </w:r>
          </w:p>
        </w:tc>
      </w:tr>
      <w:tr w14:paraId="1253E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3" w:type="pct"/>
            <w:vAlign w:val="center"/>
          </w:tcPr>
          <w:p w14:paraId="798731D1">
            <w:pPr>
              <w:widowControl w:val="0"/>
              <w:spacing w:line="240" w:lineRule="auto"/>
              <w:ind w:firstLine="0" w:firstLineChars="0"/>
              <w:jc w:val="center"/>
              <w:rPr>
                <w:rFonts w:ascii="Calibri" w:hAnsi="Calibri" w:cs="Times New Roman"/>
              </w:rPr>
            </w:pPr>
            <w:r>
              <w:rPr>
                <w:rFonts w:ascii="Calibri" w:hAnsi="Calibri" w:cs="Times New Roman"/>
                <w:sz w:val="21"/>
              </w:rPr>
              <w:t>总计</w:t>
            </w:r>
          </w:p>
        </w:tc>
        <w:tc>
          <w:tcPr>
            <w:tcW w:w="711" w:type="pct"/>
            <w:vAlign w:val="center"/>
          </w:tcPr>
          <w:p w14:paraId="528F2439">
            <w:pPr>
              <w:widowControl w:val="0"/>
              <w:spacing w:line="240" w:lineRule="auto"/>
              <w:ind w:firstLine="0" w:firstLineChars="0"/>
              <w:jc w:val="center"/>
              <w:rPr>
                <w:rFonts w:ascii="Calibri" w:hAnsi="Calibri" w:cs="Times New Roman"/>
              </w:rPr>
            </w:pPr>
          </w:p>
        </w:tc>
        <w:tc>
          <w:tcPr>
            <w:tcW w:w="543" w:type="pct"/>
            <w:vAlign w:val="center"/>
          </w:tcPr>
          <w:p w14:paraId="586D7DF1">
            <w:pPr>
              <w:widowControl w:val="0"/>
              <w:spacing w:line="240" w:lineRule="auto"/>
              <w:ind w:firstLine="0" w:firstLineChars="0"/>
              <w:jc w:val="center"/>
              <w:rPr>
                <w:rFonts w:ascii="Calibri" w:hAnsi="Calibri" w:cs="Times New Roman"/>
              </w:rPr>
            </w:pPr>
          </w:p>
        </w:tc>
        <w:tc>
          <w:tcPr>
            <w:tcW w:w="416" w:type="pct"/>
            <w:vAlign w:val="center"/>
          </w:tcPr>
          <w:p w14:paraId="7B855B37">
            <w:pPr>
              <w:widowControl w:val="0"/>
              <w:spacing w:line="240" w:lineRule="auto"/>
              <w:ind w:firstLine="0" w:firstLineChars="0"/>
              <w:jc w:val="center"/>
              <w:rPr>
                <w:rFonts w:ascii="Calibri" w:hAnsi="Calibri" w:cs="Times New Roman"/>
              </w:rPr>
            </w:pPr>
            <w:r>
              <w:rPr>
                <w:rFonts w:hint="eastAsia" w:ascii="Calibri" w:hAnsi="Calibri" w:cs="Times New Roman"/>
                <w:sz w:val="21"/>
                <w:lang w:eastAsia="zh-CN"/>
              </w:rPr>
              <w:t>2</w:t>
            </w:r>
            <w:r>
              <w:rPr>
                <w:rFonts w:ascii="Calibri" w:hAnsi="Calibri" w:cs="Times New Roman"/>
                <w:sz w:val="21"/>
              </w:rPr>
              <w:t>800</w:t>
            </w:r>
          </w:p>
        </w:tc>
        <w:tc>
          <w:tcPr>
            <w:tcW w:w="729" w:type="pct"/>
            <w:vAlign w:val="center"/>
          </w:tcPr>
          <w:p w14:paraId="460956EC">
            <w:pPr>
              <w:widowControl w:val="0"/>
              <w:spacing w:line="240" w:lineRule="auto"/>
              <w:ind w:firstLine="0" w:firstLineChars="0"/>
              <w:jc w:val="center"/>
              <w:rPr>
                <w:rFonts w:ascii="Calibri" w:hAnsi="Calibri" w:cs="Times New Roman"/>
              </w:rPr>
            </w:pPr>
          </w:p>
        </w:tc>
        <w:tc>
          <w:tcPr>
            <w:tcW w:w="522" w:type="pct"/>
            <w:vAlign w:val="center"/>
          </w:tcPr>
          <w:p w14:paraId="6F588502">
            <w:pPr>
              <w:widowControl w:val="0"/>
              <w:spacing w:line="240" w:lineRule="auto"/>
              <w:ind w:firstLine="0" w:firstLineChars="0"/>
              <w:jc w:val="center"/>
              <w:rPr>
                <w:rFonts w:ascii="Calibri" w:hAnsi="Calibri" w:cs="Times New Roman"/>
              </w:rPr>
            </w:pPr>
          </w:p>
        </w:tc>
        <w:tc>
          <w:tcPr>
            <w:tcW w:w="833" w:type="pct"/>
            <w:vAlign w:val="center"/>
          </w:tcPr>
          <w:p w14:paraId="31F37F6F">
            <w:pPr>
              <w:widowControl w:val="0"/>
              <w:spacing w:line="240" w:lineRule="auto"/>
              <w:ind w:firstLine="0" w:firstLineChars="0"/>
              <w:jc w:val="center"/>
              <w:rPr>
                <w:rFonts w:ascii="Calibri" w:hAnsi="Calibri" w:cs="Times New Roman"/>
              </w:rPr>
            </w:pPr>
          </w:p>
        </w:tc>
        <w:tc>
          <w:tcPr>
            <w:tcW w:w="833" w:type="pct"/>
            <w:vAlign w:val="center"/>
          </w:tcPr>
          <w:p w14:paraId="656C99C4">
            <w:pPr>
              <w:widowControl w:val="0"/>
              <w:spacing w:line="240" w:lineRule="auto"/>
              <w:ind w:firstLine="0" w:firstLineChars="0"/>
              <w:jc w:val="center"/>
              <w:rPr>
                <w:rFonts w:ascii="Calibri" w:hAnsi="Calibri" w:cs="Times New Roman"/>
              </w:rPr>
            </w:pPr>
          </w:p>
        </w:tc>
      </w:tr>
    </w:tbl>
    <w:p w14:paraId="3827BEB9">
      <w:pPr>
        <w:spacing w:line="240" w:lineRule="auto"/>
        <w:ind w:firstLine="0" w:firstLineChars="0"/>
        <w:jc w:val="center"/>
        <w:rPr>
          <w:rFonts w:eastAsia="黑体" w:cs="宋体"/>
          <w:b/>
          <w:lang w:eastAsia="zh-CN"/>
        </w:rPr>
      </w:pPr>
    </w:p>
    <w:p w14:paraId="67CC98D2">
      <w:pPr>
        <w:kinsoku/>
        <w:autoSpaceDE/>
        <w:autoSpaceDN/>
        <w:adjustRightInd/>
        <w:snapToGrid/>
        <w:spacing w:line="240" w:lineRule="auto"/>
        <w:ind w:firstLine="0" w:firstLineChars="0"/>
        <w:jc w:val="left"/>
        <w:textAlignment w:val="auto"/>
        <w:rPr>
          <w:rFonts w:eastAsia="黑体" w:cs="宋体"/>
          <w:b/>
          <w:lang w:eastAsia="zh-CN"/>
        </w:rPr>
      </w:pPr>
      <w:r>
        <w:rPr>
          <w:rFonts w:hint="eastAsia" w:eastAsia="黑体" w:cs="宋体"/>
          <w:b/>
          <w:lang w:eastAsia="zh-CN"/>
        </w:rPr>
        <w:br w:type="page"/>
      </w:r>
    </w:p>
    <w:p w14:paraId="2F0F936C">
      <w:pPr>
        <w:spacing w:line="240" w:lineRule="auto"/>
        <w:ind w:firstLine="0" w:firstLineChars="0"/>
        <w:jc w:val="center"/>
        <w:rPr>
          <w:rFonts w:cs="宋体"/>
          <w:b/>
          <w:lang w:eastAsia="zh-CN"/>
        </w:rPr>
      </w:pPr>
      <w:r>
        <w:rPr>
          <w:rFonts w:hint="eastAsia" w:eastAsia="黑体" w:cs="宋体"/>
          <w:b/>
          <w:lang w:eastAsia="zh-CN"/>
        </w:rPr>
        <w:t>表</w:t>
      </w:r>
      <w:r>
        <w:rPr>
          <w:rFonts w:eastAsia="黑体" w:cs="Times New Roman"/>
          <w:b/>
          <w:lang w:eastAsia="zh-CN"/>
        </w:rPr>
        <w:t>9-5</w:t>
      </w:r>
      <w:r>
        <w:rPr>
          <w:rFonts w:hint="eastAsia" w:cs="宋体"/>
          <w:b/>
          <w:lang w:eastAsia="zh-CN"/>
        </w:rPr>
        <w:t>管护用房重建规划表</w:t>
      </w:r>
    </w:p>
    <w:p w14:paraId="039755A1">
      <w:pPr>
        <w:spacing w:line="240" w:lineRule="auto"/>
        <w:ind w:firstLine="0" w:firstLineChars="0"/>
        <w:jc w:val="right"/>
        <w:rPr>
          <w:rFonts w:cs="宋体"/>
          <w:bCs/>
          <w:sz w:val="21"/>
          <w:lang w:eastAsia="zh-CN"/>
        </w:rPr>
      </w:pPr>
      <w:r>
        <w:rPr>
          <w:rFonts w:hint="eastAsia" w:cs="宋体"/>
          <w:bCs/>
          <w:sz w:val="21"/>
          <w:lang w:eastAsia="zh-CN"/>
        </w:rPr>
        <w:t>单位：</w:t>
      </w:r>
      <w:r>
        <w:rPr>
          <w:rFonts w:cs="Times New Roman"/>
          <w:bCs/>
          <w:sz w:val="21"/>
          <w:lang w:eastAsia="zh-CN"/>
        </w:rPr>
        <w:t>m</w:t>
      </w:r>
      <w:r>
        <w:rPr>
          <w:rFonts w:cs="Times New Roman"/>
          <w:bCs/>
          <w:sz w:val="21"/>
          <w:vertAlign w:val="superscript"/>
          <w:lang w:eastAsia="zh-CN"/>
        </w:rPr>
        <w:t>2</w:t>
      </w:r>
      <w:r>
        <w:rPr>
          <w:rFonts w:hint="eastAsia" w:cs="宋体"/>
          <w:bCs/>
          <w:sz w:val="21"/>
          <w:lang w:eastAsia="zh-CN"/>
        </w:rPr>
        <w:t>、亩、人</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2"/>
        <w:gridCol w:w="1308"/>
        <w:gridCol w:w="1066"/>
        <w:gridCol w:w="893"/>
        <w:gridCol w:w="1255"/>
        <w:gridCol w:w="1082"/>
        <w:gridCol w:w="1412"/>
        <w:gridCol w:w="1144"/>
      </w:tblGrid>
      <w:tr w14:paraId="36F43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2" w:type="pct"/>
            <w:vMerge w:val="restart"/>
            <w:vAlign w:val="center"/>
          </w:tcPr>
          <w:p w14:paraId="5FBCA839">
            <w:pPr>
              <w:widowControl w:val="0"/>
              <w:spacing w:line="240" w:lineRule="auto"/>
              <w:ind w:firstLine="0" w:firstLineChars="0"/>
              <w:jc w:val="center"/>
              <w:rPr>
                <w:rFonts w:ascii="Calibri" w:hAnsi="Calibri" w:cs="Times New Roman"/>
                <w:sz w:val="21"/>
              </w:rPr>
            </w:pPr>
            <w:r>
              <w:rPr>
                <w:rFonts w:ascii="Calibri" w:hAnsi="Calibri" w:cs="Times New Roman"/>
                <w:sz w:val="21"/>
              </w:rPr>
              <w:t>序号</w:t>
            </w:r>
          </w:p>
        </w:tc>
        <w:tc>
          <w:tcPr>
            <w:tcW w:w="734" w:type="pct"/>
            <w:vMerge w:val="restart"/>
            <w:vAlign w:val="center"/>
          </w:tcPr>
          <w:p w14:paraId="638E8F63">
            <w:pPr>
              <w:widowControl w:val="0"/>
              <w:spacing w:line="240" w:lineRule="auto"/>
              <w:ind w:firstLine="0" w:firstLineChars="0"/>
              <w:jc w:val="center"/>
              <w:rPr>
                <w:rFonts w:ascii="Calibri" w:hAnsi="Calibri" w:cs="Times New Roman"/>
                <w:sz w:val="21"/>
              </w:rPr>
            </w:pPr>
            <w:r>
              <w:rPr>
                <w:rFonts w:ascii="Calibri" w:hAnsi="Calibri" w:cs="Times New Roman"/>
                <w:sz w:val="21"/>
              </w:rPr>
              <w:t>地点</w:t>
            </w:r>
          </w:p>
        </w:tc>
        <w:tc>
          <w:tcPr>
            <w:tcW w:w="2410" w:type="pct"/>
            <w:gridSpan w:val="4"/>
            <w:vAlign w:val="center"/>
          </w:tcPr>
          <w:p w14:paraId="6F1FAC64">
            <w:pPr>
              <w:widowControl w:val="0"/>
              <w:spacing w:line="240" w:lineRule="auto"/>
              <w:ind w:firstLine="0" w:firstLineChars="0"/>
              <w:jc w:val="center"/>
              <w:rPr>
                <w:rFonts w:ascii="Calibri" w:hAnsi="Calibri" w:cs="Times New Roman"/>
                <w:sz w:val="21"/>
              </w:rPr>
            </w:pPr>
            <w:r>
              <w:rPr>
                <w:rFonts w:ascii="Calibri" w:hAnsi="Calibri" w:cs="Times New Roman"/>
                <w:sz w:val="21"/>
              </w:rPr>
              <w:t>管护用房建设情况</w:t>
            </w:r>
          </w:p>
        </w:tc>
        <w:tc>
          <w:tcPr>
            <w:tcW w:w="792" w:type="pct"/>
            <w:vMerge w:val="restart"/>
            <w:vAlign w:val="center"/>
          </w:tcPr>
          <w:p w14:paraId="2D2579F5">
            <w:pPr>
              <w:widowControl w:val="0"/>
              <w:spacing w:line="240" w:lineRule="auto"/>
              <w:ind w:firstLine="0" w:firstLineChars="0"/>
              <w:jc w:val="center"/>
              <w:rPr>
                <w:rFonts w:ascii="Calibri" w:hAnsi="Calibri" w:cs="Times New Roman"/>
                <w:sz w:val="21"/>
              </w:rPr>
            </w:pPr>
            <w:r>
              <w:rPr>
                <w:rFonts w:ascii="Calibri" w:hAnsi="Calibri" w:cs="Times New Roman"/>
                <w:sz w:val="21"/>
              </w:rPr>
              <w:t>功能</w:t>
            </w:r>
          </w:p>
        </w:tc>
        <w:tc>
          <w:tcPr>
            <w:tcW w:w="643" w:type="pct"/>
            <w:vMerge w:val="restart"/>
            <w:vAlign w:val="center"/>
          </w:tcPr>
          <w:p w14:paraId="11C468C6">
            <w:pPr>
              <w:widowControl w:val="0"/>
              <w:spacing w:line="240" w:lineRule="auto"/>
              <w:ind w:firstLine="0" w:firstLineChars="0"/>
              <w:jc w:val="center"/>
              <w:rPr>
                <w:rFonts w:ascii="Calibri" w:hAnsi="Calibri" w:cs="Times New Roman"/>
                <w:sz w:val="21"/>
              </w:rPr>
            </w:pPr>
            <w:r>
              <w:rPr>
                <w:rFonts w:ascii="Calibri" w:hAnsi="Calibri" w:cs="Times New Roman"/>
                <w:sz w:val="21"/>
              </w:rPr>
              <w:t>备注</w:t>
            </w:r>
          </w:p>
        </w:tc>
      </w:tr>
      <w:tr w14:paraId="27B75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2" w:type="pct"/>
            <w:vMerge w:val="continue"/>
            <w:vAlign w:val="center"/>
          </w:tcPr>
          <w:p w14:paraId="51619DE4">
            <w:pPr>
              <w:widowControl w:val="0"/>
              <w:spacing w:line="240" w:lineRule="auto"/>
              <w:ind w:firstLine="0" w:firstLineChars="0"/>
              <w:jc w:val="center"/>
              <w:rPr>
                <w:rFonts w:ascii="Calibri" w:hAnsi="Calibri" w:cs="Times New Roman"/>
                <w:sz w:val="21"/>
              </w:rPr>
            </w:pPr>
          </w:p>
        </w:tc>
        <w:tc>
          <w:tcPr>
            <w:tcW w:w="734" w:type="pct"/>
            <w:vMerge w:val="continue"/>
            <w:vAlign w:val="center"/>
          </w:tcPr>
          <w:p w14:paraId="28F30A26">
            <w:pPr>
              <w:widowControl w:val="0"/>
              <w:spacing w:line="240" w:lineRule="auto"/>
              <w:ind w:firstLine="0" w:firstLineChars="0"/>
              <w:jc w:val="center"/>
              <w:rPr>
                <w:rFonts w:ascii="Calibri" w:hAnsi="Calibri" w:cs="Times New Roman"/>
                <w:sz w:val="21"/>
              </w:rPr>
            </w:pPr>
          </w:p>
        </w:tc>
        <w:tc>
          <w:tcPr>
            <w:tcW w:w="598" w:type="pct"/>
            <w:vAlign w:val="center"/>
          </w:tcPr>
          <w:p w14:paraId="0ED910E0">
            <w:pPr>
              <w:widowControl w:val="0"/>
              <w:spacing w:line="240" w:lineRule="auto"/>
              <w:ind w:firstLine="0" w:firstLineChars="0"/>
              <w:jc w:val="center"/>
              <w:rPr>
                <w:rFonts w:ascii="Calibri" w:hAnsi="Calibri" w:cs="Times New Roman"/>
                <w:sz w:val="21"/>
              </w:rPr>
            </w:pPr>
            <w:r>
              <w:rPr>
                <w:rFonts w:ascii="Calibri" w:hAnsi="Calibri" w:cs="Times New Roman"/>
                <w:sz w:val="21"/>
              </w:rPr>
              <w:t>建成年限</w:t>
            </w:r>
          </w:p>
        </w:tc>
        <w:tc>
          <w:tcPr>
            <w:tcW w:w="501" w:type="pct"/>
            <w:vAlign w:val="center"/>
          </w:tcPr>
          <w:p w14:paraId="38691646">
            <w:pPr>
              <w:widowControl w:val="0"/>
              <w:spacing w:line="240" w:lineRule="auto"/>
              <w:ind w:firstLine="0" w:firstLineChars="0"/>
              <w:jc w:val="center"/>
              <w:rPr>
                <w:rFonts w:ascii="Calibri" w:hAnsi="Calibri" w:cs="Times New Roman"/>
                <w:sz w:val="21"/>
              </w:rPr>
            </w:pPr>
            <w:r>
              <w:rPr>
                <w:rFonts w:ascii="Calibri" w:hAnsi="Calibri" w:cs="Times New Roman"/>
                <w:sz w:val="21"/>
              </w:rPr>
              <w:t>建筑面积</w:t>
            </w:r>
          </w:p>
        </w:tc>
        <w:tc>
          <w:tcPr>
            <w:tcW w:w="704" w:type="pct"/>
            <w:vAlign w:val="center"/>
          </w:tcPr>
          <w:p w14:paraId="32885E69">
            <w:pPr>
              <w:widowControl w:val="0"/>
              <w:spacing w:line="240" w:lineRule="auto"/>
              <w:ind w:firstLine="0" w:firstLineChars="0"/>
              <w:jc w:val="center"/>
              <w:rPr>
                <w:rFonts w:ascii="Calibri" w:hAnsi="Calibri" w:cs="Times New Roman"/>
                <w:sz w:val="21"/>
              </w:rPr>
            </w:pPr>
            <w:r>
              <w:rPr>
                <w:rFonts w:ascii="Calibri" w:hAnsi="Calibri" w:cs="Times New Roman"/>
                <w:sz w:val="21"/>
              </w:rPr>
              <w:t>建筑结构</w:t>
            </w:r>
          </w:p>
        </w:tc>
        <w:tc>
          <w:tcPr>
            <w:tcW w:w="607" w:type="pct"/>
            <w:vAlign w:val="center"/>
          </w:tcPr>
          <w:p w14:paraId="349AB9F6">
            <w:pPr>
              <w:widowControl w:val="0"/>
              <w:spacing w:line="240" w:lineRule="auto"/>
              <w:ind w:firstLine="0" w:firstLineChars="0"/>
              <w:jc w:val="center"/>
              <w:rPr>
                <w:rFonts w:ascii="Calibri" w:hAnsi="Calibri" w:cs="Times New Roman"/>
                <w:sz w:val="21"/>
              </w:rPr>
            </w:pPr>
            <w:r>
              <w:rPr>
                <w:rFonts w:ascii="Calibri" w:hAnsi="Calibri" w:cs="Times New Roman"/>
                <w:sz w:val="21"/>
              </w:rPr>
              <w:t>楼层</w:t>
            </w:r>
          </w:p>
        </w:tc>
        <w:tc>
          <w:tcPr>
            <w:tcW w:w="792" w:type="pct"/>
            <w:vMerge w:val="continue"/>
            <w:vAlign w:val="center"/>
          </w:tcPr>
          <w:p w14:paraId="2EDCE7B6">
            <w:pPr>
              <w:widowControl w:val="0"/>
              <w:spacing w:line="240" w:lineRule="auto"/>
              <w:ind w:firstLine="0" w:firstLineChars="0"/>
              <w:jc w:val="center"/>
              <w:rPr>
                <w:rFonts w:ascii="Calibri" w:hAnsi="Calibri" w:cs="Times New Roman"/>
                <w:sz w:val="21"/>
              </w:rPr>
            </w:pPr>
          </w:p>
        </w:tc>
        <w:tc>
          <w:tcPr>
            <w:tcW w:w="643" w:type="pct"/>
            <w:vMerge w:val="continue"/>
            <w:vAlign w:val="center"/>
          </w:tcPr>
          <w:p w14:paraId="6BB206AF">
            <w:pPr>
              <w:widowControl w:val="0"/>
              <w:spacing w:line="240" w:lineRule="auto"/>
              <w:ind w:firstLine="0" w:firstLineChars="0"/>
              <w:jc w:val="center"/>
              <w:rPr>
                <w:rFonts w:ascii="Calibri" w:hAnsi="Calibri" w:cs="Times New Roman"/>
                <w:sz w:val="21"/>
              </w:rPr>
            </w:pPr>
          </w:p>
        </w:tc>
      </w:tr>
      <w:tr w14:paraId="18B81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2" w:type="pct"/>
            <w:vAlign w:val="center"/>
          </w:tcPr>
          <w:p w14:paraId="3ED3748B">
            <w:pPr>
              <w:widowControl w:val="0"/>
              <w:spacing w:line="240" w:lineRule="auto"/>
              <w:ind w:firstLine="0" w:firstLineChars="0"/>
              <w:jc w:val="center"/>
              <w:rPr>
                <w:rFonts w:ascii="Calibri" w:hAnsi="Calibri" w:cs="Times New Roman"/>
                <w:sz w:val="21"/>
              </w:rPr>
            </w:pPr>
            <w:r>
              <w:rPr>
                <w:rFonts w:ascii="Calibri" w:hAnsi="Calibri" w:cs="Times New Roman"/>
                <w:sz w:val="21"/>
              </w:rPr>
              <w:t>1</w:t>
            </w:r>
          </w:p>
        </w:tc>
        <w:tc>
          <w:tcPr>
            <w:tcW w:w="734" w:type="pct"/>
            <w:vAlign w:val="center"/>
          </w:tcPr>
          <w:p w14:paraId="512ADEB3">
            <w:pPr>
              <w:widowControl w:val="0"/>
              <w:spacing w:line="240" w:lineRule="auto"/>
              <w:ind w:firstLine="0" w:firstLineChars="0"/>
              <w:jc w:val="center"/>
              <w:rPr>
                <w:rFonts w:ascii="Calibri" w:hAnsi="Calibri" w:cs="Times New Roman"/>
                <w:sz w:val="21"/>
              </w:rPr>
            </w:pPr>
            <w:r>
              <w:rPr>
                <w:rFonts w:ascii="Calibri" w:hAnsi="Calibri" w:cs="Times New Roman"/>
                <w:sz w:val="21"/>
              </w:rPr>
              <w:t>林场场部</w:t>
            </w:r>
          </w:p>
        </w:tc>
        <w:tc>
          <w:tcPr>
            <w:tcW w:w="598" w:type="pct"/>
            <w:vAlign w:val="center"/>
          </w:tcPr>
          <w:p w14:paraId="74AE4993">
            <w:pPr>
              <w:widowControl w:val="0"/>
              <w:spacing w:line="240" w:lineRule="auto"/>
              <w:ind w:firstLine="0" w:firstLineChars="0"/>
              <w:jc w:val="center"/>
              <w:rPr>
                <w:rFonts w:ascii="Calibri" w:hAnsi="Calibri" w:cs="Times New Roman"/>
                <w:sz w:val="21"/>
              </w:rPr>
            </w:pPr>
            <w:r>
              <w:rPr>
                <w:rFonts w:ascii="Calibri" w:hAnsi="Calibri" w:cs="Times New Roman"/>
                <w:sz w:val="21"/>
              </w:rPr>
              <w:t>1978</w:t>
            </w:r>
          </w:p>
        </w:tc>
        <w:tc>
          <w:tcPr>
            <w:tcW w:w="501" w:type="pct"/>
            <w:vAlign w:val="center"/>
          </w:tcPr>
          <w:p w14:paraId="5D49705B">
            <w:pPr>
              <w:widowControl w:val="0"/>
              <w:spacing w:line="240" w:lineRule="auto"/>
              <w:ind w:firstLine="0" w:firstLineChars="0"/>
              <w:jc w:val="center"/>
              <w:rPr>
                <w:rFonts w:ascii="Calibri" w:hAnsi="Calibri" w:cs="Times New Roman"/>
                <w:sz w:val="21"/>
              </w:rPr>
            </w:pPr>
            <w:r>
              <w:rPr>
                <w:rFonts w:ascii="Calibri" w:hAnsi="Calibri" w:cs="Times New Roman"/>
                <w:sz w:val="21"/>
              </w:rPr>
              <w:t>920</w:t>
            </w:r>
          </w:p>
        </w:tc>
        <w:tc>
          <w:tcPr>
            <w:tcW w:w="704" w:type="pct"/>
            <w:vAlign w:val="center"/>
          </w:tcPr>
          <w:p w14:paraId="656838E2">
            <w:pPr>
              <w:widowControl w:val="0"/>
              <w:spacing w:line="240" w:lineRule="auto"/>
              <w:ind w:firstLine="0" w:firstLineChars="0"/>
              <w:jc w:val="center"/>
              <w:rPr>
                <w:rFonts w:ascii="Calibri" w:hAnsi="Calibri" w:cs="Times New Roman"/>
                <w:sz w:val="21"/>
              </w:rPr>
            </w:pPr>
            <w:r>
              <w:rPr>
                <w:rFonts w:ascii="Calibri" w:hAnsi="Calibri" w:cs="Times New Roman"/>
                <w:sz w:val="21"/>
              </w:rPr>
              <w:t>砖木结构</w:t>
            </w:r>
          </w:p>
        </w:tc>
        <w:tc>
          <w:tcPr>
            <w:tcW w:w="607" w:type="pct"/>
            <w:vAlign w:val="center"/>
          </w:tcPr>
          <w:p w14:paraId="6A5B3088">
            <w:pPr>
              <w:widowControl w:val="0"/>
              <w:spacing w:line="240" w:lineRule="auto"/>
              <w:ind w:firstLine="0" w:firstLineChars="0"/>
              <w:jc w:val="center"/>
              <w:rPr>
                <w:rFonts w:ascii="Calibri" w:hAnsi="Calibri" w:cs="Times New Roman"/>
                <w:sz w:val="21"/>
              </w:rPr>
            </w:pPr>
            <w:r>
              <w:rPr>
                <w:rFonts w:ascii="Calibri" w:hAnsi="Calibri" w:cs="Times New Roman"/>
                <w:sz w:val="21"/>
              </w:rPr>
              <w:t>1层</w:t>
            </w:r>
          </w:p>
        </w:tc>
        <w:tc>
          <w:tcPr>
            <w:tcW w:w="792" w:type="pct"/>
            <w:vAlign w:val="center"/>
          </w:tcPr>
          <w:p w14:paraId="4761C9F7">
            <w:pPr>
              <w:widowControl w:val="0"/>
              <w:spacing w:line="240" w:lineRule="auto"/>
              <w:ind w:firstLine="0" w:firstLineChars="0"/>
              <w:jc w:val="center"/>
              <w:rPr>
                <w:rFonts w:ascii="Calibri" w:hAnsi="Calibri" w:cs="Times New Roman"/>
                <w:sz w:val="21"/>
              </w:rPr>
            </w:pPr>
            <w:r>
              <w:rPr>
                <w:rFonts w:ascii="Calibri" w:hAnsi="Calibri" w:cs="Times New Roman"/>
                <w:sz w:val="21"/>
              </w:rPr>
              <w:t>管护住宿</w:t>
            </w:r>
          </w:p>
        </w:tc>
        <w:tc>
          <w:tcPr>
            <w:tcW w:w="643" w:type="pct"/>
            <w:vAlign w:val="center"/>
          </w:tcPr>
          <w:p w14:paraId="0D8DEC8A">
            <w:pPr>
              <w:widowControl w:val="0"/>
              <w:spacing w:line="240" w:lineRule="auto"/>
              <w:ind w:firstLine="0" w:firstLineChars="0"/>
              <w:jc w:val="center"/>
              <w:rPr>
                <w:rFonts w:ascii="Calibri" w:hAnsi="Calibri" w:cs="Times New Roman"/>
                <w:sz w:val="21"/>
              </w:rPr>
            </w:pPr>
            <w:r>
              <w:rPr>
                <w:rFonts w:ascii="Calibri" w:hAnsi="Calibri" w:cs="Times New Roman"/>
                <w:sz w:val="21"/>
              </w:rPr>
              <w:t>混用</w:t>
            </w:r>
          </w:p>
        </w:tc>
      </w:tr>
      <w:tr w14:paraId="5C430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2" w:type="pct"/>
            <w:vAlign w:val="center"/>
          </w:tcPr>
          <w:p w14:paraId="6A043EF6">
            <w:pPr>
              <w:widowControl w:val="0"/>
              <w:spacing w:line="240" w:lineRule="auto"/>
              <w:ind w:firstLine="0" w:firstLineChars="0"/>
              <w:jc w:val="center"/>
              <w:rPr>
                <w:rFonts w:ascii="Calibri" w:hAnsi="Calibri" w:cs="Times New Roman"/>
                <w:sz w:val="21"/>
              </w:rPr>
            </w:pPr>
            <w:r>
              <w:rPr>
                <w:rFonts w:ascii="Calibri" w:hAnsi="Calibri" w:cs="Times New Roman"/>
                <w:sz w:val="21"/>
              </w:rPr>
              <w:t>2</w:t>
            </w:r>
          </w:p>
        </w:tc>
        <w:tc>
          <w:tcPr>
            <w:tcW w:w="734" w:type="pct"/>
            <w:vAlign w:val="center"/>
          </w:tcPr>
          <w:p w14:paraId="3FF0636C">
            <w:pPr>
              <w:widowControl w:val="0"/>
              <w:spacing w:line="240" w:lineRule="auto"/>
              <w:ind w:firstLine="0" w:firstLineChars="0"/>
              <w:jc w:val="center"/>
              <w:rPr>
                <w:rFonts w:ascii="Calibri" w:hAnsi="Calibri" w:cs="Times New Roman"/>
                <w:sz w:val="21"/>
              </w:rPr>
            </w:pPr>
            <w:r>
              <w:rPr>
                <w:rFonts w:ascii="Calibri" w:hAnsi="Calibri" w:cs="Times New Roman"/>
                <w:sz w:val="21"/>
              </w:rPr>
              <w:t>漆树漯</w:t>
            </w:r>
          </w:p>
        </w:tc>
        <w:tc>
          <w:tcPr>
            <w:tcW w:w="598" w:type="pct"/>
            <w:vAlign w:val="center"/>
          </w:tcPr>
          <w:p w14:paraId="0422E9F9">
            <w:pPr>
              <w:widowControl w:val="0"/>
              <w:spacing w:line="240" w:lineRule="auto"/>
              <w:ind w:firstLine="0" w:firstLineChars="0"/>
              <w:jc w:val="center"/>
              <w:rPr>
                <w:rFonts w:ascii="Calibri" w:hAnsi="Calibri" w:cs="Times New Roman"/>
                <w:sz w:val="21"/>
              </w:rPr>
            </w:pPr>
            <w:r>
              <w:rPr>
                <w:rFonts w:ascii="Calibri" w:hAnsi="Calibri" w:cs="Times New Roman"/>
                <w:sz w:val="21"/>
              </w:rPr>
              <w:t>1975</w:t>
            </w:r>
          </w:p>
        </w:tc>
        <w:tc>
          <w:tcPr>
            <w:tcW w:w="501" w:type="pct"/>
            <w:vAlign w:val="center"/>
          </w:tcPr>
          <w:p w14:paraId="4A76B0BA">
            <w:pPr>
              <w:widowControl w:val="0"/>
              <w:spacing w:line="240" w:lineRule="auto"/>
              <w:ind w:firstLine="0" w:firstLineChars="0"/>
              <w:jc w:val="center"/>
              <w:rPr>
                <w:rFonts w:ascii="Calibri" w:hAnsi="Calibri" w:cs="Times New Roman"/>
                <w:sz w:val="21"/>
              </w:rPr>
            </w:pPr>
            <w:r>
              <w:rPr>
                <w:rFonts w:ascii="Calibri" w:hAnsi="Calibri" w:cs="Times New Roman"/>
                <w:sz w:val="21"/>
              </w:rPr>
              <w:t>660</w:t>
            </w:r>
          </w:p>
        </w:tc>
        <w:tc>
          <w:tcPr>
            <w:tcW w:w="704" w:type="pct"/>
            <w:vAlign w:val="center"/>
          </w:tcPr>
          <w:p w14:paraId="46669D0C">
            <w:pPr>
              <w:widowControl w:val="0"/>
              <w:spacing w:line="240" w:lineRule="auto"/>
              <w:ind w:firstLine="0" w:firstLineChars="0"/>
              <w:jc w:val="center"/>
              <w:rPr>
                <w:rFonts w:ascii="Calibri" w:hAnsi="Calibri" w:cs="Times New Roman"/>
                <w:sz w:val="21"/>
              </w:rPr>
            </w:pPr>
            <w:r>
              <w:rPr>
                <w:rFonts w:ascii="Calibri" w:hAnsi="Calibri" w:cs="Times New Roman"/>
                <w:sz w:val="21"/>
              </w:rPr>
              <w:t>砖木结构</w:t>
            </w:r>
          </w:p>
        </w:tc>
        <w:tc>
          <w:tcPr>
            <w:tcW w:w="607" w:type="pct"/>
            <w:vAlign w:val="center"/>
          </w:tcPr>
          <w:p w14:paraId="69A3A827">
            <w:pPr>
              <w:widowControl w:val="0"/>
              <w:spacing w:line="240" w:lineRule="auto"/>
              <w:ind w:firstLine="0" w:firstLineChars="0"/>
              <w:jc w:val="center"/>
              <w:rPr>
                <w:rFonts w:ascii="Calibri" w:hAnsi="Calibri" w:cs="Times New Roman"/>
                <w:sz w:val="21"/>
              </w:rPr>
            </w:pPr>
            <w:r>
              <w:rPr>
                <w:rFonts w:ascii="Calibri" w:hAnsi="Calibri" w:cs="Times New Roman"/>
                <w:sz w:val="21"/>
              </w:rPr>
              <w:t>1屋</w:t>
            </w:r>
          </w:p>
        </w:tc>
        <w:tc>
          <w:tcPr>
            <w:tcW w:w="792" w:type="pct"/>
            <w:vAlign w:val="center"/>
          </w:tcPr>
          <w:p w14:paraId="4676D55B">
            <w:pPr>
              <w:widowControl w:val="0"/>
              <w:spacing w:line="240" w:lineRule="auto"/>
              <w:ind w:firstLine="0" w:firstLineChars="0"/>
              <w:jc w:val="center"/>
              <w:rPr>
                <w:rFonts w:ascii="Calibri" w:hAnsi="Calibri" w:cs="Times New Roman"/>
                <w:sz w:val="21"/>
              </w:rPr>
            </w:pPr>
            <w:r>
              <w:rPr>
                <w:rFonts w:ascii="Calibri" w:hAnsi="Calibri" w:cs="Times New Roman"/>
                <w:sz w:val="21"/>
              </w:rPr>
              <w:t>管护住宿</w:t>
            </w:r>
          </w:p>
        </w:tc>
        <w:tc>
          <w:tcPr>
            <w:tcW w:w="643" w:type="pct"/>
            <w:vAlign w:val="center"/>
          </w:tcPr>
          <w:p w14:paraId="57E3E131">
            <w:pPr>
              <w:widowControl w:val="0"/>
              <w:spacing w:line="240" w:lineRule="auto"/>
              <w:ind w:firstLine="0" w:firstLineChars="0"/>
              <w:jc w:val="center"/>
              <w:rPr>
                <w:rFonts w:ascii="Calibri" w:hAnsi="Calibri" w:cs="Times New Roman"/>
                <w:sz w:val="21"/>
              </w:rPr>
            </w:pPr>
          </w:p>
        </w:tc>
      </w:tr>
      <w:tr w14:paraId="295F9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2" w:type="pct"/>
            <w:vAlign w:val="center"/>
          </w:tcPr>
          <w:p w14:paraId="1344C7A7">
            <w:pPr>
              <w:widowControl w:val="0"/>
              <w:spacing w:line="240" w:lineRule="auto"/>
              <w:ind w:firstLine="0" w:firstLineChars="0"/>
              <w:jc w:val="center"/>
              <w:rPr>
                <w:rFonts w:ascii="Calibri" w:hAnsi="Calibri" w:cs="Times New Roman"/>
                <w:sz w:val="21"/>
              </w:rPr>
            </w:pPr>
            <w:r>
              <w:rPr>
                <w:rFonts w:ascii="Calibri" w:hAnsi="Calibri" w:cs="Times New Roman"/>
                <w:sz w:val="21"/>
              </w:rPr>
              <w:t>3</w:t>
            </w:r>
          </w:p>
        </w:tc>
        <w:tc>
          <w:tcPr>
            <w:tcW w:w="734" w:type="pct"/>
            <w:vAlign w:val="center"/>
          </w:tcPr>
          <w:p w14:paraId="50AC0A03">
            <w:pPr>
              <w:widowControl w:val="0"/>
              <w:spacing w:line="240" w:lineRule="auto"/>
              <w:ind w:firstLine="0" w:firstLineChars="0"/>
              <w:jc w:val="center"/>
              <w:rPr>
                <w:rFonts w:ascii="Calibri" w:hAnsi="Calibri" w:cs="Times New Roman"/>
                <w:sz w:val="21"/>
              </w:rPr>
            </w:pPr>
            <w:r>
              <w:rPr>
                <w:rFonts w:ascii="Calibri" w:hAnsi="Calibri" w:cs="Times New Roman"/>
                <w:sz w:val="21"/>
              </w:rPr>
              <w:t>裤档漕</w:t>
            </w:r>
          </w:p>
        </w:tc>
        <w:tc>
          <w:tcPr>
            <w:tcW w:w="598" w:type="pct"/>
            <w:vAlign w:val="center"/>
          </w:tcPr>
          <w:p w14:paraId="730905B4">
            <w:pPr>
              <w:widowControl w:val="0"/>
              <w:spacing w:line="240" w:lineRule="auto"/>
              <w:ind w:firstLine="0" w:firstLineChars="0"/>
              <w:jc w:val="center"/>
              <w:rPr>
                <w:rFonts w:ascii="Calibri" w:hAnsi="Calibri" w:cs="Times New Roman"/>
                <w:sz w:val="21"/>
              </w:rPr>
            </w:pPr>
            <w:r>
              <w:rPr>
                <w:rFonts w:ascii="Calibri" w:hAnsi="Calibri" w:cs="Times New Roman"/>
                <w:sz w:val="21"/>
              </w:rPr>
              <w:t>1989</w:t>
            </w:r>
          </w:p>
        </w:tc>
        <w:tc>
          <w:tcPr>
            <w:tcW w:w="501" w:type="pct"/>
            <w:vAlign w:val="center"/>
          </w:tcPr>
          <w:p w14:paraId="3C2CCAD1">
            <w:pPr>
              <w:widowControl w:val="0"/>
              <w:spacing w:line="240" w:lineRule="auto"/>
              <w:ind w:firstLine="0" w:firstLineChars="0"/>
              <w:jc w:val="center"/>
              <w:rPr>
                <w:rFonts w:ascii="Calibri" w:hAnsi="Calibri" w:cs="Times New Roman"/>
                <w:sz w:val="21"/>
              </w:rPr>
            </w:pPr>
            <w:r>
              <w:rPr>
                <w:rFonts w:ascii="Calibri" w:hAnsi="Calibri" w:cs="Times New Roman"/>
                <w:sz w:val="21"/>
              </w:rPr>
              <w:t>3260</w:t>
            </w:r>
          </w:p>
        </w:tc>
        <w:tc>
          <w:tcPr>
            <w:tcW w:w="704" w:type="pct"/>
            <w:vAlign w:val="center"/>
          </w:tcPr>
          <w:p w14:paraId="1D6D9AA8">
            <w:pPr>
              <w:widowControl w:val="0"/>
              <w:spacing w:line="240" w:lineRule="auto"/>
              <w:ind w:firstLine="0" w:firstLineChars="0"/>
              <w:jc w:val="center"/>
              <w:rPr>
                <w:rFonts w:ascii="Calibri" w:hAnsi="Calibri" w:cs="Times New Roman"/>
                <w:sz w:val="21"/>
              </w:rPr>
            </w:pPr>
            <w:r>
              <w:rPr>
                <w:rFonts w:ascii="Calibri" w:hAnsi="Calibri" w:cs="Times New Roman"/>
                <w:sz w:val="21"/>
              </w:rPr>
              <w:t>砖混结构</w:t>
            </w:r>
          </w:p>
        </w:tc>
        <w:tc>
          <w:tcPr>
            <w:tcW w:w="607" w:type="pct"/>
            <w:vAlign w:val="center"/>
          </w:tcPr>
          <w:p w14:paraId="10D2D3A2">
            <w:pPr>
              <w:widowControl w:val="0"/>
              <w:spacing w:line="240" w:lineRule="auto"/>
              <w:ind w:firstLine="0" w:firstLineChars="0"/>
              <w:jc w:val="center"/>
              <w:rPr>
                <w:rFonts w:ascii="Calibri" w:hAnsi="Calibri" w:cs="Times New Roman"/>
                <w:sz w:val="21"/>
              </w:rPr>
            </w:pPr>
            <w:r>
              <w:rPr>
                <w:rFonts w:ascii="Calibri" w:hAnsi="Calibri" w:cs="Times New Roman"/>
                <w:sz w:val="21"/>
              </w:rPr>
              <w:t>1-3屋</w:t>
            </w:r>
          </w:p>
        </w:tc>
        <w:tc>
          <w:tcPr>
            <w:tcW w:w="792" w:type="pct"/>
            <w:vAlign w:val="center"/>
          </w:tcPr>
          <w:p w14:paraId="030DB4F6">
            <w:pPr>
              <w:widowControl w:val="0"/>
              <w:spacing w:line="240" w:lineRule="auto"/>
              <w:ind w:firstLine="0" w:firstLineChars="0"/>
              <w:jc w:val="center"/>
              <w:rPr>
                <w:rFonts w:ascii="Calibri" w:hAnsi="Calibri" w:cs="Times New Roman"/>
                <w:sz w:val="21"/>
              </w:rPr>
            </w:pPr>
            <w:r>
              <w:rPr>
                <w:rFonts w:ascii="Calibri" w:hAnsi="Calibri" w:cs="Times New Roman"/>
                <w:sz w:val="21"/>
              </w:rPr>
              <w:t>办公、住宿</w:t>
            </w:r>
          </w:p>
        </w:tc>
        <w:tc>
          <w:tcPr>
            <w:tcW w:w="643" w:type="pct"/>
            <w:vAlign w:val="center"/>
          </w:tcPr>
          <w:p w14:paraId="3FE4034E">
            <w:pPr>
              <w:widowControl w:val="0"/>
              <w:spacing w:line="240" w:lineRule="auto"/>
              <w:ind w:firstLine="0" w:firstLineChars="0"/>
              <w:jc w:val="center"/>
              <w:rPr>
                <w:rFonts w:ascii="Calibri" w:hAnsi="Calibri" w:cs="Times New Roman"/>
                <w:sz w:val="21"/>
              </w:rPr>
            </w:pPr>
          </w:p>
        </w:tc>
      </w:tr>
      <w:tr w14:paraId="7FE96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2" w:type="pct"/>
            <w:vAlign w:val="center"/>
          </w:tcPr>
          <w:p w14:paraId="53D12E5E">
            <w:pPr>
              <w:widowControl w:val="0"/>
              <w:spacing w:line="240" w:lineRule="auto"/>
              <w:ind w:firstLine="0" w:firstLineChars="0"/>
              <w:jc w:val="center"/>
              <w:rPr>
                <w:rFonts w:ascii="Calibri" w:hAnsi="Calibri" w:cs="Times New Roman"/>
                <w:sz w:val="21"/>
              </w:rPr>
            </w:pPr>
            <w:r>
              <w:rPr>
                <w:rFonts w:ascii="Calibri" w:hAnsi="Calibri" w:cs="Times New Roman"/>
                <w:sz w:val="21"/>
              </w:rPr>
              <w:t>4</w:t>
            </w:r>
          </w:p>
        </w:tc>
        <w:tc>
          <w:tcPr>
            <w:tcW w:w="734" w:type="pct"/>
            <w:vAlign w:val="center"/>
          </w:tcPr>
          <w:p w14:paraId="1AECB341">
            <w:pPr>
              <w:widowControl w:val="0"/>
              <w:spacing w:line="240" w:lineRule="auto"/>
              <w:ind w:firstLine="0" w:firstLineChars="0"/>
              <w:jc w:val="center"/>
              <w:rPr>
                <w:rFonts w:ascii="Calibri" w:hAnsi="Calibri" w:cs="Times New Roman"/>
                <w:sz w:val="21"/>
              </w:rPr>
            </w:pPr>
            <w:r>
              <w:rPr>
                <w:rFonts w:ascii="Calibri" w:hAnsi="Calibri" w:cs="Times New Roman"/>
                <w:sz w:val="21"/>
              </w:rPr>
              <w:t>叶子漯</w:t>
            </w:r>
          </w:p>
        </w:tc>
        <w:tc>
          <w:tcPr>
            <w:tcW w:w="598" w:type="pct"/>
            <w:vAlign w:val="center"/>
          </w:tcPr>
          <w:p w14:paraId="05A575B2">
            <w:pPr>
              <w:widowControl w:val="0"/>
              <w:spacing w:line="240" w:lineRule="auto"/>
              <w:ind w:firstLine="0" w:firstLineChars="0"/>
              <w:jc w:val="center"/>
              <w:rPr>
                <w:rFonts w:ascii="Calibri" w:hAnsi="Calibri" w:cs="Times New Roman"/>
                <w:sz w:val="21"/>
              </w:rPr>
            </w:pPr>
            <w:r>
              <w:rPr>
                <w:rFonts w:ascii="Calibri" w:hAnsi="Calibri" w:cs="Times New Roman"/>
                <w:sz w:val="21"/>
              </w:rPr>
              <w:t>1995</w:t>
            </w:r>
          </w:p>
        </w:tc>
        <w:tc>
          <w:tcPr>
            <w:tcW w:w="501" w:type="pct"/>
            <w:vAlign w:val="center"/>
          </w:tcPr>
          <w:p w14:paraId="37A0E02B">
            <w:pPr>
              <w:widowControl w:val="0"/>
              <w:spacing w:line="240" w:lineRule="auto"/>
              <w:ind w:firstLine="0" w:firstLineChars="0"/>
              <w:jc w:val="center"/>
              <w:rPr>
                <w:rFonts w:ascii="Calibri" w:hAnsi="Calibri" w:cs="Times New Roman"/>
                <w:sz w:val="21"/>
              </w:rPr>
            </w:pPr>
            <w:r>
              <w:rPr>
                <w:rFonts w:ascii="Calibri" w:hAnsi="Calibri" w:cs="Times New Roman"/>
                <w:sz w:val="21"/>
              </w:rPr>
              <w:t>1200</w:t>
            </w:r>
          </w:p>
        </w:tc>
        <w:tc>
          <w:tcPr>
            <w:tcW w:w="704" w:type="pct"/>
            <w:vAlign w:val="center"/>
          </w:tcPr>
          <w:p w14:paraId="31C4956F">
            <w:pPr>
              <w:widowControl w:val="0"/>
              <w:spacing w:line="240" w:lineRule="auto"/>
              <w:ind w:firstLine="0" w:firstLineChars="0"/>
              <w:jc w:val="center"/>
              <w:rPr>
                <w:rFonts w:ascii="Calibri" w:hAnsi="Calibri" w:cs="Times New Roman"/>
                <w:sz w:val="21"/>
              </w:rPr>
            </w:pPr>
            <w:r>
              <w:rPr>
                <w:rFonts w:ascii="Calibri" w:hAnsi="Calibri" w:cs="Times New Roman"/>
                <w:sz w:val="21"/>
              </w:rPr>
              <w:t>砖木结构</w:t>
            </w:r>
          </w:p>
        </w:tc>
        <w:tc>
          <w:tcPr>
            <w:tcW w:w="607" w:type="pct"/>
            <w:vAlign w:val="center"/>
          </w:tcPr>
          <w:p w14:paraId="5DA5858F">
            <w:pPr>
              <w:widowControl w:val="0"/>
              <w:spacing w:line="240" w:lineRule="auto"/>
              <w:ind w:firstLine="0" w:firstLineChars="0"/>
              <w:jc w:val="center"/>
              <w:rPr>
                <w:rFonts w:ascii="Calibri" w:hAnsi="Calibri" w:cs="Times New Roman"/>
                <w:sz w:val="21"/>
              </w:rPr>
            </w:pPr>
            <w:r>
              <w:rPr>
                <w:rFonts w:ascii="Calibri" w:hAnsi="Calibri" w:cs="Times New Roman"/>
                <w:sz w:val="21"/>
              </w:rPr>
              <w:t>1屋</w:t>
            </w:r>
          </w:p>
        </w:tc>
        <w:tc>
          <w:tcPr>
            <w:tcW w:w="792" w:type="pct"/>
            <w:vAlign w:val="center"/>
          </w:tcPr>
          <w:p w14:paraId="3201AEAB">
            <w:pPr>
              <w:widowControl w:val="0"/>
              <w:spacing w:line="240" w:lineRule="auto"/>
              <w:ind w:firstLine="0" w:firstLineChars="0"/>
              <w:jc w:val="center"/>
              <w:rPr>
                <w:rFonts w:ascii="Calibri" w:hAnsi="Calibri" w:cs="Times New Roman"/>
                <w:sz w:val="21"/>
              </w:rPr>
            </w:pPr>
            <w:r>
              <w:rPr>
                <w:rFonts w:ascii="Calibri" w:hAnsi="Calibri" w:cs="Times New Roman"/>
                <w:sz w:val="21"/>
              </w:rPr>
              <w:t>管护住宿</w:t>
            </w:r>
          </w:p>
        </w:tc>
        <w:tc>
          <w:tcPr>
            <w:tcW w:w="643" w:type="pct"/>
            <w:vAlign w:val="center"/>
          </w:tcPr>
          <w:p w14:paraId="0596A94C">
            <w:pPr>
              <w:widowControl w:val="0"/>
              <w:spacing w:line="240" w:lineRule="auto"/>
              <w:ind w:firstLine="0" w:firstLineChars="0"/>
              <w:jc w:val="center"/>
              <w:rPr>
                <w:rFonts w:ascii="Calibri" w:hAnsi="Calibri" w:cs="Times New Roman"/>
                <w:sz w:val="21"/>
              </w:rPr>
            </w:pPr>
            <w:r>
              <w:rPr>
                <w:rFonts w:ascii="Calibri" w:hAnsi="Calibri" w:cs="Times New Roman"/>
                <w:sz w:val="21"/>
              </w:rPr>
              <w:t>两栋</w:t>
            </w:r>
          </w:p>
        </w:tc>
      </w:tr>
      <w:tr w14:paraId="63AE0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2" w:type="pct"/>
            <w:vAlign w:val="center"/>
          </w:tcPr>
          <w:p w14:paraId="391C82C1">
            <w:pPr>
              <w:widowControl w:val="0"/>
              <w:spacing w:line="240" w:lineRule="auto"/>
              <w:ind w:firstLine="0" w:firstLineChars="0"/>
              <w:jc w:val="center"/>
              <w:rPr>
                <w:rFonts w:ascii="Calibri" w:hAnsi="Calibri" w:cs="Times New Roman"/>
                <w:sz w:val="21"/>
              </w:rPr>
            </w:pPr>
            <w:r>
              <w:rPr>
                <w:rFonts w:ascii="Calibri" w:hAnsi="Calibri" w:cs="Times New Roman"/>
                <w:sz w:val="21"/>
              </w:rPr>
              <w:t>总计</w:t>
            </w:r>
          </w:p>
        </w:tc>
        <w:tc>
          <w:tcPr>
            <w:tcW w:w="734" w:type="pct"/>
            <w:vAlign w:val="center"/>
          </w:tcPr>
          <w:p w14:paraId="15D0F95D">
            <w:pPr>
              <w:widowControl w:val="0"/>
              <w:spacing w:line="240" w:lineRule="auto"/>
              <w:ind w:firstLine="0" w:firstLineChars="0"/>
              <w:jc w:val="center"/>
              <w:rPr>
                <w:rFonts w:ascii="Calibri" w:hAnsi="Calibri" w:cs="Times New Roman"/>
                <w:sz w:val="21"/>
              </w:rPr>
            </w:pPr>
          </w:p>
        </w:tc>
        <w:tc>
          <w:tcPr>
            <w:tcW w:w="598" w:type="pct"/>
            <w:vAlign w:val="center"/>
          </w:tcPr>
          <w:p w14:paraId="0CFB10B2">
            <w:pPr>
              <w:widowControl w:val="0"/>
              <w:spacing w:line="240" w:lineRule="auto"/>
              <w:ind w:firstLine="0" w:firstLineChars="0"/>
              <w:jc w:val="center"/>
              <w:rPr>
                <w:rFonts w:ascii="Calibri" w:hAnsi="Calibri" w:cs="Times New Roman"/>
                <w:sz w:val="21"/>
              </w:rPr>
            </w:pPr>
          </w:p>
        </w:tc>
        <w:tc>
          <w:tcPr>
            <w:tcW w:w="501" w:type="pct"/>
            <w:vAlign w:val="center"/>
          </w:tcPr>
          <w:p w14:paraId="16BC4114">
            <w:pPr>
              <w:widowControl w:val="0"/>
              <w:spacing w:line="240" w:lineRule="auto"/>
              <w:ind w:firstLine="0" w:firstLineChars="0"/>
              <w:jc w:val="center"/>
              <w:rPr>
                <w:rFonts w:ascii="Calibri" w:hAnsi="Calibri" w:cs="Times New Roman"/>
                <w:sz w:val="21"/>
              </w:rPr>
            </w:pPr>
            <w:r>
              <w:rPr>
                <w:rFonts w:ascii="Calibri" w:hAnsi="Calibri" w:cs="Times New Roman"/>
                <w:sz w:val="21"/>
              </w:rPr>
              <w:t>6040</w:t>
            </w:r>
          </w:p>
        </w:tc>
        <w:tc>
          <w:tcPr>
            <w:tcW w:w="704" w:type="pct"/>
            <w:vAlign w:val="center"/>
          </w:tcPr>
          <w:p w14:paraId="4F194986">
            <w:pPr>
              <w:widowControl w:val="0"/>
              <w:spacing w:line="240" w:lineRule="auto"/>
              <w:ind w:firstLine="0" w:firstLineChars="0"/>
              <w:jc w:val="center"/>
              <w:rPr>
                <w:rFonts w:ascii="Calibri" w:hAnsi="Calibri" w:cs="Times New Roman"/>
                <w:sz w:val="21"/>
              </w:rPr>
            </w:pPr>
          </w:p>
        </w:tc>
        <w:tc>
          <w:tcPr>
            <w:tcW w:w="607" w:type="pct"/>
            <w:vAlign w:val="center"/>
          </w:tcPr>
          <w:p w14:paraId="1826686F">
            <w:pPr>
              <w:widowControl w:val="0"/>
              <w:spacing w:line="240" w:lineRule="auto"/>
              <w:ind w:firstLine="0" w:firstLineChars="0"/>
              <w:jc w:val="center"/>
              <w:rPr>
                <w:rFonts w:ascii="Calibri" w:hAnsi="Calibri" w:cs="Times New Roman"/>
                <w:sz w:val="21"/>
              </w:rPr>
            </w:pPr>
          </w:p>
        </w:tc>
        <w:tc>
          <w:tcPr>
            <w:tcW w:w="792" w:type="pct"/>
            <w:vAlign w:val="center"/>
          </w:tcPr>
          <w:p w14:paraId="14811A22">
            <w:pPr>
              <w:widowControl w:val="0"/>
              <w:spacing w:line="240" w:lineRule="auto"/>
              <w:ind w:firstLine="0" w:firstLineChars="0"/>
              <w:jc w:val="center"/>
              <w:rPr>
                <w:rFonts w:ascii="Calibri" w:hAnsi="Calibri" w:cs="Times New Roman"/>
                <w:sz w:val="21"/>
              </w:rPr>
            </w:pPr>
          </w:p>
        </w:tc>
        <w:tc>
          <w:tcPr>
            <w:tcW w:w="643" w:type="pct"/>
            <w:vAlign w:val="center"/>
          </w:tcPr>
          <w:p w14:paraId="37D4397B">
            <w:pPr>
              <w:widowControl w:val="0"/>
              <w:spacing w:line="240" w:lineRule="auto"/>
              <w:ind w:firstLine="0" w:firstLineChars="0"/>
              <w:jc w:val="center"/>
              <w:rPr>
                <w:rFonts w:ascii="Calibri" w:hAnsi="Calibri" w:cs="Times New Roman"/>
                <w:sz w:val="21"/>
              </w:rPr>
            </w:pPr>
          </w:p>
        </w:tc>
      </w:tr>
    </w:tbl>
    <w:p w14:paraId="26569EAC">
      <w:pPr>
        <w:pStyle w:val="3"/>
        <w:rPr>
          <w:lang w:eastAsia="zh-CN"/>
        </w:rPr>
      </w:pPr>
      <w:bookmarkStart w:id="132" w:name="_Toc1735"/>
      <w:r>
        <w:rPr>
          <w:rFonts w:hint="eastAsia"/>
          <w:lang w:eastAsia="zh-CN"/>
        </w:rPr>
        <w:t>9.3森林防火设施建设</w:t>
      </w:r>
      <w:bookmarkEnd w:id="132"/>
    </w:p>
    <w:p w14:paraId="6411E4FA">
      <w:pPr>
        <w:ind w:firstLine="480"/>
        <w:rPr>
          <w:lang w:eastAsia="zh-CN"/>
        </w:rPr>
      </w:pPr>
      <w:r>
        <w:rPr>
          <w:rFonts w:hint="eastAsia"/>
          <w:lang w:eastAsia="zh-CN"/>
        </w:rPr>
        <w:t>林火阻隔系统是防止火灾蔓延，控制重、特大森林火灾发生的治本措施，是森林火灾预防体系的基础工程。加强对现有生物防火林带的维修，坚持适地适树原则，选择防火兼具观赏价值的树种，木荷、杨梅、亮叶水青冈等树种。本经营期规划维修改造54.5km防火林带，补植的乔木树种选择，株行距为3*3m。本经营期不规划新建防火林带。详见表9-6。</w:t>
      </w:r>
    </w:p>
    <w:p w14:paraId="1D8A4960">
      <w:pPr>
        <w:spacing w:line="240" w:lineRule="auto"/>
        <w:ind w:firstLine="0" w:firstLineChars="0"/>
        <w:jc w:val="center"/>
        <w:rPr>
          <w:rFonts w:cs="宋体"/>
          <w:b/>
          <w:lang w:eastAsia="zh-CN"/>
        </w:rPr>
      </w:pPr>
      <w:r>
        <w:rPr>
          <w:rFonts w:hint="eastAsia" w:eastAsia="黑体" w:cs="宋体"/>
          <w:b/>
          <w:lang w:eastAsia="zh-CN"/>
        </w:rPr>
        <w:t>表</w:t>
      </w:r>
      <w:r>
        <w:rPr>
          <w:rFonts w:eastAsia="黑体" w:cs="Times New Roman"/>
          <w:b/>
          <w:lang w:eastAsia="zh-CN"/>
        </w:rPr>
        <w:t>9-6</w:t>
      </w:r>
      <w:r>
        <w:rPr>
          <w:rFonts w:hint="eastAsia" w:eastAsia="黑体" w:cs="宋体"/>
          <w:b/>
          <w:lang w:eastAsia="zh-CN"/>
        </w:rPr>
        <w:t>防火林带维修规划表</w:t>
      </w:r>
    </w:p>
    <w:p w14:paraId="5D2DB9B2">
      <w:pPr>
        <w:spacing w:line="240" w:lineRule="auto"/>
        <w:ind w:firstLine="0" w:firstLineChars="0"/>
        <w:jc w:val="right"/>
        <w:rPr>
          <w:rFonts w:cs="宋体"/>
          <w:bCs/>
          <w:sz w:val="21"/>
          <w:lang w:eastAsia="zh-CN"/>
        </w:rPr>
      </w:pPr>
      <w:r>
        <w:rPr>
          <w:rFonts w:hint="eastAsia" w:cs="宋体"/>
          <w:bCs/>
          <w:sz w:val="21"/>
        </w:rPr>
        <w:t>单位：</w:t>
      </w:r>
      <w:r>
        <w:rPr>
          <w:rFonts w:hint="eastAsia" w:cs="宋体"/>
          <w:bCs/>
          <w:sz w:val="21"/>
          <w:lang w:eastAsia="zh-CN"/>
        </w:rPr>
        <w:t>km</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1196"/>
        <w:gridCol w:w="1554"/>
        <w:gridCol w:w="1553"/>
        <w:gridCol w:w="1341"/>
        <w:gridCol w:w="2407"/>
      </w:tblGrid>
      <w:tr w14:paraId="686B4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1" w:type="pct"/>
            <w:vAlign w:val="center"/>
          </w:tcPr>
          <w:p w14:paraId="3E39C8FE">
            <w:pPr>
              <w:widowControl w:val="0"/>
              <w:spacing w:line="240" w:lineRule="auto"/>
              <w:ind w:firstLine="0" w:firstLineChars="0"/>
              <w:jc w:val="center"/>
              <w:rPr>
                <w:rFonts w:ascii="Calibri" w:hAnsi="Calibri" w:cs="Times New Roman"/>
                <w:bCs/>
                <w:sz w:val="21"/>
              </w:rPr>
            </w:pPr>
            <w:r>
              <w:rPr>
                <w:rFonts w:ascii="Calibri" w:hAnsi="Calibri" w:cs="Times New Roman"/>
                <w:bCs/>
                <w:sz w:val="21"/>
              </w:rPr>
              <w:t>序号</w:t>
            </w:r>
          </w:p>
        </w:tc>
        <w:tc>
          <w:tcPr>
            <w:tcW w:w="671" w:type="pct"/>
            <w:vAlign w:val="center"/>
          </w:tcPr>
          <w:p w14:paraId="49E07E42">
            <w:pPr>
              <w:widowControl w:val="0"/>
              <w:spacing w:line="240" w:lineRule="auto"/>
              <w:ind w:firstLine="0" w:firstLineChars="0"/>
              <w:jc w:val="center"/>
              <w:rPr>
                <w:rFonts w:ascii="Calibri" w:hAnsi="Calibri" w:cs="Times New Roman"/>
                <w:bCs/>
                <w:sz w:val="21"/>
              </w:rPr>
            </w:pPr>
            <w:r>
              <w:rPr>
                <w:rFonts w:ascii="Calibri" w:hAnsi="Calibri" w:cs="Times New Roman"/>
                <w:bCs/>
                <w:sz w:val="21"/>
              </w:rPr>
              <w:t>工区</w:t>
            </w:r>
          </w:p>
        </w:tc>
        <w:tc>
          <w:tcPr>
            <w:tcW w:w="872" w:type="pct"/>
            <w:vAlign w:val="center"/>
          </w:tcPr>
          <w:p w14:paraId="4458767A">
            <w:pPr>
              <w:widowControl w:val="0"/>
              <w:spacing w:line="240" w:lineRule="auto"/>
              <w:ind w:firstLine="0" w:firstLineChars="0"/>
              <w:jc w:val="center"/>
              <w:rPr>
                <w:rFonts w:ascii="Calibri" w:hAnsi="Calibri" w:cs="Times New Roman"/>
                <w:bCs/>
                <w:sz w:val="21"/>
              </w:rPr>
            </w:pPr>
            <w:r>
              <w:rPr>
                <w:rFonts w:ascii="Calibri" w:hAnsi="Calibri" w:cs="Times New Roman"/>
                <w:bCs/>
                <w:sz w:val="21"/>
              </w:rPr>
              <w:t>起点</w:t>
            </w:r>
          </w:p>
        </w:tc>
        <w:tc>
          <w:tcPr>
            <w:tcW w:w="871" w:type="pct"/>
            <w:vAlign w:val="center"/>
          </w:tcPr>
          <w:p w14:paraId="10C6119F">
            <w:pPr>
              <w:widowControl w:val="0"/>
              <w:spacing w:line="240" w:lineRule="auto"/>
              <w:ind w:firstLine="0" w:firstLineChars="0"/>
              <w:jc w:val="center"/>
              <w:rPr>
                <w:rFonts w:ascii="Calibri" w:hAnsi="Calibri" w:cs="Times New Roman"/>
                <w:bCs/>
                <w:sz w:val="21"/>
              </w:rPr>
            </w:pPr>
            <w:r>
              <w:rPr>
                <w:rFonts w:ascii="Calibri" w:hAnsi="Calibri" w:cs="Times New Roman"/>
                <w:bCs/>
                <w:sz w:val="21"/>
              </w:rPr>
              <w:t>止点</w:t>
            </w:r>
          </w:p>
        </w:tc>
        <w:tc>
          <w:tcPr>
            <w:tcW w:w="752" w:type="pct"/>
            <w:vAlign w:val="center"/>
          </w:tcPr>
          <w:p w14:paraId="199EB870">
            <w:pPr>
              <w:widowControl w:val="0"/>
              <w:spacing w:line="240" w:lineRule="auto"/>
              <w:ind w:firstLine="0" w:firstLineChars="0"/>
              <w:jc w:val="center"/>
              <w:rPr>
                <w:rFonts w:ascii="Calibri" w:hAnsi="Calibri" w:cs="Times New Roman"/>
                <w:bCs/>
                <w:sz w:val="21"/>
              </w:rPr>
            </w:pPr>
            <w:r>
              <w:rPr>
                <w:rFonts w:ascii="Calibri" w:hAnsi="Calibri" w:cs="Times New Roman"/>
                <w:bCs/>
                <w:sz w:val="21"/>
              </w:rPr>
              <w:t>里程</w:t>
            </w:r>
          </w:p>
        </w:tc>
        <w:tc>
          <w:tcPr>
            <w:tcW w:w="1350" w:type="pct"/>
            <w:vAlign w:val="center"/>
          </w:tcPr>
          <w:p w14:paraId="79165296">
            <w:pPr>
              <w:widowControl w:val="0"/>
              <w:spacing w:line="240" w:lineRule="auto"/>
              <w:ind w:firstLine="0" w:firstLineChars="0"/>
              <w:jc w:val="center"/>
              <w:rPr>
                <w:rFonts w:ascii="Calibri" w:hAnsi="Calibri" w:cs="Times New Roman"/>
                <w:bCs/>
                <w:sz w:val="21"/>
              </w:rPr>
            </w:pPr>
            <w:r>
              <w:rPr>
                <w:rFonts w:ascii="Calibri" w:hAnsi="Calibri" w:cs="Times New Roman"/>
                <w:bCs/>
                <w:sz w:val="21"/>
              </w:rPr>
              <w:t>技术措施</w:t>
            </w:r>
          </w:p>
        </w:tc>
      </w:tr>
      <w:tr w14:paraId="40290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1" w:type="pct"/>
            <w:vAlign w:val="center"/>
          </w:tcPr>
          <w:p w14:paraId="760EF438">
            <w:pPr>
              <w:widowControl w:val="0"/>
              <w:spacing w:line="240" w:lineRule="auto"/>
              <w:ind w:firstLine="0" w:firstLineChars="0"/>
              <w:jc w:val="center"/>
              <w:rPr>
                <w:rFonts w:ascii="Calibri" w:hAnsi="Calibri" w:cs="Times New Roman"/>
                <w:sz w:val="21"/>
              </w:rPr>
            </w:pPr>
            <w:r>
              <w:rPr>
                <w:rFonts w:ascii="Calibri" w:hAnsi="Calibri" w:cs="Times New Roman"/>
                <w:sz w:val="21"/>
              </w:rPr>
              <w:t>1</w:t>
            </w:r>
          </w:p>
        </w:tc>
        <w:tc>
          <w:tcPr>
            <w:tcW w:w="671" w:type="pct"/>
            <w:vAlign w:val="center"/>
          </w:tcPr>
          <w:p w14:paraId="36BBFC09">
            <w:pPr>
              <w:widowControl w:val="0"/>
              <w:spacing w:line="240" w:lineRule="auto"/>
              <w:ind w:firstLine="0" w:firstLineChars="0"/>
              <w:jc w:val="center"/>
              <w:rPr>
                <w:rFonts w:ascii="Calibri" w:hAnsi="Calibri" w:cs="Times New Roman"/>
                <w:sz w:val="21"/>
              </w:rPr>
            </w:pPr>
            <w:r>
              <w:rPr>
                <w:rFonts w:ascii="Calibri" w:hAnsi="Calibri" w:cs="Times New Roman"/>
                <w:sz w:val="21"/>
              </w:rPr>
              <w:t>阳明山</w:t>
            </w:r>
          </w:p>
        </w:tc>
        <w:tc>
          <w:tcPr>
            <w:tcW w:w="872" w:type="pct"/>
            <w:vAlign w:val="center"/>
          </w:tcPr>
          <w:p w14:paraId="64C0AA20">
            <w:pPr>
              <w:widowControl w:val="0"/>
              <w:spacing w:line="240" w:lineRule="auto"/>
              <w:ind w:firstLine="0" w:firstLineChars="0"/>
              <w:jc w:val="center"/>
              <w:rPr>
                <w:rFonts w:ascii="Calibri" w:hAnsi="Calibri" w:cs="Times New Roman"/>
                <w:sz w:val="21"/>
              </w:rPr>
            </w:pPr>
            <w:r>
              <w:rPr>
                <w:rFonts w:ascii="Calibri" w:hAnsi="Calibri" w:cs="Times New Roman"/>
                <w:sz w:val="21"/>
              </w:rPr>
              <w:t>阳和山</w:t>
            </w:r>
          </w:p>
        </w:tc>
        <w:tc>
          <w:tcPr>
            <w:tcW w:w="871" w:type="pct"/>
            <w:vAlign w:val="center"/>
          </w:tcPr>
          <w:p w14:paraId="4E4B8B0E">
            <w:pPr>
              <w:widowControl w:val="0"/>
              <w:spacing w:line="240" w:lineRule="auto"/>
              <w:ind w:firstLine="0" w:firstLineChars="0"/>
              <w:jc w:val="center"/>
              <w:rPr>
                <w:rFonts w:ascii="Calibri" w:hAnsi="Calibri" w:cs="Times New Roman"/>
                <w:sz w:val="21"/>
              </w:rPr>
            </w:pPr>
            <w:r>
              <w:rPr>
                <w:rFonts w:ascii="Calibri" w:hAnsi="Calibri" w:cs="Times New Roman"/>
                <w:sz w:val="21"/>
              </w:rPr>
              <w:t>阿弥它佛</w:t>
            </w:r>
          </w:p>
        </w:tc>
        <w:tc>
          <w:tcPr>
            <w:tcW w:w="752" w:type="pct"/>
            <w:vAlign w:val="center"/>
          </w:tcPr>
          <w:p w14:paraId="43227479">
            <w:pPr>
              <w:widowControl w:val="0"/>
              <w:spacing w:line="240" w:lineRule="auto"/>
              <w:ind w:firstLine="0" w:firstLineChars="0"/>
              <w:jc w:val="center"/>
              <w:rPr>
                <w:rFonts w:ascii="Calibri" w:hAnsi="Calibri" w:cs="Times New Roman"/>
                <w:sz w:val="21"/>
              </w:rPr>
            </w:pPr>
            <w:r>
              <w:rPr>
                <w:rFonts w:ascii="Calibri" w:hAnsi="Calibri" w:cs="Times New Roman"/>
                <w:sz w:val="21"/>
              </w:rPr>
              <w:t>6.5</w:t>
            </w:r>
          </w:p>
        </w:tc>
        <w:tc>
          <w:tcPr>
            <w:tcW w:w="1350" w:type="pct"/>
            <w:vAlign w:val="center"/>
          </w:tcPr>
          <w:p w14:paraId="1BDB1E60">
            <w:pPr>
              <w:widowControl w:val="0"/>
              <w:spacing w:line="240" w:lineRule="auto"/>
              <w:ind w:firstLine="0" w:firstLineChars="0"/>
              <w:jc w:val="center"/>
              <w:rPr>
                <w:rFonts w:ascii="Calibri" w:hAnsi="Calibri" w:cs="Times New Roman"/>
                <w:sz w:val="21"/>
              </w:rPr>
            </w:pPr>
            <w:r>
              <w:rPr>
                <w:rFonts w:ascii="Calibri" w:hAnsi="Calibri" w:cs="Times New Roman"/>
                <w:sz w:val="21"/>
              </w:rPr>
              <w:t>杂灌杂草、补植</w:t>
            </w:r>
          </w:p>
        </w:tc>
      </w:tr>
      <w:tr w14:paraId="02F6E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1" w:type="pct"/>
            <w:vAlign w:val="center"/>
          </w:tcPr>
          <w:p w14:paraId="01544421">
            <w:pPr>
              <w:widowControl w:val="0"/>
              <w:spacing w:line="240" w:lineRule="auto"/>
              <w:ind w:firstLine="0" w:firstLineChars="0"/>
              <w:jc w:val="center"/>
              <w:rPr>
                <w:rFonts w:ascii="Calibri" w:hAnsi="Calibri" w:cs="Times New Roman"/>
                <w:sz w:val="21"/>
              </w:rPr>
            </w:pPr>
            <w:r>
              <w:rPr>
                <w:rFonts w:ascii="Calibri" w:hAnsi="Calibri" w:cs="Times New Roman"/>
                <w:sz w:val="21"/>
              </w:rPr>
              <w:t>2</w:t>
            </w:r>
          </w:p>
        </w:tc>
        <w:tc>
          <w:tcPr>
            <w:tcW w:w="671" w:type="pct"/>
            <w:vAlign w:val="center"/>
          </w:tcPr>
          <w:p w14:paraId="18C646BC">
            <w:pPr>
              <w:widowControl w:val="0"/>
              <w:spacing w:line="240" w:lineRule="auto"/>
              <w:ind w:firstLine="0" w:firstLineChars="0"/>
              <w:jc w:val="center"/>
              <w:rPr>
                <w:rFonts w:ascii="Calibri" w:hAnsi="Calibri" w:cs="Times New Roman"/>
                <w:sz w:val="21"/>
              </w:rPr>
            </w:pPr>
            <w:r>
              <w:rPr>
                <w:rFonts w:ascii="Calibri" w:hAnsi="Calibri" w:cs="Times New Roman"/>
                <w:sz w:val="21"/>
              </w:rPr>
              <w:t>阳明山</w:t>
            </w:r>
          </w:p>
        </w:tc>
        <w:tc>
          <w:tcPr>
            <w:tcW w:w="872" w:type="pct"/>
            <w:vAlign w:val="center"/>
          </w:tcPr>
          <w:p w14:paraId="09945C3D">
            <w:pPr>
              <w:widowControl w:val="0"/>
              <w:spacing w:line="240" w:lineRule="auto"/>
              <w:ind w:firstLine="0" w:firstLineChars="0"/>
              <w:jc w:val="center"/>
              <w:rPr>
                <w:rFonts w:ascii="Calibri" w:hAnsi="Calibri" w:cs="Times New Roman"/>
                <w:sz w:val="21"/>
              </w:rPr>
            </w:pPr>
            <w:r>
              <w:rPr>
                <w:rFonts w:ascii="Calibri" w:hAnsi="Calibri" w:cs="Times New Roman"/>
                <w:sz w:val="21"/>
              </w:rPr>
              <w:t>微波台</w:t>
            </w:r>
          </w:p>
        </w:tc>
        <w:tc>
          <w:tcPr>
            <w:tcW w:w="871" w:type="pct"/>
            <w:vAlign w:val="center"/>
          </w:tcPr>
          <w:p w14:paraId="1BA34925">
            <w:pPr>
              <w:widowControl w:val="0"/>
              <w:spacing w:line="240" w:lineRule="auto"/>
              <w:ind w:firstLine="0" w:firstLineChars="0"/>
              <w:jc w:val="center"/>
              <w:rPr>
                <w:rFonts w:ascii="Calibri" w:hAnsi="Calibri" w:cs="Times New Roman"/>
                <w:sz w:val="21"/>
              </w:rPr>
            </w:pPr>
            <w:r>
              <w:rPr>
                <w:rFonts w:ascii="Calibri" w:hAnsi="Calibri" w:cs="Times New Roman"/>
                <w:sz w:val="21"/>
              </w:rPr>
              <w:t>白云寺</w:t>
            </w:r>
          </w:p>
        </w:tc>
        <w:tc>
          <w:tcPr>
            <w:tcW w:w="752" w:type="pct"/>
            <w:vAlign w:val="center"/>
          </w:tcPr>
          <w:p w14:paraId="6239DC61">
            <w:pPr>
              <w:widowControl w:val="0"/>
              <w:spacing w:line="240" w:lineRule="auto"/>
              <w:ind w:firstLine="0" w:firstLineChars="0"/>
              <w:jc w:val="center"/>
              <w:rPr>
                <w:rFonts w:ascii="Calibri" w:hAnsi="Calibri" w:cs="Times New Roman"/>
                <w:sz w:val="21"/>
              </w:rPr>
            </w:pPr>
            <w:r>
              <w:rPr>
                <w:rFonts w:ascii="Calibri" w:hAnsi="Calibri" w:cs="Times New Roman"/>
                <w:sz w:val="21"/>
              </w:rPr>
              <w:t>7.5</w:t>
            </w:r>
          </w:p>
        </w:tc>
        <w:tc>
          <w:tcPr>
            <w:tcW w:w="1350" w:type="pct"/>
            <w:vAlign w:val="center"/>
          </w:tcPr>
          <w:p w14:paraId="60C865D1">
            <w:pPr>
              <w:widowControl w:val="0"/>
              <w:spacing w:line="240" w:lineRule="auto"/>
              <w:ind w:firstLine="0" w:firstLineChars="0"/>
              <w:jc w:val="center"/>
              <w:rPr>
                <w:rFonts w:ascii="Calibri" w:hAnsi="Calibri" w:cs="Times New Roman"/>
                <w:sz w:val="21"/>
              </w:rPr>
            </w:pPr>
            <w:r>
              <w:rPr>
                <w:rFonts w:ascii="Calibri" w:hAnsi="Calibri" w:cs="Times New Roman"/>
                <w:sz w:val="21"/>
              </w:rPr>
              <w:t>杂灌杂草、补植</w:t>
            </w:r>
          </w:p>
        </w:tc>
      </w:tr>
      <w:tr w14:paraId="733DE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1" w:type="pct"/>
            <w:vAlign w:val="center"/>
          </w:tcPr>
          <w:p w14:paraId="55E46154">
            <w:pPr>
              <w:widowControl w:val="0"/>
              <w:spacing w:line="240" w:lineRule="auto"/>
              <w:ind w:firstLine="0" w:firstLineChars="0"/>
              <w:jc w:val="center"/>
              <w:rPr>
                <w:rFonts w:ascii="Calibri" w:hAnsi="Calibri" w:cs="Times New Roman"/>
                <w:sz w:val="21"/>
              </w:rPr>
            </w:pPr>
            <w:r>
              <w:rPr>
                <w:rFonts w:ascii="Calibri" w:hAnsi="Calibri" w:cs="Times New Roman"/>
                <w:sz w:val="21"/>
              </w:rPr>
              <w:t>3</w:t>
            </w:r>
          </w:p>
        </w:tc>
        <w:tc>
          <w:tcPr>
            <w:tcW w:w="671" w:type="pct"/>
            <w:vAlign w:val="center"/>
          </w:tcPr>
          <w:p w14:paraId="3576B17B">
            <w:pPr>
              <w:widowControl w:val="0"/>
              <w:spacing w:line="240" w:lineRule="auto"/>
              <w:ind w:firstLine="0" w:firstLineChars="0"/>
              <w:jc w:val="center"/>
              <w:rPr>
                <w:rFonts w:ascii="Calibri" w:hAnsi="Calibri" w:cs="Times New Roman"/>
                <w:sz w:val="21"/>
              </w:rPr>
            </w:pPr>
            <w:r>
              <w:rPr>
                <w:rFonts w:ascii="Calibri" w:hAnsi="Calibri" w:cs="Times New Roman"/>
                <w:sz w:val="21"/>
              </w:rPr>
              <w:t>三岔水</w:t>
            </w:r>
          </w:p>
        </w:tc>
        <w:tc>
          <w:tcPr>
            <w:tcW w:w="872" w:type="pct"/>
            <w:vAlign w:val="center"/>
          </w:tcPr>
          <w:p w14:paraId="25837D9F">
            <w:pPr>
              <w:widowControl w:val="0"/>
              <w:spacing w:line="240" w:lineRule="auto"/>
              <w:ind w:firstLine="0" w:firstLineChars="0"/>
              <w:jc w:val="center"/>
              <w:rPr>
                <w:rFonts w:ascii="Calibri" w:hAnsi="Calibri" w:cs="Times New Roman"/>
                <w:sz w:val="21"/>
              </w:rPr>
            </w:pPr>
            <w:r>
              <w:rPr>
                <w:rFonts w:ascii="Calibri" w:hAnsi="Calibri" w:cs="Times New Roman"/>
                <w:sz w:val="21"/>
              </w:rPr>
              <w:t>歇马庵</w:t>
            </w:r>
          </w:p>
        </w:tc>
        <w:tc>
          <w:tcPr>
            <w:tcW w:w="871" w:type="pct"/>
            <w:vAlign w:val="center"/>
          </w:tcPr>
          <w:p w14:paraId="4077109B">
            <w:pPr>
              <w:widowControl w:val="0"/>
              <w:spacing w:line="240" w:lineRule="auto"/>
              <w:ind w:firstLine="0" w:firstLineChars="0"/>
              <w:jc w:val="center"/>
              <w:rPr>
                <w:rFonts w:ascii="Calibri" w:hAnsi="Calibri" w:cs="Times New Roman"/>
                <w:sz w:val="21"/>
              </w:rPr>
            </w:pPr>
            <w:r>
              <w:rPr>
                <w:rFonts w:ascii="Calibri" w:hAnsi="Calibri" w:cs="Times New Roman"/>
                <w:sz w:val="21"/>
              </w:rPr>
              <w:t>马安子</w:t>
            </w:r>
          </w:p>
        </w:tc>
        <w:tc>
          <w:tcPr>
            <w:tcW w:w="752" w:type="pct"/>
            <w:vAlign w:val="center"/>
          </w:tcPr>
          <w:p w14:paraId="32C4EDF7">
            <w:pPr>
              <w:widowControl w:val="0"/>
              <w:spacing w:line="240" w:lineRule="auto"/>
              <w:ind w:firstLine="0" w:firstLineChars="0"/>
              <w:jc w:val="center"/>
              <w:rPr>
                <w:rFonts w:ascii="Calibri" w:hAnsi="Calibri" w:cs="Times New Roman"/>
                <w:sz w:val="21"/>
              </w:rPr>
            </w:pPr>
            <w:r>
              <w:rPr>
                <w:rFonts w:ascii="Calibri" w:hAnsi="Calibri" w:cs="Times New Roman"/>
                <w:sz w:val="21"/>
              </w:rPr>
              <w:t>11.5</w:t>
            </w:r>
          </w:p>
        </w:tc>
        <w:tc>
          <w:tcPr>
            <w:tcW w:w="1350" w:type="pct"/>
            <w:vAlign w:val="center"/>
          </w:tcPr>
          <w:p w14:paraId="47E9E689">
            <w:pPr>
              <w:widowControl w:val="0"/>
              <w:spacing w:line="240" w:lineRule="auto"/>
              <w:ind w:firstLine="0" w:firstLineChars="0"/>
              <w:jc w:val="center"/>
              <w:rPr>
                <w:rFonts w:ascii="Calibri" w:hAnsi="Calibri" w:cs="Times New Roman"/>
                <w:sz w:val="21"/>
              </w:rPr>
            </w:pPr>
            <w:r>
              <w:rPr>
                <w:rFonts w:ascii="Calibri" w:hAnsi="Calibri" w:cs="Times New Roman"/>
                <w:sz w:val="21"/>
              </w:rPr>
              <w:t>杂灌杂草、补植</w:t>
            </w:r>
          </w:p>
        </w:tc>
      </w:tr>
      <w:tr w14:paraId="61BA3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1" w:type="pct"/>
            <w:vAlign w:val="center"/>
          </w:tcPr>
          <w:p w14:paraId="29A26AE8">
            <w:pPr>
              <w:widowControl w:val="0"/>
              <w:spacing w:line="240" w:lineRule="auto"/>
              <w:ind w:firstLine="0" w:firstLineChars="0"/>
              <w:jc w:val="center"/>
              <w:rPr>
                <w:rFonts w:ascii="Calibri" w:hAnsi="Calibri" w:cs="Times New Roman"/>
                <w:sz w:val="21"/>
              </w:rPr>
            </w:pPr>
            <w:r>
              <w:rPr>
                <w:rFonts w:ascii="Calibri" w:hAnsi="Calibri" w:cs="Times New Roman"/>
                <w:sz w:val="21"/>
              </w:rPr>
              <w:t>4</w:t>
            </w:r>
          </w:p>
        </w:tc>
        <w:tc>
          <w:tcPr>
            <w:tcW w:w="671" w:type="pct"/>
            <w:vAlign w:val="center"/>
          </w:tcPr>
          <w:p w14:paraId="56EC1122">
            <w:pPr>
              <w:widowControl w:val="0"/>
              <w:spacing w:line="240" w:lineRule="auto"/>
              <w:ind w:firstLine="0" w:firstLineChars="0"/>
              <w:jc w:val="center"/>
              <w:rPr>
                <w:rFonts w:ascii="Calibri" w:hAnsi="Calibri" w:cs="Times New Roman"/>
                <w:sz w:val="21"/>
              </w:rPr>
            </w:pPr>
            <w:r>
              <w:rPr>
                <w:rFonts w:ascii="Calibri" w:hAnsi="Calibri" w:cs="Times New Roman"/>
                <w:sz w:val="21"/>
              </w:rPr>
              <w:t>三岔水</w:t>
            </w:r>
          </w:p>
        </w:tc>
        <w:tc>
          <w:tcPr>
            <w:tcW w:w="872" w:type="pct"/>
            <w:vAlign w:val="center"/>
          </w:tcPr>
          <w:p w14:paraId="395A30CD">
            <w:pPr>
              <w:widowControl w:val="0"/>
              <w:spacing w:line="240" w:lineRule="auto"/>
              <w:ind w:firstLine="0" w:firstLineChars="0"/>
              <w:jc w:val="center"/>
              <w:rPr>
                <w:rFonts w:ascii="Calibri" w:hAnsi="Calibri" w:cs="Times New Roman"/>
                <w:sz w:val="21"/>
              </w:rPr>
            </w:pPr>
            <w:r>
              <w:rPr>
                <w:rFonts w:ascii="Calibri" w:hAnsi="Calibri" w:cs="Times New Roman"/>
                <w:sz w:val="21"/>
              </w:rPr>
              <w:t>阿弥它佛</w:t>
            </w:r>
          </w:p>
        </w:tc>
        <w:tc>
          <w:tcPr>
            <w:tcW w:w="871" w:type="pct"/>
            <w:vAlign w:val="center"/>
          </w:tcPr>
          <w:p w14:paraId="540EEE15">
            <w:pPr>
              <w:widowControl w:val="0"/>
              <w:spacing w:line="240" w:lineRule="auto"/>
              <w:ind w:firstLine="0" w:firstLineChars="0"/>
              <w:jc w:val="center"/>
              <w:rPr>
                <w:rFonts w:ascii="Calibri" w:hAnsi="Calibri" w:cs="Times New Roman"/>
                <w:sz w:val="21"/>
              </w:rPr>
            </w:pPr>
            <w:r>
              <w:rPr>
                <w:rFonts w:ascii="Calibri" w:hAnsi="Calibri" w:cs="Times New Roman"/>
                <w:sz w:val="21"/>
              </w:rPr>
              <w:t>歇马庵</w:t>
            </w:r>
          </w:p>
        </w:tc>
        <w:tc>
          <w:tcPr>
            <w:tcW w:w="752" w:type="pct"/>
            <w:vAlign w:val="center"/>
          </w:tcPr>
          <w:p w14:paraId="5BD06BA7">
            <w:pPr>
              <w:widowControl w:val="0"/>
              <w:spacing w:line="240" w:lineRule="auto"/>
              <w:ind w:firstLine="0" w:firstLineChars="0"/>
              <w:jc w:val="center"/>
              <w:rPr>
                <w:rFonts w:ascii="Calibri" w:hAnsi="Calibri" w:cs="Times New Roman"/>
                <w:sz w:val="21"/>
              </w:rPr>
            </w:pPr>
            <w:r>
              <w:rPr>
                <w:rFonts w:ascii="Calibri" w:hAnsi="Calibri" w:cs="Times New Roman"/>
                <w:sz w:val="21"/>
              </w:rPr>
              <w:t>6</w:t>
            </w:r>
          </w:p>
        </w:tc>
        <w:tc>
          <w:tcPr>
            <w:tcW w:w="1350" w:type="pct"/>
            <w:vAlign w:val="center"/>
          </w:tcPr>
          <w:p w14:paraId="65BEBF35">
            <w:pPr>
              <w:widowControl w:val="0"/>
              <w:spacing w:line="240" w:lineRule="auto"/>
              <w:ind w:firstLine="0" w:firstLineChars="0"/>
              <w:jc w:val="center"/>
              <w:rPr>
                <w:rFonts w:ascii="Calibri" w:hAnsi="Calibri" w:cs="Times New Roman"/>
                <w:sz w:val="21"/>
              </w:rPr>
            </w:pPr>
            <w:r>
              <w:rPr>
                <w:rFonts w:ascii="Calibri" w:hAnsi="Calibri" w:cs="Times New Roman"/>
                <w:sz w:val="21"/>
              </w:rPr>
              <w:t>杂灌杂草、补植</w:t>
            </w:r>
          </w:p>
        </w:tc>
      </w:tr>
      <w:tr w14:paraId="4D554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1" w:type="pct"/>
            <w:vAlign w:val="center"/>
          </w:tcPr>
          <w:p w14:paraId="3EE03C62">
            <w:pPr>
              <w:widowControl w:val="0"/>
              <w:spacing w:line="240" w:lineRule="auto"/>
              <w:ind w:firstLine="0" w:firstLineChars="0"/>
              <w:jc w:val="center"/>
              <w:rPr>
                <w:rFonts w:ascii="Calibri" w:hAnsi="Calibri" w:cs="Times New Roman"/>
                <w:sz w:val="21"/>
              </w:rPr>
            </w:pPr>
            <w:r>
              <w:rPr>
                <w:rFonts w:ascii="Calibri" w:hAnsi="Calibri" w:cs="Times New Roman"/>
                <w:sz w:val="21"/>
              </w:rPr>
              <w:t>5</w:t>
            </w:r>
          </w:p>
        </w:tc>
        <w:tc>
          <w:tcPr>
            <w:tcW w:w="671" w:type="pct"/>
            <w:vAlign w:val="center"/>
          </w:tcPr>
          <w:p w14:paraId="3B794854">
            <w:pPr>
              <w:widowControl w:val="0"/>
              <w:spacing w:line="240" w:lineRule="auto"/>
              <w:ind w:firstLine="0" w:firstLineChars="0"/>
              <w:jc w:val="center"/>
              <w:rPr>
                <w:rFonts w:ascii="Calibri" w:hAnsi="Calibri" w:cs="Times New Roman"/>
                <w:sz w:val="21"/>
              </w:rPr>
            </w:pPr>
            <w:r>
              <w:rPr>
                <w:rFonts w:ascii="Calibri" w:hAnsi="Calibri" w:cs="Times New Roman"/>
                <w:sz w:val="21"/>
              </w:rPr>
              <w:t>北江冲</w:t>
            </w:r>
          </w:p>
        </w:tc>
        <w:tc>
          <w:tcPr>
            <w:tcW w:w="872" w:type="pct"/>
            <w:vAlign w:val="center"/>
          </w:tcPr>
          <w:p w14:paraId="36D8985B">
            <w:pPr>
              <w:widowControl w:val="0"/>
              <w:spacing w:line="240" w:lineRule="auto"/>
              <w:ind w:firstLine="0" w:firstLineChars="0"/>
              <w:jc w:val="center"/>
              <w:rPr>
                <w:rFonts w:ascii="Calibri" w:hAnsi="Calibri" w:cs="Times New Roman"/>
                <w:sz w:val="21"/>
              </w:rPr>
            </w:pPr>
            <w:r>
              <w:rPr>
                <w:rFonts w:ascii="Calibri" w:hAnsi="Calibri" w:cs="Times New Roman"/>
                <w:sz w:val="21"/>
              </w:rPr>
              <w:t>阿弥它佛</w:t>
            </w:r>
          </w:p>
        </w:tc>
        <w:tc>
          <w:tcPr>
            <w:tcW w:w="871" w:type="pct"/>
            <w:vAlign w:val="center"/>
          </w:tcPr>
          <w:p w14:paraId="2E59ACBB">
            <w:pPr>
              <w:widowControl w:val="0"/>
              <w:spacing w:line="240" w:lineRule="auto"/>
              <w:ind w:firstLine="0" w:firstLineChars="0"/>
              <w:jc w:val="center"/>
              <w:rPr>
                <w:rFonts w:ascii="Calibri" w:hAnsi="Calibri" w:cs="Times New Roman"/>
                <w:sz w:val="21"/>
              </w:rPr>
            </w:pPr>
            <w:r>
              <w:rPr>
                <w:rFonts w:ascii="Calibri" w:hAnsi="Calibri" w:cs="Times New Roman"/>
                <w:sz w:val="21"/>
              </w:rPr>
              <w:t>黑暗漕</w:t>
            </w:r>
          </w:p>
        </w:tc>
        <w:tc>
          <w:tcPr>
            <w:tcW w:w="752" w:type="pct"/>
            <w:vAlign w:val="center"/>
          </w:tcPr>
          <w:p w14:paraId="41445B53">
            <w:pPr>
              <w:widowControl w:val="0"/>
              <w:spacing w:line="240" w:lineRule="auto"/>
              <w:ind w:firstLine="0" w:firstLineChars="0"/>
              <w:jc w:val="center"/>
              <w:rPr>
                <w:rFonts w:ascii="Calibri" w:hAnsi="Calibri" w:cs="Times New Roman"/>
                <w:sz w:val="21"/>
              </w:rPr>
            </w:pPr>
            <w:r>
              <w:rPr>
                <w:rFonts w:ascii="Calibri" w:hAnsi="Calibri" w:cs="Times New Roman"/>
                <w:sz w:val="21"/>
              </w:rPr>
              <w:t>12</w:t>
            </w:r>
          </w:p>
        </w:tc>
        <w:tc>
          <w:tcPr>
            <w:tcW w:w="1350" w:type="pct"/>
            <w:vAlign w:val="center"/>
          </w:tcPr>
          <w:p w14:paraId="76704D60">
            <w:pPr>
              <w:widowControl w:val="0"/>
              <w:spacing w:line="240" w:lineRule="auto"/>
              <w:ind w:firstLine="0" w:firstLineChars="0"/>
              <w:jc w:val="center"/>
              <w:rPr>
                <w:rFonts w:ascii="Calibri" w:hAnsi="Calibri" w:cs="Times New Roman"/>
                <w:sz w:val="21"/>
              </w:rPr>
            </w:pPr>
            <w:r>
              <w:rPr>
                <w:rFonts w:ascii="Calibri" w:hAnsi="Calibri" w:cs="Times New Roman"/>
                <w:sz w:val="21"/>
              </w:rPr>
              <w:t>杂灌杂草、补植</w:t>
            </w:r>
          </w:p>
        </w:tc>
      </w:tr>
      <w:tr w14:paraId="22ECA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1" w:type="pct"/>
            <w:vAlign w:val="center"/>
          </w:tcPr>
          <w:p w14:paraId="5C9DD553">
            <w:pPr>
              <w:widowControl w:val="0"/>
              <w:spacing w:line="240" w:lineRule="auto"/>
              <w:ind w:firstLine="0" w:firstLineChars="0"/>
              <w:jc w:val="center"/>
              <w:rPr>
                <w:rFonts w:ascii="Calibri" w:hAnsi="Calibri" w:cs="Times New Roman"/>
                <w:sz w:val="21"/>
              </w:rPr>
            </w:pPr>
            <w:r>
              <w:rPr>
                <w:rFonts w:ascii="Calibri" w:hAnsi="Calibri" w:cs="Times New Roman"/>
                <w:sz w:val="21"/>
              </w:rPr>
              <w:t>6</w:t>
            </w:r>
          </w:p>
        </w:tc>
        <w:tc>
          <w:tcPr>
            <w:tcW w:w="671" w:type="pct"/>
            <w:vAlign w:val="center"/>
          </w:tcPr>
          <w:p w14:paraId="2E0DB901">
            <w:pPr>
              <w:widowControl w:val="0"/>
              <w:spacing w:line="240" w:lineRule="auto"/>
              <w:ind w:firstLine="0" w:firstLineChars="0"/>
              <w:jc w:val="center"/>
              <w:rPr>
                <w:rFonts w:ascii="Calibri" w:hAnsi="Calibri" w:cs="Times New Roman"/>
                <w:sz w:val="21"/>
              </w:rPr>
            </w:pPr>
            <w:r>
              <w:rPr>
                <w:rFonts w:ascii="Calibri" w:hAnsi="Calibri" w:cs="Times New Roman"/>
                <w:sz w:val="21"/>
              </w:rPr>
              <w:t>北江冲</w:t>
            </w:r>
          </w:p>
        </w:tc>
        <w:tc>
          <w:tcPr>
            <w:tcW w:w="872" w:type="pct"/>
            <w:vAlign w:val="center"/>
          </w:tcPr>
          <w:p w14:paraId="5F7F2BC2">
            <w:pPr>
              <w:widowControl w:val="0"/>
              <w:spacing w:line="240" w:lineRule="auto"/>
              <w:ind w:firstLine="0" w:firstLineChars="0"/>
              <w:jc w:val="center"/>
              <w:rPr>
                <w:rFonts w:ascii="Calibri" w:hAnsi="Calibri" w:cs="Times New Roman"/>
                <w:sz w:val="21"/>
              </w:rPr>
            </w:pPr>
            <w:r>
              <w:rPr>
                <w:rFonts w:ascii="Calibri" w:hAnsi="Calibri" w:cs="Times New Roman"/>
                <w:sz w:val="21"/>
              </w:rPr>
              <w:t>黑暗漕</w:t>
            </w:r>
          </w:p>
        </w:tc>
        <w:tc>
          <w:tcPr>
            <w:tcW w:w="871" w:type="pct"/>
            <w:vAlign w:val="center"/>
          </w:tcPr>
          <w:p w14:paraId="2CBEADDC">
            <w:pPr>
              <w:widowControl w:val="0"/>
              <w:spacing w:line="240" w:lineRule="auto"/>
              <w:ind w:firstLine="0" w:firstLineChars="0"/>
              <w:jc w:val="center"/>
              <w:rPr>
                <w:rFonts w:ascii="Calibri" w:hAnsi="Calibri" w:cs="Times New Roman"/>
                <w:sz w:val="21"/>
              </w:rPr>
            </w:pPr>
            <w:r>
              <w:rPr>
                <w:rFonts w:ascii="Calibri" w:hAnsi="Calibri" w:cs="Times New Roman"/>
                <w:sz w:val="21"/>
              </w:rPr>
              <w:t>灯盏坳</w:t>
            </w:r>
          </w:p>
        </w:tc>
        <w:tc>
          <w:tcPr>
            <w:tcW w:w="752" w:type="pct"/>
            <w:vAlign w:val="center"/>
          </w:tcPr>
          <w:p w14:paraId="2A20987B">
            <w:pPr>
              <w:widowControl w:val="0"/>
              <w:spacing w:line="240" w:lineRule="auto"/>
              <w:ind w:firstLine="0" w:firstLineChars="0"/>
              <w:jc w:val="center"/>
              <w:rPr>
                <w:rFonts w:ascii="Calibri" w:hAnsi="Calibri" w:cs="Times New Roman"/>
                <w:sz w:val="21"/>
              </w:rPr>
            </w:pPr>
            <w:r>
              <w:rPr>
                <w:rFonts w:ascii="Calibri" w:hAnsi="Calibri" w:cs="Times New Roman"/>
                <w:sz w:val="21"/>
              </w:rPr>
              <w:t>11</w:t>
            </w:r>
          </w:p>
        </w:tc>
        <w:tc>
          <w:tcPr>
            <w:tcW w:w="1350" w:type="pct"/>
            <w:vAlign w:val="center"/>
          </w:tcPr>
          <w:p w14:paraId="3F866C11">
            <w:pPr>
              <w:widowControl w:val="0"/>
              <w:spacing w:line="240" w:lineRule="auto"/>
              <w:ind w:firstLine="0" w:firstLineChars="0"/>
              <w:jc w:val="center"/>
              <w:rPr>
                <w:rFonts w:ascii="Calibri" w:hAnsi="Calibri" w:cs="Times New Roman"/>
                <w:sz w:val="21"/>
              </w:rPr>
            </w:pPr>
            <w:r>
              <w:rPr>
                <w:rFonts w:ascii="Calibri" w:hAnsi="Calibri" w:cs="Times New Roman"/>
                <w:sz w:val="21"/>
              </w:rPr>
              <w:t>杂灌杂草、补植</w:t>
            </w:r>
          </w:p>
        </w:tc>
      </w:tr>
      <w:tr w14:paraId="2EC54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1" w:type="pct"/>
            <w:vAlign w:val="center"/>
          </w:tcPr>
          <w:p w14:paraId="6C3577EE">
            <w:pPr>
              <w:widowControl w:val="0"/>
              <w:spacing w:line="240" w:lineRule="auto"/>
              <w:ind w:firstLine="0" w:firstLineChars="0"/>
              <w:jc w:val="center"/>
              <w:rPr>
                <w:rFonts w:ascii="Calibri" w:hAnsi="Calibri" w:cs="Times New Roman"/>
                <w:sz w:val="21"/>
              </w:rPr>
            </w:pPr>
            <w:r>
              <w:rPr>
                <w:rFonts w:ascii="Calibri" w:hAnsi="Calibri" w:cs="Times New Roman"/>
                <w:sz w:val="21"/>
              </w:rPr>
              <w:t>总计</w:t>
            </w:r>
          </w:p>
        </w:tc>
        <w:tc>
          <w:tcPr>
            <w:tcW w:w="671" w:type="pct"/>
            <w:vAlign w:val="center"/>
          </w:tcPr>
          <w:p w14:paraId="5A46E6DC">
            <w:pPr>
              <w:widowControl w:val="0"/>
              <w:spacing w:line="240" w:lineRule="auto"/>
              <w:ind w:firstLine="0" w:firstLineChars="0"/>
              <w:jc w:val="center"/>
              <w:rPr>
                <w:rFonts w:ascii="Calibri" w:hAnsi="Calibri" w:cs="Times New Roman"/>
                <w:sz w:val="21"/>
              </w:rPr>
            </w:pPr>
          </w:p>
        </w:tc>
        <w:tc>
          <w:tcPr>
            <w:tcW w:w="872" w:type="pct"/>
            <w:vAlign w:val="center"/>
          </w:tcPr>
          <w:p w14:paraId="6D137A6F">
            <w:pPr>
              <w:widowControl w:val="0"/>
              <w:spacing w:line="240" w:lineRule="auto"/>
              <w:ind w:firstLine="0" w:firstLineChars="0"/>
              <w:jc w:val="center"/>
              <w:rPr>
                <w:rFonts w:ascii="Calibri" w:hAnsi="Calibri" w:cs="Times New Roman"/>
                <w:sz w:val="21"/>
              </w:rPr>
            </w:pPr>
          </w:p>
        </w:tc>
        <w:tc>
          <w:tcPr>
            <w:tcW w:w="871" w:type="pct"/>
            <w:vAlign w:val="center"/>
          </w:tcPr>
          <w:p w14:paraId="1F4CDF79">
            <w:pPr>
              <w:widowControl w:val="0"/>
              <w:spacing w:line="240" w:lineRule="auto"/>
              <w:ind w:firstLine="0" w:firstLineChars="0"/>
              <w:jc w:val="center"/>
              <w:rPr>
                <w:rFonts w:ascii="Calibri" w:hAnsi="Calibri" w:cs="Times New Roman"/>
                <w:sz w:val="21"/>
              </w:rPr>
            </w:pPr>
          </w:p>
        </w:tc>
        <w:tc>
          <w:tcPr>
            <w:tcW w:w="752" w:type="pct"/>
            <w:vAlign w:val="center"/>
          </w:tcPr>
          <w:p w14:paraId="6325F534">
            <w:pPr>
              <w:widowControl w:val="0"/>
              <w:spacing w:line="240" w:lineRule="auto"/>
              <w:ind w:firstLine="0" w:firstLineChars="0"/>
              <w:jc w:val="center"/>
              <w:rPr>
                <w:rFonts w:ascii="Calibri" w:hAnsi="Calibri" w:cs="Times New Roman"/>
                <w:sz w:val="21"/>
              </w:rPr>
            </w:pPr>
            <w:r>
              <w:rPr>
                <w:rFonts w:ascii="Calibri" w:hAnsi="Calibri" w:cs="Times New Roman"/>
                <w:sz w:val="21"/>
              </w:rPr>
              <w:t>54.5</w:t>
            </w:r>
          </w:p>
        </w:tc>
        <w:tc>
          <w:tcPr>
            <w:tcW w:w="1350" w:type="pct"/>
            <w:vAlign w:val="center"/>
          </w:tcPr>
          <w:p w14:paraId="423CBA56">
            <w:pPr>
              <w:widowControl w:val="0"/>
              <w:spacing w:line="240" w:lineRule="auto"/>
              <w:ind w:firstLine="0" w:firstLineChars="0"/>
              <w:jc w:val="center"/>
              <w:rPr>
                <w:rFonts w:ascii="Calibri" w:hAnsi="Calibri" w:cs="Times New Roman"/>
                <w:sz w:val="21"/>
              </w:rPr>
            </w:pPr>
          </w:p>
        </w:tc>
      </w:tr>
    </w:tbl>
    <w:p w14:paraId="60F67BA1">
      <w:pPr>
        <w:pStyle w:val="3"/>
        <w:rPr>
          <w:lang w:eastAsia="zh-CN"/>
        </w:rPr>
      </w:pPr>
      <w:bookmarkStart w:id="133" w:name="_Toc30516"/>
      <w:r>
        <w:rPr>
          <w:rFonts w:hint="eastAsia"/>
          <w:lang w:eastAsia="zh-CN"/>
        </w:rPr>
        <w:t>9.4其它基础设施建设</w:t>
      </w:r>
      <w:bookmarkEnd w:id="133"/>
    </w:p>
    <w:p w14:paraId="6AF1B803">
      <w:pPr>
        <w:ind w:firstLine="480"/>
        <w:rPr>
          <w:lang w:eastAsia="zh-CN"/>
        </w:rPr>
      </w:pPr>
      <w:r>
        <w:rPr>
          <w:rFonts w:hint="eastAsia"/>
          <w:lang w:eastAsia="zh-CN"/>
        </w:rPr>
        <w:t>(1)通讯</w:t>
      </w:r>
    </w:p>
    <w:p w14:paraId="562D33D7">
      <w:pPr>
        <w:ind w:firstLine="480"/>
        <w:rPr>
          <w:lang w:eastAsia="zh-CN"/>
        </w:rPr>
      </w:pPr>
      <w:r>
        <w:rPr>
          <w:rFonts w:hint="eastAsia"/>
          <w:lang w:eastAsia="zh-CN"/>
        </w:rPr>
        <w:t>林场95%以上地段已通无线信号，但只5G网络没有全覆盖，还有一部分是4G网络，根据国家加强建设5G要求，为了更好地服务林业生产，提升森林防火、野生动植物等监测管理视频信息系统，本经营期规划进行5G线路改造。规划改造线路30km，投资120万元，增加视频接收设备，投资30万元。本经营期合计投资150万元。</w:t>
      </w:r>
    </w:p>
    <w:p w14:paraId="1F2A968D">
      <w:pPr>
        <w:ind w:firstLine="480"/>
        <w:rPr>
          <w:lang w:eastAsia="zh-CN"/>
        </w:rPr>
      </w:pPr>
      <w:r>
        <w:rPr>
          <w:rFonts w:hint="eastAsia"/>
          <w:lang w:eastAsia="zh-CN"/>
        </w:rPr>
        <w:t>(2)交通工具</w:t>
      </w:r>
    </w:p>
    <w:p w14:paraId="3FDE51BA">
      <w:pPr>
        <w:ind w:firstLine="480"/>
        <w:rPr>
          <w:lang w:eastAsia="zh-CN"/>
        </w:rPr>
      </w:pPr>
      <w:r>
        <w:rPr>
          <w:rFonts w:hint="eastAsia"/>
          <w:lang w:eastAsia="zh-CN"/>
        </w:rPr>
        <w:t>林场“三防”压力较大，原有防火用车数量少，且亟需更新，规划购买“三防”巡护车和防火运兵车各一辆，本经营期合计投资35万元。</w:t>
      </w:r>
    </w:p>
    <w:p w14:paraId="4EF21061">
      <w:pPr>
        <w:ind w:firstLine="480"/>
        <w:rPr>
          <w:lang w:eastAsia="zh-CN"/>
        </w:rPr>
      </w:pPr>
      <w:r>
        <w:rPr>
          <w:rFonts w:hint="eastAsia"/>
          <w:lang w:eastAsia="zh-CN"/>
        </w:rPr>
        <w:t>(3)供电</w:t>
      </w:r>
    </w:p>
    <w:p w14:paraId="376B41D7">
      <w:pPr>
        <w:ind w:firstLine="480"/>
        <w:rPr>
          <w:lang w:eastAsia="zh-CN"/>
        </w:rPr>
      </w:pPr>
      <w:r>
        <w:rPr>
          <w:rFonts w:hint="eastAsia"/>
          <w:lang w:eastAsia="zh-CN"/>
        </w:rPr>
        <w:t>林场各林区已全部通电，本经营期内，只对老化的供电设施进行维修供电线路投资100万元。</w:t>
      </w:r>
    </w:p>
    <w:p w14:paraId="28C99E76">
      <w:pPr>
        <w:ind w:firstLine="480"/>
        <w:rPr>
          <w:lang w:eastAsia="zh-CN"/>
        </w:rPr>
      </w:pPr>
      <w:r>
        <w:rPr>
          <w:rFonts w:hint="eastAsia"/>
          <w:lang w:eastAsia="zh-CN"/>
        </w:rPr>
        <w:t>(4)办公科研设备</w:t>
      </w:r>
    </w:p>
    <w:p w14:paraId="59D0E809">
      <w:pPr>
        <w:ind w:firstLine="480"/>
        <w:rPr>
          <w:lang w:eastAsia="zh-CN"/>
        </w:rPr>
      </w:pPr>
      <w:r>
        <w:rPr>
          <w:rFonts w:hint="eastAsia"/>
          <w:lang w:eastAsia="zh-CN"/>
        </w:rPr>
        <w:t>本经营期林场规划更换和新购一批办公科研工程主要设备，预计需投入220万元。</w:t>
      </w:r>
      <w:bookmarkStart w:id="134" w:name="bookmark98"/>
      <w:bookmarkEnd w:id="134"/>
      <w:bookmarkStart w:id="135" w:name="bookmark94"/>
      <w:bookmarkEnd w:id="135"/>
    </w:p>
    <w:p w14:paraId="3E6292F0">
      <w:pPr>
        <w:pStyle w:val="3"/>
        <w:rPr>
          <w:lang w:eastAsia="zh-CN"/>
        </w:rPr>
      </w:pPr>
      <w:bookmarkStart w:id="136" w:name="_Toc15323"/>
      <w:r>
        <w:rPr>
          <w:lang w:eastAsia="zh-CN"/>
        </w:rPr>
        <w:t>9.</w:t>
      </w:r>
      <w:r>
        <w:rPr>
          <w:rFonts w:hint="eastAsia"/>
          <w:lang w:eastAsia="zh-CN"/>
        </w:rPr>
        <w:t>5</w:t>
      </w:r>
      <w:r>
        <w:rPr>
          <w:lang w:eastAsia="zh-CN"/>
        </w:rPr>
        <w:t>旅游设施建设</w:t>
      </w:r>
      <w:bookmarkEnd w:id="136"/>
    </w:p>
    <w:p w14:paraId="66ABC9B7">
      <w:pPr>
        <w:ind w:firstLine="480"/>
        <w:rPr>
          <w:lang w:eastAsia="zh-CN"/>
        </w:rPr>
      </w:pPr>
      <w:r>
        <w:rPr>
          <w:lang w:eastAsia="zh-CN"/>
        </w:rPr>
        <w:t>由于林场营林设施和基础设施都比较完善，本规划期内大力发展林场内的旅游资源，完善林场内的旅游设施，着重完善</w:t>
      </w:r>
      <w:r>
        <w:rPr>
          <w:rFonts w:hint="eastAsia"/>
          <w:lang w:eastAsia="zh-CN"/>
        </w:rPr>
        <w:t>阳明山国家森林公园</w:t>
      </w:r>
      <w:r>
        <w:rPr>
          <w:lang w:eastAsia="zh-CN"/>
        </w:rPr>
        <w:t>的基础设施建设。</w:t>
      </w:r>
    </w:p>
    <w:p w14:paraId="67666B16">
      <w:pPr>
        <w:ind w:firstLine="480"/>
        <w:rPr>
          <w:lang w:eastAsia="zh-CN"/>
        </w:rPr>
      </w:pPr>
      <w:r>
        <w:rPr>
          <w:rFonts w:hint="eastAsia"/>
          <w:lang w:eastAsia="zh-CN"/>
        </w:rPr>
        <w:t>阳明山国家森林公园</w:t>
      </w:r>
      <w:r>
        <w:rPr>
          <w:lang w:eastAsia="zh-CN"/>
        </w:rPr>
        <w:t>内旅游接待服务设施较少，在旅游旺季森林公园的旅游接待服务压力较大。随着森林公园基础建设投入不断增加，森林公园内外交通状况的不断改善，宣传力度的加大，游客量将迅速增加。因此，森林公园的旅游接待服务设施必须加快建设。</w:t>
      </w:r>
    </w:p>
    <w:p w14:paraId="5F2723A0">
      <w:pPr>
        <w:pStyle w:val="4"/>
      </w:pPr>
      <w:r>
        <w:rPr>
          <w:rFonts w:hint="eastAsia"/>
        </w:rPr>
        <w:t>9.5.1住宿</w:t>
      </w:r>
    </w:p>
    <w:p w14:paraId="7B8E9BE5">
      <w:pPr>
        <w:ind w:firstLine="480"/>
        <w:rPr>
          <w:lang w:eastAsia="zh-CN"/>
        </w:rPr>
      </w:pPr>
      <w:r>
        <w:rPr>
          <w:rFonts w:hint="eastAsia"/>
          <w:lang w:eastAsia="zh-CN"/>
        </w:rPr>
        <w:t>(</w:t>
      </w:r>
      <w:r>
        <w:rPr>
          <w:lang w:eastAsia="zh-CN"/>
        </w:rPr>
        <w:t>1</w:t>
      </w:r>
      <w:r>
        <w:rPr>
          <w:rFonts w:hint="eastAsia"/>
          <w:lang w:eastAsia="zh-CN"/>
        </w:rPr>
        <w:t>)</w:t>
      </w:r>
      <w:r>
        <w:rPr>
          <w:lang w:eastAsia="zh-CN"/>
        </w:rPr>
        <w:t>现状</w:t>
      </w:r>
    </w:p>
    <w:p w14:paraId="28FF9A2D">
      <w:pPr>
        <w:ind w:firstLine="480"/>
        <w:rPr>
          <w:lang w:eastAsia="zh-CN"/>
        </w:rPr>
      </w:pPr>
      <w:r>
        <w:rPr>
          <w:lang w:eastAsia="zh-CN"/>
        </w:rPr>
        <w:t>目前，因公园接待设施情况稍显落后，以游客一日游的游客居多。目前景区有大小宾馆、酒店50家，房间420余间。随着阳明山旅游基础设施的进一步完善及旅游产品的不断开发，多日游游客也将逐步增长，公园内应增加住宿接待场所。</w:t>
      </w:r>
    </w:p>
    <w:p w14:paraId="70CA7F18">
      <w:pPr>
        <w:ind w:firstLine="480"/>
        <w:rPr>
          <w:lang w:eastAsia="zh-CN"/>
        </w:rPr>
      </w:pPr>
      <w:r>
        <w:rPr>
          <w:rFonts w:hint="eastAsia"/>
          <w:lang w:eastAsia="zh-CN"/>
        </w:rPr>
        <w:t>(</w:t>
      </w:r>
      <w:r>
        <w:rPr>
          <w:lang w:eastAsia="zh-CN"/>
        </w:rPr>
        <w:t>2</w:t>
      </w:r>
      <w:r>
        <w:rPr>
          <w:rFonts w:hint="eastAsia"/>
          <w:lang w:eastAsia="zh-CN"/>
        </w:rPr>
        <w:t>)</w:t>
      </w:r>
      <w:r>
        <w:rPr>
          <w:lang w:eastAsia="zh-CN"/>
        </w:rPr>
        <w:t>住宿规模预测</w:t>
      </w:r>
    </w:p>
    <w:p w14:paraId="237AB840">
      <w:pPr>
        <w:ind w:firstLine="480"/>
        <w:rPr>
          <w:lang w:eastAsia="zh-CN"/>
        </w:rPr>
      </w:pPr>
      <w:r>
        <w:rPr>
          <w:lang w:eastAsia="zh-CN"/>
        </w:rPr>
        <w:t>森林公园内的住宿房间数量是衡量其旅游服务接待能力的重要标志。房间数的预测，必须以游客规模、可游时间、游客平均游览天数等为依据进行测算。</w:t>
      </w:r>
    </w:p>
    <w:p w14:paraId="35FB44E5">
      <w:pPr>
        <w:ind w:firstLine="480"/>
        <w:rPr>
          <w:lang w:eastAsia="zh-CN"/>
        </w:rPr>
      </w:pPr>
      <w:r>
        <w:rPr>
          <w:lang w:eastAsia="zh-CN"/>
        </w:rPr>
        <w:t>测算公式为：C=</w:t>
      </w:r>
      <w:r>
        <w:rPr>
          <w:rFonts w:hint="eastAsia"/>
          <w:lang w:eastAsia="zh-CN"/>
        </w:rPr>
        <w:t>(</w:t>
      </w:r>
      <w:r>
        <w:rPr>
          <w:lang w:eastAsia="zh-CN"/>
        </w:rPr>
        <w:t>R×N</w:t>
      </w:r>
      <w:r>
        <w:rPr>
          <w:rFonts w:hint="eastAsia"/>
          <w:lang w:eastAsia="zh-CN"/>
        </w:rPr>
        <w:t>)</w:t>
      </w:r>
      <w:r>
        <w:rPr>
          <w:lang w:eastAsia="zh-CN"/>
        </w:rPr>
        <w:t>/</w:t>
      </w:r>
      <w:r>
        <w:rPr>
          <w:rFonts w:hint="eastAsia"/>
          <w:lang w:eastAsia="zh-CN"/>
        </w:rPr>
        <w:t>(</w:t>
      </w:r>
      <w:r>
        <w:rPr>
          <w:lang w:eastAsia="zh-CN"/>
        </w:rPr>
        <w:t>T×K</w:t>
      </w:r>
      <w:r>
        <w:rPr>
          <w:rFonts w:hint="eastAsia"/>
          <w:lang w:eastAsia="zh-CN"/>
        </w:rPr>
        <w:t>)</w:t>
      </w:r>
    </w:p>
    <w:p w14:paraId="038ED046">
      <w:pPr>
        <w:ind w:firstLine="480"/>
        <w:rPr>
          <w:lang w:eastAsia="zh-CN"/>
        </w:rPr>
      </w:pPr>
      <w:r>
        <w:rPr>
          <w:lang w:eastAsia="zh-CN"/>
        </w:rPr>
        <w:t>其中：C——房间预测数；</w:t>
      </w:r>
    </w:p>
    <w:p w14:paraId="18D8C10F">
      <w:pPr>
        <w:ind w:firstLine="480"/>
        <w:rPr>
          <w:lang w:eastAsia="zh-CN"/>
        </w:rPr>
      </w:pPr>
      <w:r>
        <w:rPr>
          <w:lang w:eastAsia="zh-CN"/>
        </w:rPr>
        <w:t>R——住宿人次</w:t>
      </w:r>
      <w:r>
        <w:rPr>
          <w:rFonts w:hint="eastAsia"/>
          <w:lang w:eastAsia="zh-CN"/>
        </w:rPr>
        <w:t>(</w:t>
      </w:r>
      <w:r>
        <w:rPr>
          <w:lang w:eastAsia="zh-CN"/>
        </w:rPr>
        <w:t>为年游客规模×平均住宿率</w:t>
      </w:r>
      <w:r>
        <w:rPr>
          <w:rFonts w:hint="eastAsia"/>
          <w:lang w:eastAsia="zh-CN"/>
        </w:rPr>
        <w:t>)</w:t>
      </w:r>
      <w:r>
        <w:rPr>
          <w:lang w:eastAsia="zh-CN"/>
        </w:rPr>
        <w:t>；</w:t>
      </w:r>
    </w:p>
    <w:p w14:paraId="4E7315B2">
      <w:pPr>
        <w:ind w:firstLine="480"/>
        <w:rPr>
          <w:lang w:eastAsia="zh-CN"/>
        </w:rPr>
      </w:pPr>
      <w:r>
        <w:rPr>
          <w:lang w:eastAsia="zh-CN"/>
        </w:rPr>
        <w:t>N——平均住宿天数；</w:t>
      </w:r>
    </w:p>
    <w:p w14:paraId="30141ED0">
      <w:pPr>
        <w:ind w:firstLine="480"/>
        <w:rPr>
          <w:lang w:eastAsia="zh-CN"/>
        </w:rPr>
      </w:pPr>
      <w:r>
        <w:rPr>
          <w:lang w:eastAsia="zh-CN"/>
        </w:rPr>
        <w:t>T——全年适游天数</w:t>
      </w:r>
      <w:r>
        <w:rPr>
          <w:rFonts w:hint="eastAsia"/>
          <w:lang w:eastAsia="zh-CN"/>
        </w:rPr>
        <w:t>(</w:t>
      </w:r>
      <w:r>
        <w:rPr>
          <w:lang w:eastAsia="zh-CN"/>
        </w:rPr>
        <w:t>280天</w:t>
      </w:r>
      <w:r>
        <w:rPr>
          <w:rFonts w:hint="eastAsia"/>
          <w:lang w:eastAsia="zh-CN"/>
        </w:rPr>
        <w:t>)</w:t>
      </w:r>
      <w:r>
        <w:rPr>
          <w:lang w:eastAsia="zh-CN"/>
        </w:rPr>
        <w:t>；</w:t>
      </w:r>
    </w:p>
    <w:p w14:paraId="0EEEE08A">
      <w:pPr>
        <w:ind w:firstLine="480"/>
        <w:rPr>
          <w:lang w:eastAsia="zh-CN"/>
        </w:rPr>
      </w:pPr>
      <w:r>
        <w:rPr>
          <w:lang w:eastAsia="zh-CN"/>
        </w:rPr>
        <w:t>K——房间平均利用率</w:t>
      </w:r>
      <w:r>
        <w:rPr>
          <w:rFonts w:hint="eastAsia"/>
          <w:lang w:eastAsia="zh-CN"/>
        </w:rPr>
        <w:t>(</w:t>
      </w:r>
      <w:r>
        <w:rPr>
          <w:lang w:eastAsia="zh-CN"/>
        </w:rPr>
        <w:t>取70%</w:t>
      </w:r>
      <w:r>
        <w:rPr>
          <w:rFonts w:hint="eastAsia"/>
          <w:lang w:eastAsia="zh-CN"/>
        </w:rPr>
        <w:t>)</w:t>
      </w:r>
      <w:r>
        <w:rPr>
          <w:lang w:eastAsia="zh-CN"/>
        </w:rPr>
        <w:t>。</w:t>
      </w:r>
    </w:p>
    <w:p w14:paraId="7D28D2D7">
      <w:pPr>
        <w:ind w:firstLine="480"/>
        <w:rPr>
          <w:lang w:eastAsia="zh-CN"/>
        </w:rPr>
      </w:pPr>
      <w:r>
        <w:rPr>
          <w:lang w:eastAsia="zh-CN"/>
        </w:rPr>
        <w:t>根据森林公园游客规模预测，平均住宿率按30%计，平均住宿天数为1天，经计算，近期末</w:t>
      </w:r>
      <w:r>
        <w:rPr>
          <w:rFonts w:hint="eastAsia"/>
          <w:lang w:eastAsia="zh-CN"/>
        </w:rPr>
        <w:t>(</w:t>
      </w:r>
      <w:r>
        <w:rPr>
          <w:lang w:eastAsia="zh-CN"/>
        </w:rPr>
        <w:t>202</w:t>
      </w:r>
      <w:r>
        <w:rPr>
          <w:rFonts w:hint="eastAsia"/>
          <w:lang w:eastAsia="zh-CN"/>
        </w:rPr>
        <w:t>8</w:t>
      </w:r>
      <w:r>
        <w:rPr>
          <w:lang w:eastAsia="zh-CN"/>
        </w:rPr>
        <w:t>年</w:t>
      </w:r>
      <w:r>
        <w:rPr>
          <w:rFonts w:hint="eastAsia"/>
          <w:lang w:eastAsia="zh-CN"/>
        </w:rPr>
        <w:t>)</w:t>
      </w:r>
      <w:r>
        <w:rPr>
          <w:lang w:eastAsia="zh-CN"/>
        </w:rPr>
        <w:t>需增加房间</w:t>
      </w:r>
      <w:r>
        <w:rPr>
          <w:rFonts w:hint="eastAsia"/>
          <w:lang w:eastAsia="zh-CN"/>
        </w:rPr>
        <w:t>8</w:t>
      </w:r>
      <w:r>
        <w:rPr>
          <w:lang w:eastAsia="zh-CN"/>
        </w:rPr>
        <w:t>00间，规划期末</w:t>
      </w:r>
      <w:r>
        <w:rPr>
          <w:rFonts w:hint="eastAsia"/>
          <w:lang w:eastAsia="zh-CN"/>
        </w:rPr>
        <w:t>(</w:t>
      </w:r>
      <w:r>
        <w:rPr>
          <w:lang w:eastAsia="zh-CN"/>
        </w:rPr>
        <w:t>20</w:t>
      </w:r>
      <w:r>
        <w:rPr>
          <w:rFonts w:hint="eastAsia"/>
          <w:lang w:eastAsia="zh-CN"/>
        </w:rPr>
        <w:t>30</w:t>
      </w:r>
      <w:r>
        <w:rPr>
          <w:lang w:eastAsia="zh-CN"/>
        </w:rPr>
        <w:t>年</w:t>
      </w:r>
      <w:r>
        <w:rPr>
          <w:rFonts w:hint="eastAsia"/>
          <w:lang w:eastAsia="zh-CN"/>
        </w:rPr>
        <w:t>)</w:t>
      </w:r>
      <w:r>
        <w:rPr>
          <w:lang w:eastAsia="zh-CN"/>
        </w:rPr>
        <w:t>需增加房间</w:t>
      </w:r>
      <w:r>
        <w:rPr>
          <w:rFonts w:hint="eastAsia"/>
          <w:lang w:eastAsia="zh-CN"/>
        </w:rPr>
        <w:t>10</w:t>
      </w:r>
      <w:r>
        <w:rPr>
          <w:lang w:eastAsia="zh-CN"/>
        </w:rPr>
        <w:t>00间。</w:t>
      </w:r>
    </w:p>
    <w:p w14:paraId="222D719A">
      <w:pPr>
        <w:ind w:firstLine="480"/>
        <w:rPr>
          <w:lang w:eastAsia="zh-CN"/>
        </w:rPr>
      </w:pPr>
      <w:r>
        <w:rPr>
          <w:rFonts w:hint="eastAsia"/>
          <w:lang w:eastAsia="zh-CN"/>
        </w:rPr>
        <w:t>(</w:t>
      </w:r>
      <w:r>
        <w:rPr>
          <w:lang w:eastAsia="zh-CN"/>
        </w:rPr>
        <w:t>3</w:t>
      </w:r>
      <w:r>
        <w:rPr>
          <w:rFonts w:hint="eastAsia"/>
          <w:lang w:eastAsia="zh-CN"/>
        </w:rPr>
        <w:t>)</w:t>
      </w:r>
      <w:r>
        <w:rPr>
          <w:lang w:eastAsia="zh-CN"/>
        </w:rPr>
        <w:t>住宿设施规划</w:t>
      </w:r>
    </w:p>
    <w:p w14:paraId="446BDF36">
      <w:pPr>
        <w:spacing w:before="51"/>
        <w:ind w:firstLine="480"/>
        <w:rPr>
          <w:rFonts w:cs="Times New Roman"/>
          <w:szCs w:val="24"/>
          <w:lang w:eastAsia="zh-CN"/>
        </w:rPr>
      </w:pPr>
      <w:r>
        <w:rPr>
          <w:rFonts w:cs="Times New Roman"/>
          <w:szCs w:val="24"/>
          <w:lang w:eastAsia="zh-CN"/>
        </w:rPr>
        <w:t>公园内现有宾馆、酒家、山庄可以提供大量房间满足大部分游客的住宿需求。本次根据需要规划改造维修如下住宿设施，使森林公园内规划期末住宿能力和接待水平得到提高。</w:t>
      </w:r>
    </w:p>
    <w:p w14:paraId="795EF248">
      <w:pPr>
        <w:ind w:firstLine="480"/>
        <w:rPr>
          <w:lang w:eastAsia="zh-CN"/>
        </w:rPr>
      </w:pPr>
      <w:r>
        <w:rPr>
          <w:rFonts w:hint="eastAsia"/>
          <w:lang w:eastAsia="zh-CN"/>
        </w:rPr>
        <w:t>①</w:t>
      </w:r>
      <w:r>
        <w:rPr>
          <w:lang w:eastAsia="zh-CN"/>
        </w:rPr>
        <w:t>规划在黄柏洞管理服务区</w:t>
      </w:r>
      <w:r>
        <w:rPr>
          <w:rFonts w:hint="eastAsia"/>
          <w:lang w:eastAsia="zh-CN"/>
        </w:rPr>
        <w:t>(</w:t>
      </w:r>
      <w:r>
        <w:rPr>
          <w:lang w:eastAsia="zh-CN"/>
        </w:rPr>
        <w:t>大田</w:t>
      </w:r>
      <w:r>
        <w:rPr>
          <w:rFonts w:hint="eastAsia"/>
          <w:lang w:eastAsia="zh-CN"/>
        </w:rPr>
        <w:t>)</w:t>
      </w:r>
      <w:r>
        <w:rPr>
          <w:lang w:eastAsia="zh-CN"/>
        </w:rPr>
        <w:t>维修阳明溪谷大酒店，建筑总面积10000</w:t>
      </w:r>
      <w:r>
        <w:rPr>
          <w:rFonts w:hint="eastAsia"/>
          <w:lang w:eastAsia="zh-CN"/>
        </w:rPr>
        <w:t>m</w:t>
      </w:r>
      <w:r>
        <w:rPr>
          <w:rFonts w:hint="eastAsia"/>
          <w:vertAlign w:val="superscript"/>
          <w:lang w:eastAsia="zh-CN"/>
        </w:rPr>
        <w:t>2</w:t>
      </w:r>
      <w:r>
        <w:rPr>
          <w:lang w:eastAsia="zh-CN"/>
        </w:rPr>
        <w:t>，提供200个房间。对原有的点红山庄进行改建，提高档次，可提供房间100间。</w:t>
      </w:r>
    </w:p>
    <w:p w14:paraId="4A81A1ED">
      <w:pPr>
        <w:ind w:firstLine="480"/>
        <w:rPr>
          <w:lang w:eastAsia="zh-CN"/>
        </w:rPr>
      </w:pPr>
      <w:r>
        <w:rPr>
          <w:rFonts w:hint="eastAsia"/>
          <w:lang w:eastAsia="zh-CN"/>
        </w:rPr>
        <w:t>②</w:t>
      </w:r>
      <w:r>
        <w:rPr>
          <w:lang w:eastAsia="zh-CN"/>
        </w:rPr>
        <w:t>规划在黄江源管理服务区，沿溪就势新建养生生态小木屋20栋，每栋占地面积100－150</w:t>
      </w:r>
      <w:r>
        <w:rPr>
          <w:rFonts w:hint="eastAsia"/>
          <w:lang w:eastAsia="zh-CN"/>
        </w:rPr>
        <w:t>m</w:t>
      </w:r>
      <w:r>
        <w:rPr>
          <w:rFonts w:hint="eastAsia"/>
          <w:vertAlign w:val="superscript"/>
          <w:lang w:eastAsia="zh-CN"/>
        </w:rPr>
        <w:t>2</w:t>
      </w:r>
      <w:r>
        <w:rPr>
          <w:lang w:eastAsia="zh-CN"/>
        </w:rPr>
        <w:t>。</w:t>
      </w:r>
    </w:p>
    <w:p w14:paraId="6A2DDEFB">
      <w:pPr>
        <w:ind w:firstLine="480"/>
        <w:rPr>
          <w:lang w:eastAsia="zh-CN"/>
        </w:rPr>
      </w:pPr>
      <w:r>
        <w:rPr>
          <w:rFonts w:hint="eastAsia"/>
          <w:lang w:eastAsia="zh-CN"/>
        </w:rPr>
        <w:t>③</w:t>
      </w:r>
      <w:r>
        <w:rPr>
          <w:lang w:eastAsia="zh-CN"/>
        </w:rPr>
        <w:t>在黄江源管理服务区新建森林康养服务中心，建筑面积2500</w:t>
      </w:r>
      <w:r>
        <w:rPr>
          <w:rFonts w:hint="eastAsia"/>
          <w:lang w:eastAsia="zh-CN"/>
        </w:rPr>
        <w:t>m</w:t>
      </w:r>
      <w:r>
        <w:rPr>
          <w:rFonts w:hint="eastAsia"/>
          <w:vertAlign w:val="superscript"/>
          <w:lang w:eastAsia="zh-CN"/>
        </w:rPr>
        <w:t>2</w:t>
      </w:r>
      <w:r>
        <w:rPr>
          <w:lang w:eastAsia="zh-CN"/>
        </w:rPr>
        <w:t>，可提供房间80间。</w:t>
      </w:r>
    </w:p>
    <w:p w14:paraId="7CD033DF">
      <w:pPr>
        <w:pStyle w:val="4"/>
      </w:pPr>
      <w:r>
        <w:rPr>
          <w:rFonts w:hint="eastAsia"/>
        </w:rPr>
        <w:t>9.5.2</w:t>
      </w:r>
      <w:r>
        <w:t>餐饮</w:t>
      </w:r>
    </w:p>
    <w:p w14:paraId="5A62F968">
      <w:pPr>
        <w:ind w:firstLine="480"/>
        <w:rPr>
          <w:lang w:eastAsia="zh-CN"/>
        </w:rPr>
      </w:pPr>
      <w:r>
        <w:rPr>
          <w:rFonts w:hint="eastAsia"/>
          <w:lang w:eastAsia="zh-CN"/>
        </w:rPr>
        <w:t>(</w:t>
      </w:r>
      <w:r>
        <w:rPr>
          <w:lang w:eastAsia="zh-CN"/>
        </w:rPr>
        <w:t>1</w:t>
      </w:r>
      <w:r>
        <w:rPr>
          <w:rFonts w:hint="eastAsia"/>
          <w:lang w:eastAsia="zh-CN"/>
        </w:rPr>
        <w:t>)</w:t>
      </w:r>
      <w:r>
        <w:rPr>
          <w:lang w:eastAsia="zh-CN"/>
        </w:rPr>
        <w:t>餐饮规模预测</w:t>
      </w:r>
    </w:p>
    <w:p w14:paraId="2206ED50">
      <w:pPr>
        <w:ind w:firstLine="480"/>
        <w:rPr>
          <w:lang w:eastAsia="zh-CN"/>
        </w:rPr>
      </w:pPr>
      <w:r>
        <w:rPr>
          <w:lang w:eastAsia="zh-CN"/>
        </w:rPr>
        <w:t>在一般情况下，游客在景区的用餐率为50</w:t>
      </w:r>
      <w:r>
        <w:rPr>
          <w:rFonts w:hint="eastAsia"/>
          <w:lang w:eastAsia="zh-CN"/>
        </w:rPr>
        <w:t>%～</w:t>
      </w:r>
      <w:r>
        <w:rPr>
          <w:lang w:eastAsia="zh-CN"/>
        </w:rPr>
        <w:t>70%之间。由于阳明山森林公园离县城和周边乡镇较远，公园面积大，所有游客</w:t>
      </w:r>
      <w:r>
        <w:rPr>
          <w:rFonts w:hint="eastAsia"/>
          <w:lang w:eastAsia="zh-CN"/>
        </w:rPr>
        <w:t>(</w:t>
      </w:r>
      <w:r>
        <w:rPr>
          <w:lang w:eastAsia="zh-CN"/>
        </w:rPr>
        <w:t>学生、香客等</w:t>
      </w:r>
      <w:r>
        <w:rPr>
          <w:rFonts w:hint="eastAsia"/>
          <w:lang w:eastAsia="zh-CN"/>
        </w:rPr>
        <w:t>)</w:t>
      </w:r>
      <w:r>
        <w:rPr>
          <w:lang w:eastAsia="zh-CN"/>
        </w:rPr>
        <w:t>都可能会在公园内用餐1—2餐，因此用</w:t>
      </w:r>
      <w:r>
        <w:rPr>
          <w:rFonts w:hint="eastAsia"/>
          <w:lang w:eastAsia="zh-CN"/>
        </w:rPr>
        <w:t>餐</w:t>
      </w:r>
      <w:r>
        <w:rPr>
          <w:lang w:eastAsia="zh-CN"/>
        </w:rPr>
        <w:t>率计算时按100%计算，餐座周转率为1次，年适游天数为280天，按下式计算：</w:t>
      </w:r>
    </w:p>
    <w:p w14:paraId="7ECAEA6E">
      <w:pPr>
        <w:ind w:firstLine="480"/>
        <w:rPr>
          <w:lang w:eastAsia="zh-CN"/>
        </w:rPr>
      </w:pPr>
      <w:r>
        <w:rPr>
          <w:lang w:eastAsia="zh-CN"/>
        </w:rPr>
        <w:t>餐座需要量=</w:t>
      </w:r>
      <w:r>
        <w:rPr>
          <w:rFonts w:hint="eastAsia"/>
          <w:lang w:eastAsia="zh-CN"/>
        </w:rPr>
        <w:t>(</w:t>
      </w:r>
      <w:r>
        <w:rPr>
          <w:lang w:eastAsia="zh-CN"/>
        </w:rPr>
        <w:t>年游客规模×餐饮率</w:t>
      </w:r>
      <w:r>
        <w:rPr>
          <w:rFonts w:hint="eastAsia"/>
          <w:lang w:eastAsia="zh-CN"/>
        </w:rPr>
        <w:t>)</w:t>
      </w:r>
      <w:r>
        <w:rPr>
          <w:lang w:eastAsia="zh-CN"/>
        </w:rPr>
        <w:t>/</w:t>
      </w:r>
      <w:r>
        <w:rPr>
          <w:rFonts w:hint="eastAsia"/>
          <w:lang w:eastAsia="zh-CN"/>
        </w:rPr>
        <w:t>(</w:t>
      </w:r>
      <w:r>
        <w:rPr>
          <w:lang w:eastAsia="zh-CN"/>
        </w:rPr>
        <w:t>年适游天数×餐座周转率</w:t>
      </w:r>
      <w:r>
        <w:rPr>
          <w:rFonts w:hint="eastAsia"/>
          <w:lang w:eastAsia="zh-CN"/>
        </w:rPr>
        <w:t>)</w:t>
      </w:r>
    </w:p>
    <w:p w14:paraId="49906C08">
      <w:pPr>
        <w:ind w:firstLine="480"/>
        <w:rPr>
          <w:lang w:eastAsia="zh-CN"/>
        </w:rPr>
      </w:pPr>
      <w:r>
        <w:rPr>
          <w:lang w:eastAsia="zh-CN"/>
        </w:rPr>
        <w:t>预测餐饮座位需要量近期</w:t>
      </w:r>
      <w:r>
        <w:rPr>
          <w:rFonts w:hint="eastAsia"/>
          <w:lang w:eastAsia="zh-CN"/>
        </w:rPr>
        <w:t>(</w:t>
      </w:r>
      <w:r>
        <w:rPr>
          <w:lang w:eastAsia="zh-CN"/>
        </w:rPr>
        <w:t>2020年</w:t>
      </w:r>
      <w:r>
        <w:rPr>
          <w:rFonts w:hint="eastAsia"/>
          <w:lang w:eastAsia="zh-CN"/>
        </w:rPr>
        <w:t>)</w:t>
      </w:r>
      <w:r>
        <w:rPr>
          <w:lang w:eastAsia="zh-CN"/>
        </w:rPr>
        <w:t>1500座，规划期末</w:t>
      </w:r>
      <w:r>
        <w:rPr>
          <w:rFonts w:hint="eastAsia"/>
          <w:lang w:eastAsia="zh-CN"/>
        </w:rPr>
        <w:t>(</w:t>
      </w:r>
      <w:r>
        <w:rPr>
          <w:lang w:eastAsia="zh-CN"/>
        </w:rPr>
        <w:t>2025年</w:t>
      </w:r>
      <w:r>
        <w:rPr>
          <w:rFonts w:hint="eastAsia"/>
          <w:lang w:eastAsia="zh-CN"/>
        </w:rPr>
        <w:t>)</w:t>
      </w:r>
      <w:r>
        <w:rPr>
          <w:lang w:eastAsia="zh-CN"/>
        </w:rPr>
        <w:t>3125座。旅游旺季增加的就餐人员视具体情况可采取适当延长供应时间，加座或供应快餐解决。</w:t>
      </w:r>
    </w:p>
    <w:p w14:paraId="448D424D">
      <w:pPr>
        <w:ind w:firstLine="480"/>
        <w:rPr>
          <w:lang w:eastAsia="zh-CN"/>
        </w:rPr>
      </w:pPr>
      <w:r>
        <w:rPr>
          <w:rFonts w:hint="eastAsia"/>
          <w:lang w:eastAsia="zh-CN"/>
        </w:rPr>
        <w:t>(</w:t>
      </w:r>
      <w:r>
        <w:rPr>
          <w:lang w:eastAsia="zh-CN"/>
        </w:rPr>
        <w:t>2</w:t>
      </w:r>
      <w:r>
        <w:rPr>
          <w:rFonts w:hint="eastAsia"/>
          <w:lang w:eastAsia="zh-CN"/>
        </w:rPr>
        <w:t>)</w:t>
      </w:r>
      <w:r>
        <w:rPr>
          <w:lang w:eastAsia="zh-CN"/>
        </w:rPr>
        <w:t>餐饮设施规划</w:t>
      </w:r>
    </w:p>
    <w:p w14:paraId="7A35642D">
      <w:pPr>
        <w:ind w:firstLine="480"/>
        <w:rPr>
          <w:lang w:eastAsia="zh-CN"/>
        </w:rPr>
      </w:pPr>
      <w:r>
        <w:rPr>
          <w:lang w:eastAsia="zh-CN"/>
        </w:rPr>
        <w:t>旅游餐饮业的发展，应遵循</w:t>
      </w:r>
      <w:r>
        <w:rPr>
          <w:rFonts w:hint="eastAsia"/>
          <w:lang w:eastAsia="zh-CN"/>
        </w:rPr>
        <w:t>“</w:t>
      </w:r>
      <w:r>
        <w:rPr>
          <w:lang w:eastAsia="zh-CN"/>
        </w:rPr>
        <w:t>突出地方特色、规范服务标准、满足</w:t>
      </w:r>
      <w:r>
        <w:rPr>
          <w:rFonts w:hint="eastAsia"/>
          <w:lang w:eastAsia="zh-CN"/>
        </w:rPr>
        <w:t>各方</w:t>
      </w:r>
      <w:r>
        <w:rPr>
          <w:lang w:eastAsia="zh-CN"/>
        </w:rPr>
        <w:t>游客、保障饮食安全</w:t>
      </w:r>
      <w:r>
        <w:rPr>
          <w:rFonts w:hint="eastAsia"/>
          <w:lang w:eastAsia="zh-CN"/>
        </w:rPr>
        <w:t>”</w:t>
      </w:r>
      <w:r>
        <w:rPr>
          <w:lang w:eastAsia="zh-CN"/>
        </w:rPr>
        <w:t>的思路。开发地方特色餐饮，开展特色经营。</w:t>
      </w:r>
    </w:p>
    <w:p w14:paraId="6D511B3D">
      <w:pPr>
        <w:ind w:firstLine="480"/>
        <w:rPr>
          <w:lang w:eastAsia="zh-CN"/>
        </w:rPr>
      </w:pPr>
      <w:r>
        <w:rPr>
          <w:lang w:eastAsia="zh-CN"/>
        </w:rPr>
        <w:t>根据对森林公园内游客主要分布点和规模的预测，按照集中饮食、特色饮食和有利于环境保护相结合的原则，规划在以下地方新建或扩建餐饮服务设施，到规划期末餐饮位数约3125人左右。</w:t>
      </w:r>
    </w:p>
    <w:p w14:paraId="5B8EEDF7">
      <w:pPr>
        <w:ind w:firstLine="480"/>
        <w:rPr>
          <w:lang w:eastAsia="zh-CN"/>
        </w:rPr>
      </w:pPr>
      <w:r>
        <w:rPr>
          <w:lang w:eastAsia="zh-CN"/>
        </w:rPr>
        <w:t>根据对公园内游客主要分布点和规模的预测，按照集中饮食、特色饮食和有利于环境保护相结合的原则，规划在以下地方新建或扩建餐饮服务设施。</w:t>
      </w:r>
    </w:p>
    <w:p w14:paraId="154C11D9">
      <w:pPr>
        <w:ind w:firstLine="480"/>
        <w:rPr>
          <w:lang w:eastAsia="zh-CN"/>
        </w:rPr>
      </w:pPr>
      <w:r>
        <w:rPr>
          <w:rFonts w:hint="eastAsia"/>
          <w:lang w:eastAsia="zh-CN"/>
        </w:rPr>
        <w:t>①</w:t>
      </w:r>
      <w:r>
        <w:rPr>
          <w:lang w:eastAsia="zh-CN"/>
        </w:rPr>
        <w:t>在黄柏洞游客中心内增加餐饮面积800</w:t>
      </w:r>
      <w:r>
        <w:rPr>
          <w:rFonts w:hint="eastAsia"/>
          <w:lang w:eastAsia="zh-CN"/>
        </w:rPr>
        <w:t>m</w:t>
      </w:r>
      <w:r>
        <w:rPr>
          <w:rFonts w:hint="eastAsia"/>
          <w:vertAlign w:val="superscript"/>
          <w:lang w:eastAsia="zh-CN"/>
        </w:rPr>
        <w:t>2</w:t>
      </w:r>
      <w:r>
        <w:rPr>
          <w:lang w:eastAsia="zh-CN"/>
        </w:rPr>
        <w:t>，向游客提供生态、绿色的农家特色饮食，可提供餐位数400人。</w:t>
      </w:r>
    </w:p>
    <w:p w14:paraId="225561A3">
      <w:pPr>
        <w:ind w:firstLine="480"/>
        <w:rPr>
          <w:lang w:eastAsia="zh-CN"/>
        </w:rPr>
      </w:pPr>
      <w:r>
        <w:rPr>
          <w:rFonts w:hint="eastAsia"/>
          <w:lang w:eastAsia="zh-CN"/>
        </w:rPr>
        <w:t>②</w:t>
      </w:r>
      <w:r>
        <w:rPr>
          <w:lang w:eastAsia="zh-CN"/>
        </w:rPr>
        <w:t>在阳明溪谷大酒店内，新建餐厅600</w:t>
      </w:r>
      <w:r>
        <w:rPr>
          <w:rFonts w:hint="eastAsia"/>
          <w:lang w:eastAsia="zh-CN"/>
        </w:rPr>
        <w:t>m</w:t>
      </w:r>
      <w:r>
        <w:rPr>
          <w:rFonts w:hint="eastAsia"/>
          <w:vertAlign w:val="superscript"/>
          <w:lang w:eastAsia="zh-CN"/>
        </w:rPr>
        <w:t>2</w:t>
      </w:r>
      <w:r>
        <w:rPr>
          <w:lang w:eastAsia="zh-CN"/>
        </w:rPr>
        <w:t>，提供餐位数200人。</w:t>
      </w:r>
    </w:p>
    <w:p w14:paraId="408F7FB5">
      <w:pPr>
        <w:ind w:firstLine="480"/>
        <w:rPr>
          <w:lang w:eastAsia="zh-CN"/>
        </w:rPr>
      </w:pPr>
      <w:r>
        <w:rPr>
          <w:rFonts w:hint="eastAsia"/>
          <w:lang w:eastAsia="zh-CN"/>
        </w:rPr>
        <w:t>③</w:t>
      </w:r>
      <w:r>
        <w:rPr>
          <w:lang w:eastAsia="zh-CN"/>
        </w:rPr>
        <w:t>在黄江源森林康养服务中心新建便民餐厅1处，面积200</w:t>
      </w:r>
      <w:r>
        <w:rPr>
          <w:rFonts w:hint="eastAsia"/>
          <w:lang w:eastAsia="zh-CN"/>
        </w:rPr>
        <w:t>m</w:t>
      </w:r>
      <w:r>
        <w:rPr>
          <w:rFonts w:hint="eastAsia"/>
          <w:vertAlign w:val="superscript"/>
          <w:lang w:eastAsia="zh-CN"/>
        </w:rPr>
        <w:t>2</w:t>
      </w:r>
      <w:r>
        <w:rPr>
          <w:lang w:eastAsia="zh-CN"/>
        </w:rPr>
        <w:t>，提供餐位数100人。</w:t>
      </w:r>
    </w:p>
    <w:p w14:paraId="5C232642">
      <w:pPr>
        <w:ind w:firstLine="480"/>
        <w:rPr>
          <w:lang w:eastAsia="zh-CN"/>
        </w:rPr>
      </w:pPr>
      <w:r>
        <w:rPr>
          <w:rFonts w:hint="eastAsia"/>
          <w:lang w:eastAsia="zh-CN"/>
        </w:rPr>
        <w:t>④</w:t>
      </w:r>
      <w:r>
        <w:rPr>
          <w:lang w:eastAsia="zh-CN"/>
        </w:rPr>
        <w:t>在万寿寺新建立餐厅1处，建筑面积200</w:t>
      </w:r>
      <w:r>
        <w:rPr>
          <w:rFonts w:hint="eastAsia"/>
          <w:lang w:eastAsia="zh-CN"/>
        </w:rPr>
        <w:t>m</w:t>
      </w:r>
      <w:r>
        <w:rPr>
          <w:rFonts w:hint="eastAsia"/>
          <w:vertAlign w:val="superscript"/>
          <w:lang w:eastAsia="zh-CN"/>
        </w:rPr>
        <w:t>2</w:t>
      </w:r>
      <w:r>
        <w:rPr>
          <w:lang w:eastAsia="zh-CN"/>
        </w:rPr>
        <w:t>，向游客、香客提供快餐等方便食品，提供餐位数100人。</w:t>
      </w:r>
    </w:p>
    <w:p w14:paraId="4B7F9435">
      <w:pPr>
        <w:ind w:firstLine="480"/>
        <w:rPr>
          <w:lang w:eastAsia="zh-CN"/>
        </w:rPr>
      </w:pPr>
      <w:r>
        <w:rPr>
          <w:rFonts w:hint="eastAsia"/>
          <w:lang w:eastAsia="zh-CN"/>
        </w:rPr>
        <w:t>⑤</w:t>
      </w:r>
      <w:r>
        <w:rPr>
          <w:lang w:eastAsia="zh-CN"/>
        </w:rPr>
        <w:t>在万和湖新建立餐厅1处，建筑面积300</w:t>
      </w:r>
      <w:r>
        <w:rPr>
          <w:rFonts w:hint="eastAsia"/>
          <w:lang w:eastAsia="zh-CN"/>
        </w:rPr>
        <w:t>m</w:t>
      </w:r>
      <w:r>
        <w:rPr>
          <w:rFonts w:hint="eastAsia"/>
          <w:vertAlign w:val="superscript"/>
          <w:lang w:eastAsia="zh-CN"/>
        </w:rPr>
        <w:t>2</w:t>
      </w:r>
      <w:r>
        <w:rPr>
          <w:lang w:eastAsia="zh-CN"/>
        </w:rPr>
        <w:t>，向游客提供快餐，露天烧烤等食品，提供餐位数150人。</w:t>
      </w:r>
    </w:p>
    <w:p w14:paraId="7865941C">
      <w:pPr>
        <w:ind w:firstLine="480"/>
        <w:rPr>
          <w:lang w:eastAsia="zh-CN"/>
        </w:rPr>
      </w:pPr>
      <w:r>
        <w:rPr>
          <w:rFonts w:hint="eastAsia"/>
          <w:lang w:eastAsia="zh-CN"/>
        </w:rPr>
        <w:t>⑥</w:t>
      </w:r>
      <w:r>
        <w:rPr>
          <w:lang w:eastAsia="zh-CN"/>
        </w:rPr>
        <w:t>在景区外围农户现有</w:t>
      </w:r>
      <w:r>
        <w:rPr>
          <w:rFonts w:hint="eastAsia"/>
          <w:lang w:eastAsia="zh-CN"/>
        </w:rPr>
        <w:t>“</w:t>
      </w:r>
      <w:r>
        <w:rPr>
          <w:lang w:eastAsia="zh-CN"/>
        </w:rPr>
        <w:t>森林人家</w:t>
      </w:r>
      <w:r>
        <w:rPr>
          <w:rFonts w:hint="eastAsia"/>
          <w:lang w:eastAsia="zh-CN"/>
        </w:rPr>
        <w:t>”</w:t>
      </w:r>
      <w:r>
        <w:rPr>
          <w:lang w:eastAsia="zh-CN"/>
        </w:rPr>
        <w:t>60家</w:t>
      </w:r>
      <w:r>
        <w:rPr>
          <w:rFonts w:hint="eastAsia"/>
          <w:lang w:eastAsia="zh-CN"/>
        </w:rPr>
        <w:t>(</w:t>
      </w:r>
      <w:r>
        <w:rPr>
          <w:lang w:eastAsia="zh-CN"/>
        </w:rPr>
        <w:t>农家乐</w:t>
      </w:r>
      <w:r>
        <w:rPr>
          <w:rFonts w:hint="eastAsia"/>
          <w:lang w:eastAsia="zh-CN"/>
        </w:rPr>
        <w:t>)</w:t>
      </w:r>
      <w:r>
        <w:rPr>
          <w:lang w:eastAsia="zh-CN"/>
        </w:rPr>
        <w:t>，向游客</w:t>
      </w:r>
      <w:r>
        <w:rPr>
          <w:rFonts w:hint="eastAsia"/>
          <w:lang w:eastAsia="zh-CN"/>
        </w:rPr>
        <w:t>提供</w:t>
      </w:r>
      <w:r>
        <w:rPr>
          <w:lang w:eastAsia="zh-CN"/>
        </w:rPr>
        <w:t>餐饮及旅游品销售服务，既可满足不同游客的需求，又可解决部分农户的就业，每家提供餐位数20</w:t>
      </w:r>
      <w:r>
        <w:rPr>
          <w:rFonts w:hint="eastAsia"/>
          <w:lang w:eastAsia="zh-CN"/>
        </w:rPr>
        <w:t>—</w:t>
      </w:r>
      <w:r>
        <w:rPr>
          <w:lang w:eastAsia="zh-CN"/>
        </w:rPr>
        <w:t>30人，共约1200</w:t>
      </w:r>
      <w:r>
        <w:rPr>
          <w:rFonts w:hint="eastAsia"/>
          <w:lang w:eastAsia="zh-CN"/>
        </w:rPr>
        <w:t>—</w:t>
      </w:r>
      <w:r>
        <w:rPr>
          <w:lang w:eastAsia="zh-CN"/>
        </w:rPr>
        <w:t>1800人。</w:t>
      </w:r>
    </w:p>
    <w:p w14:paraId="6BEFF4B9">
      <w:pPr>
        <w:ind w:firstLine="480"/>
        <w:rPr>
          <w:lang w:eastAsia="zh-CN"/>
        </w:rPr>
      </w:pPr>
      <w:r>
        <w:rPr>
          <w:rFonts w:hint="eastAsia"/>
          <w:lang w:eastAsia="zh-CN"/>
        </w:rPr>
        <w:t>⑦</w:t>
      </w:r>
      <w:r>
        <w:rPr>
          <w:lang w:eastAsia="zh-CN"/>
        </w:rPr>
        <w:t>在黄柏洞游客服务中心，为登山、骑行游客提供登山骑行设备、快餐、茶水饮料等服务。</w:t>
      </w:r>
    </w:p>
    <w:p w14:paraId="6F8C5577">
      <w:pPr>
        <w:pStyle w:val="4"/>
      </w:pPr>
      <w:r>
        <w:rPr>
          <w:rFonts w:hint="eastAsia"/>
        </w:rPr>
        <w:t>9.5.3</w:t>
      </w:r>
      <w:r>
        <w:t>娱乐</w:t>
      </w:r>
    </w:p>
    <w:p w14:paraId="75B7A499">
      <w:pPr>
        <w:ind w:firstLine="480"/>
        <w:rPr>
          <w:lang w:eastAsia="zh-CN"/>
        </w:rPr>
      </w:pPr>
      <w:r>
        <w:rPr>
          <w:rFonts w:hint="eastAsia"/>
          <w:lang w:eastAsia="zh-CN"/>
        </w:rPr>
        <w:t>(</w:t>
      </w:r>
      <w:r>
        <w:rPr>
          <w:lang w:eastAsia="zh-CN"/>
        </w:rPr>
        <w:t>1</w:t>
      </w:r>
      <w:r>
        <w:rPr>
          <w:rFonts w:hint="eastAsia"/>
          <w:lang w:eastAsia="zh-CN"/>
        </w:rPr>
        <w:t>)</w:t>
      </w:r>
      <w:r>
        <w:rPr>
          <w:lang w:eastAsia="zh-CN"/>
        </w:rPr>
        <w:t>在黄江源、杜鹃花海景区设立专门的娱乐服务点，内设休闲保健、茶艺馆、棋牌、健身以及球类等活动项目，满足中、高档消费游客的娱乐需要。</w:t>
      </w:r>
    </w:p>
    <w:p w14:paraId="213270DA">
      <w:pPr>
        <w:ind w:firstLine="480"/>
        <w:rPr>
          <w:lang w:eastAsia="zh-CN"/>
        </w:rPr>
      </w:pPr>
      <w:r>
        <w:rPr>
          <w:rFonts w:hint="eastAsia"/>
          <w:lang w:eastAsia="zh-CN"/>
        </w:rPr>
        <w:t>(</w:t>
      </w:r>
      <w:r>
        <w:rPr>
          <w:lang w:eastAsia="zh-CN"/>
        </w:rPr>
        <w:t>2</w:t>
      </w:r>
      <w:r>
        <w:rPr>
          <w:rFonts w:hint="eastAsia"/>
          <w:lang w:eastAsia="zh-CN"/>
        </w:rPr>
        <w:t>)</w:t>
      </w:r>
      <w:r>
        <w:rPr>
          <w:lang w:eastAsia="zh-CN"/>
        </w:rPr>
        <w:t>在黄江源、万寿寺、万和湖景区管理服务区各规划生态茶庄1处，面积100</w:t>
      </w:r>
      <w:r>
        <w:rPr>
          <w:rFonts w:hint="eastAsia"/>
          <w:lang w:eastAsia="zh-CN"/>
        </w:rPr>
        <w:t>m</w:t>
      </w:r>
      <w:r>
        <w:rPr>
          <w:rFonts w:hint="eastAsia"/>
          <w:vertAlign w:val="superscript"/>
          <w:lang w:eastAsia="zh-CN"/>
        </w:rPr>
        <w:t>2</w:t>
      </w:r>
      <w:r>
        <w:rPr>
          <w:lang w:eastAsia="zh-CN"/>
        </w:rPr>
        <w:t>，让游客将茶园提供的鲜制阳明山小种红茶现煮现泡，置身清幽恬静的山林之中，品茗论道。</w:t>
      </w:r>
    </w:p>
    <w:p w14:paraId="27202AFF">
      <w:pPr>
        <w:ind w:firstLine="480"/>
        <w:rPr>
          <w:lang w:eastAsia="zh-CN"/>
        </w:rPr>
      </w:pPr>
      <w:r>
        <w:rPr>
          <w:rFonts w:hint="eastAsia"/>
          <w:lang w:eastAsia="zh-CN"/>
        </w:rPr>
        <w:t>(</w:t>
      </w:r>
      <w:r>
        <w:rPr>
          <w:lang w:eastAsia="zh-CN"/>
        </w:rPr>
        <w:t>3</w:t>
      </w:r>
      <w:r>
        <w:rPr>
          <w:rFonts w:hint="eastAsia"/>
          <w:lang w:eastAsia="zh-CN"/>
        </w:rPr>
        <w:t>)</w:t>
      </w:r>
      <w:r>
        <w:rPr>
          <w:lang w:eastAsia="zh-CN"/>
        </w:rPr>
        <w:t>在叶子漯广场附近，规划建设森林浴场8.0</w:t>
      </w:r>
      <w:r>
        <w:rPr>
          <w:rFonts w:hint="eastAsia"/>
          <w:lang w:val="zh-CN" w:eastAsia="zh-CN"/>
        </w:rPr>
        <w:t>hm</w:t>
      </w:r>
      <w:r>
        <w:rPr>
          <w:rFonts w:hint="eastAsia"/>
          <w:vertAlign w:val="superscript"/>
          <w:lang w:val="zh-CN" w:eastAsia="zh-CN"/>
        </w:rPr>
        <w:t>2</w:t>
      </w:r>
      <w:r>
        <w:rPr>
          <w:lang w:eastAsia="zh-CN"/>
        </w:rPr>
        <w:t>，完善康养步道，管护森林、安装吊桥、木便道、秋千、悬梯等游乐设施。</w:t>
      </w:r>
    </w:p>
    <w:p w14:paraId="181E3D46">
      <w:pPr>
        <w:ind w:firstLine="480"/>
        <w:rPr>
          <w:lang w:eastAsia="zh-CN"/>
        </w:rPr>
      </w:pPr>
      <w:r>
        <w:rPr>
          <w:rFonts w:hint="eastAsia"/>
          <w:lang w:eastAsia="zh-CN"/>
        </w:rPr>
        <w:t>(</w:t>
      </w:r>
      <w:r>
        <w:rPr>
          <w:lang w:eastAsia="zh-CN"/>
        </w:rPr>
        <w:t>4</w:t>
      </w:r>
      <w:r>
        <w:rPr>
          <w:rFonts w:hint="eastAsia"/>
          <w:lang w:eastAsia="zh-CN"/>
        </w:rPr>
        <w:t>)</w:t>
      </w:r>
      <w:r>
        <w:rPr>
          <w:lang w:eastAsia="zh-CN"/>
        </w:rPr>
        <w:t>从黄江源叶子漯沿河到黄柏洞景区双江口，规划一条漂流线路，购置必要的漂流设施和设备。</w:t>
      </w:r>
    </w:p>
    <w:p w14:paraId="5B216897">
      <w:pPr>
        <w:pStyle w:val="4"/>
        <w:rPr>
          <w:b/>
          <w:bCs/>
        </w:rPr>
      </w:pPr>
      <w:r>
        <w:rPr>
          <w:rFonts w:hint="eastAsia"/>
          <w:b/>
          <w:bCs/>
        </w:rPr>
        <w:t>9.5.4</w:t>
      </w:r>
      <w:r>
        <w:rPr>
          <w:b/>
          <w:bCs/>
        </w:rPr>
        <w:t>购物</w:t>
      </w:r>
    </w:p>
    <w:p w14:paraId="2BB6519B">
      <w:pPr>
        <w:ind w:firstLine="480"/>
        <w:rPr>
          <w:lang w:eastAsia="zh-CN"/>
        </w:rPr>
      </w:pPr>
      <w:r>
        <w:rPr>
          <w:rFonts w:hint="eastAsia"/>
          <w:lang w:eastAsia="zh-CN"/>
        </w:rPr>
        <w:t>(</w:t>
      </w:r>
      <w:r>
        <w:rPr>
          <w:lang w:eastAsia="zh-CN"/>
        </w:rPr>
        <w:t>1</w:t>
      </w:r>
      <w:r>
        <w:rPr>
          <w:rFonts w:hint="eastAsia"/>
          <w:lang w:eastAsia="zh-CN"/>
        </w:rPr>
        <w:t>)</w:t>
      </w:r>
      <w:r>
        <w:rPr>
          <w:lang w:eastAsia="zh-CN"/>
        </w:rPr>
        <w:t>公园购物场所设置</w:t>
      </w:r>
    </w:p>
    <w:p w14:paraId="0C657E9B">
      <w:pPr>
        <w:ind w:firstLine="480"/>
        <w:rPr>
          <w:lang w:eastAsia="zh-CN"/>
        </w:rPr>
      </w:pPr>
      <w:r>
        <w:rPr>
          <w:lang w:eastAsia="zh-CN"/>
        </w:rPr>
        <w:t>目前，公园内没有大型的购物场所，为方便游客购物，规划在游人相对集中的地方建设购物场所，景区购物点可与游客服务部合建。</w:t>
      </w:r>
    </w:p>
    <w:p w14:paraId="2CB6A4E0">
      <w:pPr>
        <w:ind w:firstLine="480"/>
        <w:rPr>
          <w:lang w:eastAsia="zh-CN"/>
        </w:rPr>
      </w:pPr>
      <w:r>
        <w:rPr>
          <w:rFonts w:hint="eastAsia" w:cs="宋体"/>
          <w:lang w:eastAsia="zh-CN"/>
        </w:rPr>
        <w:t>①</w:t>
      </w:r>
      <w:r>
        <w:rPr>
          <w:lang w:eastAsia="zh-CN"/>
        </w:rPr>
        <w:t>在黄柏洞管理服务区新建面积为2000</w:t>
      </w:r>
      <w:r>
        <w:rPr>
          <w:rFonts w:hint="eastAsia"/>
          <w:lang w:eastAsia="zh-CN"/>
        </w:rPr>
        <w:t>m</w:t>
      </w:r>
      <w:r>
        <w:rPr>
          <w:rFonts w:hint="eastAsia"/>
          <w:vertAlign w:val="superscript"/>
          <w:lang w:eastAsia="zh-CN"/>
        </w:rPr>
        <w:t>2</w:t>
      </w:r>
      <w:r>
        <w:rPr>
          <w:lang w:eastAsia="zh-CN"/>
        </w:rPr>
        <w:t>的购物街，主要供应民俗饰品、手工艺品、阳明山特色食品和公园纪念品以及生活日用品。</w:t>
      </w:r>
    </w:p>
    <w:p w14:paraId="75DFF16D">
      <w:pPr>
        <w:ind w:firstLine="480"/>
        <w:rPr>
          <w:lang w:eastAsia="zh-CN"/>
        </w:rPr>
      </w:pPr>
      <w:r>
        <w:rPr>
          <w:rFonts w:hint="eastAsia" w:cs="宋体"/>
          <w:lang w:eastAsia="zh-CN"/>
        </w:rPr>
        <w:t>②</w:t>
      </w:r>
      <w:r>
        <w:rPr>
          <w:lang w:eastAsia="zh-CN"/>
        </w:rPr>
        <w:t>在各个景区的管理服务区新建购物亭，总建筑面积200</w:t>
      </w:r>
      <w:r>
        <w:rPr>
          <w:rFonts w:hint="eastAsia"/>
          <w:lang w:eastAsia="zh-CN"/>
        </w:rPr>
        <w:t>m</w:t>
      </w:r>
      <w:r>
        <w:rPr>
          <w:rFonts w:hint="eastAsia"/>
          <w:vertAlign w:val="superscript"/>
          <w:lang w:eastAsia="zh-CN"/>
        </w:rPr>
        <w:t>2</w:t>
      </w:r>
      <w:r>
        <w:rPr>
          <w:lang w:eastAsia="zh-CN"/>
        </w:rPr>
        <w:t>，向游客提供地方特产、手工艺品以及日常用品。</w:t>
      </w:r>
    </w:p>
    <w:p w14:paraId="2B3DCA73">
      <w:pPr>
        <w:ind w:firstLine="480"/>
        <w:rPr>
          <w:lang w:eastAsia="zh-CN"/>
        </w:rPr>
      </w:pPr>
      <w:r>
        <w:rPr>
          <w:rFonts w:hint="eastAsia" w:cs="宋体"/>
          <w:lang w:eastAsia="zh-CN"/>
        </w:rPr>
        <w:t>③</w:t>
      </w:r>
      <w:r>
        <w:rPr>
          <w:lang w:eastAsia="zh-CN"/>
        </w:rPr>
        <w:t>在阳明溪谷大酒店、点红山庄、康养中心内各设20</w:t>
      </w:r>
      <w:r>
        <w:rPr>
          <w:rFonts w:hint="eastAsia"/>
          <w:lang w:eastAsia="zh-CN"/>
        </w:rPr>
        <w:t>-</w:t>
      </w:r>
      <w:r>
        <w:rPr>
          <w:lang w:eastAsia="zh-CN"/>
        </w:rPr>
        <w:t>50</w:t>
      </w:r>
      <w:r>
        <w:rPr>
          <w:rFonts w:hint="eastAsia"/>
          <w:lang w:eastAsia="zh-CN"/>
        </w:rPr>
        <w:t>m</w:t>
      </w:r>
      <w:r>
        <w:rPr>
          <w:rFonts w:hint="eastAsia"/>
          <w:vertAlign w:val="superscript"/>
          <w:lang w:eastAsia="zh-CN"/>
        </w:rPr>
        <w:t>2</w:t>
      </w:r>
      <w:r>
        <w:rPr>
          <w:lang w:eastAsia="zh-CN"/>
        </w:rPr>
        <w:t>的购物商店，以方便游客购物。</w:t>
      </w:r>
    </w:p>
    <w:p w14:paraId="7C8C6E52">
      <w:pPr>
        <w:ind w:firstLine="480"/>
        <w:rPr>
          <w:lang w:eastAsia="zh-CN"/>
        </w:rPr>
      </w:pPr>
      <w:r>
        <w:rPr>
          <w:rFonts w:hint="eastAsia"/>
          <w:lang w:eastAsia="zh-CN"/>
        </w:rPr>
        <w:t>(</w:t>
      </w:r>
      <w:r>
        <w:rPr>
          <w:lang w:eastAsia="zh-CN"/>
        </w:rPr>
        <w:t>2</w:t>
      </w:r>
      <w:r>
        <w:rPr>
          <w:rFonts w:hint="eastAsia"/>
          <w:lang w:eastAsia="zh-CN"/>
        </w:rPr>
        <w:t>)</w:t>
      </w:r>
      <w:r>
        <w:rPr>
          <w:lang w:eastAsia="zh-CN"/>
        </w:rPr>
        <w:t>旅游商品的开发</w:t>
      </w:r>
    </w:p>
    <w:p w14:paraId="32714A1C">
      <w:pPr>
        <w:ind w:firstLine="480"/>
        <w:rPr>
          <w:lang w:eastAsia="zh-CN"/>
        </w:rPr>
      </w:pPr>
      <w:r>
        <w:rPr>
          <w:lang w:eastAsia="zh-CN"/>
        </w:rPr>
        <w:t>旅游者的购物欲求取决于多种条件与环境，其中最根本的一点是依赖于当地所提供的商品和用品的品位与种类，取决于供给者在对旅游者消费行为和消费能力分析后，如何吸引、触发和满足旅游者的购物欲求。推出优质旅游商品、用品和旅游纪念品是关键，必须考虑到纪念性、实用性和观赏性。</w:t>
      </w:r>
    </w:p>
    <w:p w14:paraId="3F34D3A3">
      <w:pPr>
        <w:ind w:firstLine="480"/>
        <w:rPr>
          <w:lang w:eastAsia="zh-CN"/>
        </w:rPr>
      </w:pPr>
      <w:r>
        <w:rPr>
          <w:lang w:eastAsia="zh-CN"/>
        </w:rPr>
        <w:t>公园要根据市场所需、不同层次游人的喜好，充分利用自身和周围社区的自然资源条件和民族文化特色开发具有特色的旅游商品。如阳明山笋类、腊肉、腐乳、竹筒酒、高山雪莲果等以及以公园自然、人文景观资源为题材的纪念品</w:t>
      </w:r>
      <w:r>
        <w:rPr>
          <w:rFonts w:hint="eastAsia"/>
          <w:lang w:eastAsia="zh-CN"/>
        </w:rPr>
        <w:t>(明</w:t>
      </w:r>
      <w:r>
        <w:rPr>
          <w:lang w:eastAsia="zh-CN"/>
        </w:rPr>
        <w:t>信片、油纸伞等</w:t>
      </w:r>
      <w:r>
        <w:rPr>
          <w:rFonts w:hint="eastAsia"/>
          <w:lang w:eastAsia="zh-CN"/>
        </w:rPr>
        <w:t>)</w:t>
      </w:r>
      <w:r>
        <w:rPr>
          <w:lang w:eastAsia="zh-CN"/>
        </w:rPr>
        <w:t>。各种旅游商品的原料必须真材实料，旅游商品的做工必须精致而有创意，树立品牌意识，努力提高旅游商品的知名度和认可度，既可增加旅游商品销售的收入，又可通过旅游商品的销售进一步扩大公园的宣传和传播。</w:t>
      </w:r>
    </w:p>
    <w:p w14:paraId="68A7E848">
      <w:pPr>
        <w:pStyle w:val="4"/>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9.5.5</w:t>
      </w:r>
      <w:r>
        <w:t>医疗与保安</w:t>
      </w:r>
    </w:p>
    <w:p w14:paraId="0C870AB8">
      <w:pPr>
        <w:ind w:firstLine="480"/>
        <w:rPr>
          <w:lang w:eastAsia="zh-CN"/>
        </w:rPr>
      </w:pPr>
      <w:r>
        <w:rPr>
          <w:rFonts w:hint="eastAsia"/>
          <w:lang w:eastAsia="zh-CN"/>
        </w:rPr>
        <w:t>(</w:t>
      </w:r>
      <w:r>
        <w:rPr>
          <w:lang w:eastAsia="zh-CN"/>
        </w:rPr>
        <w:t>1</w:t>
      </w:r>
      <w:r>
        <w:rPr>
          <w:rFonts w:hint="eastAsia"/>
          <w:lang w:eastAsia="zh-CN"/>
        </w:rPr>
        <w:t>)</w:t>
      </w:r>
      <w:r>
        <w:rPr>
          <w:lang w:eastAsia="zh-CN"/>
        </w:rPr>
        <w:t>医疗</w:t>
      </w:r>
    </w:p>
    <w:p w14:paraId="33B2F249">
      <w:pPr>
        <w:ind w:firstLine="480"/>
        <w:rPr>
          <w:lang w:eastAsia="zh-CN"/>
        </w:rPr>
      </w:pPr>
      <w:r>
        <w:rPr>
          <w:lang w:eastAsia="zh-CN"/>
        </w:rPr>
        <w:t>为保障游客健康安全，确保游客突发疾病及伤害得到及时处理，规划在黄柏洞乡镇医院购置医疗救护设备一套，在万寿寺、万和湖、小黄江源各设立公园医疗室</w:t>
      </w:r>
      <w:r>
        <w:rPr>
          <w:rFonts w:hint="eastAsia"/>
          <w:lang w:eastAsia="zh-CN"/>
        </w:rPr>
        <w:t>(</w:t>
      </w:r>
      <w:r>
        <w:rPr>
          <w:lang w:eastAsia="zh-CN"/>
        </w:rPr>
        <w:t>建筑面积50</w:t>
      </w:r>
      <w:r>
        <w:rPr>
          <w:rFonts w:hint="eastAsia"/>
          <w:lang w:eastAsia="zh-CN"/>
        </w:rPr>
        <w:t>m</w:t>
      </w:r>
      <w:r>
        <w:rPr>
          <w:rFonts w:hint="eastAsia"/>
          <w:vertAlign w:val="superscript"/>
          <w:lang w:eastAsia="zh-CN"/>
        </w:rPr>
        <w:t>2</w:t>
      </w:r>
      <w:r>
        <w:rPr>
          <w:rFonts w:hint="eastAsia"/>
          <w:lang w:eastAsia="zh-CN"/>
        </w:rPr>
        <w:t>)</w:t>
      </w:r>
      <w:r>
        <w:rPr>
          <w:lang w:eastAsia="zh-CN"/>
        </w:rPr>
        <w:t>一处，在叶子漯、阳明溪谷大酒店设置康养服务中心医护部</w:t>
      </w:r>
      <w:r>
        <w:rPr>
          <w:rFonts w:hint="eastAsia"/>
          <w:lang w:eastAsia="zh-CN"/>
        </w:rPr>
        <w:t>(</w:t>
      </w:r>
      <w:r>
        <w:rPr>
          <w:lang w:eastAsia="zh-CN"/>
        </w:rPr>
        <w:t>建筑面积30</w:t>
      </w:r>
      <w:r>
        <w:rPr>
          <w:rFonts w:hint="eastAsia"/>
          <w:lang w:eastAsia="zh-CN"/>
        </w:rPr>
        <w:t>m</w:t>
      </w:r>
      <w:r>
        <w:rPr>
          <w:rFonts w:hint="eastAsia"/>
          <w:vertAlign w:val="superscript"/>
          <w:lang w:eastAsia="zh-CN"/>
        </w:rPr>
        <w:t>2</w:t>
      </w:r>
      <w:r>
        <w:rPr>
          <w:rFonts w:hint="eastAsia"/>
          <w:lang w:eastAsia="zh-CN"/>
        </w:rPr>
        <w:t>)</w:t>
      </w:r>
      <w:r>
        <w:rPr>
          <w:lang w:eastAsia="zh-CN"/>
        </w:rPr>
        <w:t>，配备医务人员、常规药品。在森林公园的主要车行干道、旅游步道和主要景点，设置医疗急救电话服务，配置救护车1辆。在公园导游图等宣传资料上标示公园医疗点位置和医疗急救电话号码。</w:t>
      </w:r>
    </w:p>
    <w:p w14:paraId="7305B242">
      <w:pPr>
        <w:ind w:firstLine="480"/>
        <w:rPr>
          <w:lang w:eastAsia="zh-CN"/>
        </w:rPr>
      </w:pPr>
      <w:r>
        <w:rPr>
          <w:rFonts w:hint="eastAsia"/>
          <w:lang w:eastAsia="zh-CN"/>
        </w:rPr>
        <w:t>(</w:t>
      </w:r>
      <w:r>
        <w:rPr>
          <w:lang w:eastAsia="zh-CN"/>
        </w:rPr>
        <w:t>2</w:t>
      </w:r>
      <w:r>
        <w:rPr>
          <w:rFonts w:hint="eastAsia"/>
          <w:lang w:eastAsia="zh-CN"/>
        </w:rPr>
        <w:t>)</w:t>
      </w:r>
      <w:r>
        <w:rPr>
          <w:lang w:eastAsia="zh-CN"/>
        </w:rPr>
        <w:t>保安</w:t>
      </w:r>
    </w:p>
    <w:p w14:paraId="3C9482B7">
      <w:pPr>
        <w:ind w:firstLine="480"/>
        <w:rPr>
          <w:lang w:eastAsia="zh-CN"/>
        </w:rPr>
      </w:pPr>
      <w:r>
        <w:rPr>
          <w:lang w:eastAsia="zh-CN"/>
        </w:rPr>
        <w:t>在公园管理处设森林公安派出所，负责公园内的社会治安、护林防火和旅游安全等管理工作，配置森林公安巡护车2辆。在客运站、黄柏洞游客服务中心、万寿寺、万和湖管理服务区设置保安服务点，保安服务点用房与各处的</w:t>
      </w:r>
      <w:r>
        <w:rPr>
          <w:rFonts w:hint="eastAsia"/>
          <w:lang w:eastAsia="zh-CN"/>
        </w:rPr>
        <w:t>其他</w:t>
      </w:r>
      <w:r>
        <w:rPr>
          <w:lang w:eastAsia="zh-CN"/>
        </w:rPr>
        <w:t>管理用房合建，每处50</w:t>
      </w:r>
      <w:r>
        <w:rPr>
          <w:rFonts w:hint="eastAsia"/>
          <w:lang w:eastAsia="zh-CN"/>
        </w:rPr>
        <w:t>m</w:t>
      </w:r>
      <w:r>
        <w:rPr>
          <w:rFonts w:hint="eastAsia"/>
          <w:vertAlign w:val="superscript"/>
          <w:lang w:eastAsia="zh-CN"/>
        </w:rPr>
        <w:t>2</w:t>
      </w:r>
      <w:r>
        <w:rPr>
          <w:lang w:eastAsia="zh-CN"/>
        </w:rPr>
        <w:t>。配置保安巡逻车2辆，结合公园的护林防火，在公园主要游道、游人集中地、险峻地段安排保安人员进行安全巡护。</w:t>
      </w:r>
    </w:p>
    <w:p w14:paraId="28678052">
      <w:pPr>
        <w:pStyle w:val="4"/>
      </w:pPr>
      <w:r>
        <w:rPr>
          <w:rFonts w:hint="eastAsia"/>
        </w:rPr>
        <w:t>9.5.6</w:t>
      </w:r>
      <w:r>
        <w:t>导游</w:t>
      </w:r>
    </w:p>
    <w:p w14:paraId="25B29B76">
      <w:pPr>
        <w:ind w:firstLine="480"/>
        <w:rPr>
          <w:lang w:eastAsia="zh-CN"/>
        </w:rPr>
      </w:pPr>
      <w:r>
        <w:rPr>
          <w:rFonts w:hint="eastAsia"/>
          <w:lang w:eastAsia="zh-CN"/>
        </w:rPr>
        <w:t>(</w:t>
      </w:r>
      <w:r>
        <w:rPr>
          <w:lang w:eastAsia="zh-CN"/>
        </w:rPr>
        <w:t>1</w:t>
      </w:r>
      <w:r>
        <w:rPr>
          <w:rFonts w:hint="eastAsia"/>
          <w:lang w:eastAsia="zh-CN"/>
        </w:rPr>
        <w:t>)</w:t>
      </w:r>
      <w:r>
        <w:rPr>
          <w:lang w:eastAsia="zh-CN"/>
        </w:rPr>
        <w:t>导游标志、标牌</w:t>
      </w:r>
    </w:p>
    <w:p w14:paraId="5002D742">
      <w:pPr>
        <w:ind w:firstLine="480"/>
        <w:rPr>
          <w:lang w:eastAsia="zh-CN"/>
        </w:rPr>
      </w:pPr>
      <w:r>
        <w:rPr>
          <w:rFonts w:hint="eastAsia" w:cs="宋体"/>
          <w:lang w:eastAsia="zh-CN"/>
        </w:rPr>
        <w:t>①</w:t>
      </w:r>
      <w:r>
        <w:rPr>
          <w:lang w:eastAsia="zh-CN"/>
        </w:rPr>
        <w:t>旅游导示牌：为打造公园知名度，吸引游客前来观光旅游，在永州机场、永州高铁站、二广高速、京珠高速等地各建一大型森林公园导示牌，并配公园风景宣传画，共4块。在客运站、公园各景区的入口位置</w:t>
      </w:r>
      <w:r>
        <w:rPr>
          <w:rFonts w:hint="eastAsia"/>
          <w:lang w:eastAsia="zh-CN"/>
        </w:rPr>
        <w:t>(</w:t>
      </w:r>
      <w:r>
        <w:rPr>
          <w:lang w:eastAsia="zh-CN"/>
        </w:rPr>
        <w:t>老屋场、万寿寺、万和湖、叶子漯</w:t>
      </w:r>
      <w:r>
        <w:rPr>
          <w:rFonts w:hint="eastAsia"/>
          <w:lang w:eastAsia="zh-CN"/>
        </w:rPr>
        <w:t>)</w:t>
      </w:r>
      <w:r>
        <w:rPr>
          <w:lang w:eastAsia="zh-CN"/>
        </w:rPr>
        <w:t>及旅游公路分岔处</w:t>
      </w:r>
      <w:r>
        <w:rPr>
          <w:rFonts w:hint="eastAsia"/>
          <w:lang w:eastAsia="zh-CN"/>
        </w:rPr>
        <w:t>(</w:t>
      </w:r>
      <w:r>
        <w:rPr>
          <w:lang w:eastAsia="zh-CN"/>
        </w:rPr>
        <w:t>佛光普照</w:t>
      </w:r>
      <w:r>
        <w:rPr>
          <w:rFonts w:hint="eastAsia"/>
          <w:lang w:eastAsia="zh-CN"/>
        </w:rPr>
        <w:t>)</w:t>
      </w:r>
      <w:r>
        <w:rPr>
          <w:lang w:eastAsia="zh-CN"/>
        </w:rPr>
        <w:t>设立大型导示牌，标示森林公园各景区、景点的名称及游览线路图，用中、英文书写，共6块。在公园标志性景点处设置小型导游牌</w:t>
      </w:r>
      <w:r>
        <w:rPr>
          <w:rFonts w:hint="eastAsia"/>
          <w:lang w:eastAsia="zh-CN"/>
        </w:rPr>
        <w:t>(</w:t>
      </w:r>
      <w:r>
        <w:rPr>
          <w:lang w:eastAsia="zh-CN"/>
        </w:rPr>
        <w:t>云天阁、祖师爷赏花台、小黄江源等</w:t>
      </w:r>
      <w:r>
        <w:rPr>
          <w:rFonts w:hint="eastAsia"/>
          <w:lang w:eastAsia="zh-CN"/>
        </w:rPr>
        <w:t>)</w:t>
      </w:r>
      <w:r>
        <w:rPr>
          <w:lang w:eastAsia="zh-CN"/>
        </w:rPr>
        <w:t>，景点名称、特征，用中、英文书写。</w:t>
      </w:r>
    </w:p>
    <w:p w14:paraId="1808CD34">
      <w:pPr>
        <w:ind w:firstLine="480"/>
        <w:rPr>
          <w:lang w:eastAsia="zh-CN"/>
        </w:rPr>
      </w:pPr>
      <w:r>
        <w:rPr>
          <w:rFonts w:hint="eastAsia" w:cs="宋体"/>
          <w:lang w:eastAsia="zh-CN"/>
        </w:rPr>
        <w:t>②</w:t>
      </w:r>
      <w:r>
        <w:rPr>
          <w:lang w:eastAsia="zh-CN"/>
        </w:rPr>
        <w:t>路牌：在园内各主要岔路口设立永久性导游路牌，共20块，注明景点名称、方向、距离，用中、英文书写。</w:t>
      </w:r>
    </w:p>
    <w:p w14:paraId="24B50FA5">
      <w:pPr>
        <w:ind w:firstLine="480"/>
        <w:rPr>
          <w:lang w:eastAsia="zh-CN"/>
        </w:rPr>
      </w:pPr>
      <w:r>
        <w:rPr>
          <w:rFonts w:hint="eastAsia" w:cs="宋体"/>
          <w:lang w:eastAsia="zh-CN"/>
        </w:rPr>
        <w:t>③</w:t>
      </w:r>
      <w:r>
        <w:rPr>
          <w:lang w:eastAsia="zh-CN"/>
        </w:rPr>
        <w:t>旅游服务提示牌：在旅游接待服务区、主要景区景点、商店、餐饮、停车、公共厕所等设置旅游服务提示牌，共30块，用中、英文书写。</w:t>
      </w:r>
    </w:p>
    <w:p w14:paraId="5125F8EB">
      <w:pPr>
        <w:ind w:firstLine="480"/>
        <w:rPr>
          <w:lang w:eastAsia="zh-CN"/>
        </w:rPr>
      </w:pPr>
      <w:r>
        <w:rPr>
          <w:rFonts w:hint="eastAsia"/>
          <w:lang w:eastAsia="zh-CN"/>
        </w:rPr>
        <w:t>(</w:t>
      </w:r>
      <w:r>
        <w:rPr>
          <w:lang w:eastAsia="zh-CN"/>
        </w:rPr>
        <w:t>2</w:t>
      </w:r>
      <w:r>
        <w:rPr>
          <w:rFonts w:hint="eastAsia"/>
          <w:lang w:eastAsia="zh-CN"/>
        </w:rPr>
        <w:t>)</w:t>
      </w:r>
      <w:r>
        <w:rPr>
          <w:lang w:eastAsia="zh-CN"/>
        </w:rPr>
        <w:t>导游服务</w:t>
      </w:r>
    </w:p>
    <w:p w14:paraId="38CB3041">
      <w:pPr>
        <w:ind w:firstLine="480"/>
        <w:rPr>
          <w:lang w:eastAsia="zh-CN"/>
        </w:rPr>
      </w:pPr>
      <w:r>
        <w:rPr>
          <w:rFonts w:hint="eastAsia" w:cs="宋体"/>
          <w:lang w:eastAsia="zh-CN"/>
        </w:rPr>
        <w:t>①</w:t>
      </w:r>
      <w:r>
        <w:rPr>
          <w:lang w:eastAsia="zh-CN"/>
        </w:rPr>
        <w:t>为方便游客旅游，规划在黄柏洞管理服务区入口</w:t>
      </w:r>
      <w:r>
        <w:rPr>
          <w:rFonts w:hint="eastAsia"/>
          <w:lang w:eastAsia="zh-CN"/>
        </w:rPr>
        <w:t>(</w:t>
      </w:r>
      <w:r>
        <w:rPr>
          <w:lang w:eastAsia="zh-CN"/>
        </w:rPr>
        <w:t>购票处</w:t>
      </w:r>
      <w:r>
        <w:rPr>
          <w:rFonts w:hint="eastAsia"/>
          <w:lang w:eastAsia="zh-CN"/>
        </w:rPr>
        <w:t>)</w:t>
      </w:r>
      <w:r>
        <w:rPr>
          <w:lang w:eastAsia="zh-CN"/>
        </w:rPr>
        <w:t>建设</w:t>
      </w:r>
      <w:r>
        <w:rPr>
          <w:rFonts w:hint="eastAsia"/>
          <w:lang w:eastAsia="zh-CN"/>
        </w:rPr>
        <w:t>“</w:t>
      </w:r>
      <w:r>
        <w:rPr>
          <w:lang w:eastAsia="zh-CN"/>
        </w:rPr>
        <w:t>游客中心</w:t>
      </w:r>
      <w:r>
        <w:rPr>
          <w:rFonts w:hint="eastAsia"/>
          <w:lang w:eastAsia="zh-CN"/>
        </w:rPr>
        <w:t>”</w:t>
      </w:r>
      <w:r>
        <w:rPr>
          <w:lang w:eastAsia="zh-CN"/>
        </w:rPr>
        <w:t>，在杜鹃花海管理服务区、万和湖管理服务区设立</w:t>
      </w:r>
      <w:r>
        <w:rPr>
          <w:rFonts w:hint="eastAsia"/>
          <w:lang w:eastAsia="zh-CN"/>
        </w:rPr>
        <w:t>“</w:t>
      </w:r>
      <w:r>
        <w:rPr>
          <w:lang w:eastAsia="zh-CN"/>
        </w:rPr>
        <w:t>游客服务站</w:t>
      </w:r>
      <w:r>
        <w:rPr>
          <w:rFonts w:hint="eastAsia"/>
          <w:lang w:eastAsia="zh-CN"/>
        </w:rPr>
        <w:t>”</w:t>
      </w:r>
      <w:r>
        <w:rPr>
          <w:lang w:eastAsia="zh-CN"/>
        </w:rPr>
        <w:t>，具体负责公园的旅游管理，包括旅游接待、旅游咨询、旅游投诉、旅游向导</w:t>
      </w:r>
      <w:r>
        <w:rPr>
          <w:rFonts w:hint="eastAsia"/>
          <w:lang w:eastAsia="zh-CN"/>
        </w:rPr>
        <w:t>(</w:t>
      </w:r>
      <w:r>
        <w:rPr>
          <w:lang w:eastAsia="zh-CN"/>
        </w:rPr>
        <w:t>翻译</w:t>
      </w:r>
      <w:r>
        <w:rPr>
          <w:rFonts w:hint="eastAsia"/>
          <w:lang w:eastAsia="zh-CN"/>
        </w:rPr>
        <w:t>)</w:t>
      </w:r>
      <w:r>
        <w:rPr>
          <w:lang w:eastAsia="zh-CN"/>
        </w:rPr>
        <w:t>、旅游交通、医疗保健、保险等旅游服务。游客中心建筑面积800</w:t>
      </w:r>
      <w:r>
        <w:rPr>
          <w:rFonts w:hint="eastAsia"/>
          <w:lang w:eastAsia="zh-CN"/>
        </w:rPr>
        <w:t>m</w:t>
      </w:r>
      <w:r>
        <w:rPr>
          <w:rFonts w:hint="eastAsia"/>
          <w:vertAlign w:val="superscript"/>
          <w:lang w:eastAsia="zh-CN"/>
        </w:rPr>
        <w:t>2</w:t>
      </w:r>
      <w:r>
        <w:rPr>
          <w:rFonts w:hint="eastAsia"/>
          <w:lang w:eastAsia="zh-CN"/>
        </w:rPr>
        <w:t>(</w:t>
      </w:r>
      <w:r>
        <w:rPr>
          <w:lang w:eastAsia="zh-CN"/>
        </w:rPr>
        <w:t>不含餐厅、购物、医护建筑</w:t>
      </w:r>
      <w:r>
        <w:rPr>
          <w:rFonts w:hint="eastAsia"/>
          <w:lang w:eastAsia="zh-CN"/>
        </w:rPr>
        <w:t>)</w:t>
      </w:r>
      <w:r>
        <w:rPr>
          <w:lang w:eastAsia="zh-CN"/>
        </w:rPr>
        <w:t>、游客服务站</w:t>
      </w:r>
      <w:r>
        <w:rPr>
          <w:rFonts w:hint="eastAsia"/>
          <w:lang w:eastAsia="zh-CN"/>
        </w:rPr>
        <w:t>(</w:t>
      </w:r>
      <w:r>
        <w:rPr>
          <w:lang w:eastAsia="zh-CN"/>
        </w:rPr>
        <w:t>万寿寺、万和湖</w:t>
      </w:r>
      <w:r>
        <w:rPr>
          <w:rFonts w:hint="eastAsia"/>
          <w:lang w:eastAsia="zh-CN"/>
        </w:rPr>
        <w:t>)</w:t>
      </w:r>
      <w:r>
        <w:rPr>
          <w:lang w:eastAsia="zh-CN"/>
        </w:rPr>
        <w:t>50</w:t>
      </w:r>
      <w:r>
        <w:rPr>
          <w:rFonts w:hint="eastAsia"/>
          <w:lang w:eastAsia="zh-CN"/>
        </w:rPr>
        <w:t>m</w:t>
      </w:r>
      <w:r>
        <w:rPr>
          <w:rFonts w:hint="eastAsia"/>
          <w:vertAlign w:val="superscript"/>
          <w:lang w:eastAsia="zh-CN"/>
        </w:rPr>
        <w:t>2</w:t>
      </w:r>
      <w:r>
        <w:rPr>
          <w:lang w:eastAsia="zh-CN"/>
        </w:rPr>
        <w:t>，均内设导游服务部。</w:t>
      </w:r>
    </w:p>
    <w:p w14:paraId="66070221">
      <w:pPr>
        <w:ind w:firstLine="480"/>
        <w:rPr>
          <w:lang w:eastAsia="zh-CN"/>
        </w:rPr>
      </w:pPr>
      <w:r>
        <w:rPr>
          <w:rFonts w:hint="eastAsia" w:cs="宋体"/>
          <w:lang w:eastAsia="zh-CN"/>
        </w:rPr>
        <w:t>②</w:t>
      </w:r>
      <w:r>
        <w:rPr>
          <w:lang w:eastAsia="zh-CN"/>
        </w:rPr>
        <w:t>组建森林公园专职导游队，对导游队伍进行职业培训，持证上岗。建设培养一支遵纪守法、行为规范、爱岗敬业、业务过硬、素质全面、作风高尚、诚实守信的导游队伍。要求导游员均具有高中以上文化程度。</w:t>
      </w:r>
    </w:p>
    <w:p w14:paraId="35E9A7FF">
      <w:pPr>
        <w:ind w:firstLine="480"/>
        <w:rPr>
          <w:rFonts w:eastAsia="黑体"/>
          <w:sz w:val="44"/>
          <w:szCs w:val="44"/>
          <w:lang w:eastAsia="zh-CN"/>
        </w:rPr>
      </w:pPr>
      <w:r>
        <w:rPr>
          <w:rFonts w:hint="eastAsia" w:cs="宋体"/>
          <w:lang w:eastAsia="zh-CN"/>
        </w:rPr>
        <w:t>③</w:t>
      </w:r>
      <w:r>
        <w:rPr>
          <w:lang w:eastAsia="zh-CN"/>
        </w:rPr>
        <w:t>免费向游客发放森林公园旅游手册。</w:t>
      </w:r>
      <w:bookmarkStart w:id="137" w:name="bookmark102"/>
      <w:bookmarkEnd w:id="137"/>
      <w:bookmarkStart w:id="138" w:name="bookmark100"/>
      <w:bookmarkEnd w:id="138"/>
      <w:r>
        <w:rPr>
          <w:rFonts w:eastAsia="黑体"/>
          <w:sz w:val="44"/>
          <w:szCs w:val="44"/>
          <w:lang w:eastAsia="zh-CN"/>
        </w:rPr>
        <w:br w:type="page"/>
      </w:r>
    </w:p>
    <w:p w14:paraId="5FDEACB7">
      <w:pPr>
        <w:pStyle w:val="2"/>
        <w:spacing w:before="120" w:after="120"/>
        <w:rPr>
          <w:lang w:eastAsia="zh-CN"/>
        </w:rPr>
      </w:pPr>
      <w:bookmarkStart w:id="139" w:name="_Toc16913"/>
      <w:r>
        <w:rPr>
          <w:lang w:eastAsia="zh-CN"/>
        </w:rPr>
        <w:t>第十章</w:t>
      </w:r>
      <w:r>
        <w:rPr>
          <w:rFonts w:hint="eastAsia"/>
          <w:lang w:eastAsia="zh-CN"/>
        </w:rPr>
        <w:t xml:space="preserve"> </w:t>
      </w:r>
      <w:r>
        <w:rPr>
          <w:lang w:eastAsia="zh-CN"/>
        </w:rPr>
        <w:t>投资估算</w:t>
      </w:r>
      <w:bookmarkEnd w:id="139"/>
    </w:p>
    <w:p w14:paraId="7C94C277">
      <w:pPr>
        <w:pStyle w:val="3"/>
        <w:rPr>
          <w:lang w:eastAsia="zh-CN"/>
        </w:rPr>
      </w:pPr>
      <w:bookmarkStart w:id="140" w:name="_Toc12577"/>
      <w:r>
        <w:rPr>
          <w:lang w:eastAsia="zh-CN"/>
        </w:rPr>
        <w:t>10.1投资估算</w:t>
      </w:r>
      <w:bookmarkEnd w:id="140"/>
    </w:p>
    <w:p w14:paraId="71F55533">
      <w:pPr>
        <w:pStyle w:val="4"/>
      </w:pPr>
      <w:r>
        <w:t>10.1.1投资估算依据</w:t>
      </w:r>
    </w:p>
    <w:p w14:paraId="6BD27D09">
      <w:pPr>
        <w:ind w:firstLine="480"/>
        <w:rPr>
          <w:lang w:eastAsia="zh-CN"/>
        </w:rPr>
      </w:pPr>
      <w:r>
        <w:rPr>
          <w:rFonts w:hint="eastAsia"/>
          <w:lang w:eastAsia="zh-CN"/>
        </w:rPr>
        <w:t>(</w:t>
      </w:r>
      <w:r>
        <w:rPr>
          <w:lang w:eastAsia="zh-CN"/>
        </w:rPr>
        <w:t>1</w:t>
      </w:r>
      <w:r>
        <w:rPr>
          <w:rFonts w:hint="eastAsia"/>
          <w:lang w:eastAsia="zh-CN"/>
        </w:rPr>
        <w:t>)</w:t>
      </w:r>
      <w:r>
        <w:rPr>
          <w:lang w:eastAsia="zh-CN"/>
        </w:rPr>
        <w:t>《基本建设财务规则》</w:t>
      </w:r>
      <w:r>
        <w:rPr>
          <w:rFonts w:hint="eastAsia"/>
          <w:lang w:eastAsia="zh-CN"/>
        </w:rPr>
        <w:t>(</w:t>
      </w:r>
      <w:r>
        <w:rPr>
          <w:lang w:eastAsia="zh-CN"/>
        </w:rPr>
        <w:t>中华人民共和国财政部令第81号</w:t>
      </w:r>
      <w:r>
        <w:rPr>
          <w:rFonts w:hint="eastAsia"/>
          <w:lang w:eastAsia="zh-CN"/>
        </w:rPr>
        <w:t>)</w:t>
      </w:r>
      <w:r>
        <w:rPr>
          <w:lang w:eastAsia="zh-CN"/>
        </w:rPr>
        <w:t>；</w:t>
      </w:r>
    </w:p>
    <w:p w14:paraId="0513B7B0">
      <w:pPr>
        <w:ind w:firstLine="480"/>
        <w:rPr>
          <w:lang w:eastAsia="zh-CN"/>
        </w:rPr>
      </w:pPr>
      <w:r>
        <w:rPr>
          <w:rFonts w:hint="eastAsia"/>
          <w:lang w:eastAsia="zh-CN"/>
        </w:rPr>
        <w:t>(</w:t>
      </w:r>
      <w:r>
        <w:rPr>
          <w:lang w:eastAsia="zh-CN"/>
        </w:rPr>
        <w:t>2</w:t>
      </w:r>
      <w:r>
        <w:rPr>
          <w:rFonts w:hint="eastAsia"/>
          <w:lang w:eastAsia="zh-CN"/>
        </w:rPr>
        <w:t>)</w:t>
      </w:r>
      <w:r>
        <w:rPr>
          <w:lang w:eastAsia="zh-CN"/>
        </w:rPr>
        <w:t>《林业工程概预算编制办法》</w:t>
      </w:r>
      <w:r>
        <w:rPr>
          <w:rFonts w:hint="eastAsia"/>
          <w:lang w:eastAsia="zh-CN"/>
        </w:rPr>
        <w:t>(</w:t>
      </w:r>
      <w:r>
        <w:rPr>
          <w:lang w:eastAsia="zh-CN"/>
        </w:rPr>
        <w:t>林业部LBD301-96</w:t>
      </w:r>
      <w:r>
        <w:rPr>
          <w:rFonts w:hint="eastAsia"/>
          <w:lang w:eastAsia="zh-CN"/>
        </w:rPr>
        <w:t>)</w:t>
      </w:r>
      <w:r>
        <w:rPr>
          <w:lang w:eastAsia="zh-CN"/>
        </w:rPr>
        <w:t>；</w:t>
      </w:r>
    </w:p>
    <w:p w14:paraId="607A8053">
      <w:pPr>
        <w:ind w:firstLine="480"/>
        <w:rPr>
          <w:lang w:eastAsia="zh-CN"/>
        </w:rPr>
      </w:pPr>
      <w:r>
        <w:rPr>
          <w:rFonts w:hint="eastAsia"/>
          <w:lang w:eastAsia="zh-CN"/>
        </w:rPr>
        <w:t>(</w:t>
      </w:r>
      <w:r>
        <w:rPr>
          <w:lang w:eastAsia="zh-CN"/>
        </w:rPr>
        <w:t>3</w:t>
      </w:r>
      <w:r>
        <w:rPr>
          <w:rFonts w:hint="eastAsia"/>
          <w:lang w:eastAsia="zh-CN"/>
        </w:rPr>
        <w:t>)</w:t>
      </w:r>
      <w:r>
        <w:rPr>
          <w:lang w:eastAsia="zh-CN"/>
        </w:rPr>
        <w:t>《工程勘察设计收费管理规定》</w:t>
      </w:r>
      <w:r>
        <w:rPr>
          <w:rFonts w:hint="eastAsia"/>
          <w:lang w:eastAsia="zh-CN"/>
        </w:rPr>
        <w:t>(审</w:t>
      </w:r>
      <w:r>
        <w:rPr>
          <w:lang w:eastAsia="zh-CN"/>
        </w:rPr>
        <w:t>计价格</w:t>
      </w:r>
      <w:r>
        <w:rPr>
          <w:rFonts w:hint="eastAsia"/>
          <w:lang w:eastAsia="zh-CN"/>
        </w:rPr>
        <w:t>〔2002〕10号)</w:t>
      </w:r>
      <w:r>
        <w:rPr>
          <w:lang w:eastAsia="zh-CN"/>
        </w:rPr>
        <w:t>；</w:t>
      </w:r>
    </w:p>
    <w:p w14:paraId="5699E27E">
      <w:pPr>
        <w:ind w:firstLine="480"/>
        <w:rPr>
          <w:lang w:eastAsia="zh-CN"/>
        </w:rPr>
      </w:pPr>
      <w:r>
        <w:rPr>
          <w:rFonts w:hint="eastAsia"/>
          <w:lang w:eastAsia="zh-CN"/>
        </w:rPr>
        <w:t>(</w:t>
      </w:r>
      <w:r>
        <w:rPr>
          <w:lang w:eastAsia="zh-CN"/>
        </w:rPr>
        <w:t>4</w:t>
      </w:r>
      <w:r>
        <w:rPr>
          <w:rFonts w:hint="eastAsia"/>
          <w:lang w:eastAsia="zh-CN"/>
        </w:rPr>
        <w:t>)</w:t>
      </w:r>
      <w:r>
        <w:rPr>
          <w:lang w:eastAsia="zh-CN"/>
        </w:rPr>
        <w:t>《财政部关于印发〈基本建设项目建设成本管理规定〉的通知》</w:t>
      </w:r>
      <w:r>
        <w:rPr>
          <w:rFonts w:hint="eastAsia"/>
          <w:lang w:eastAsia="zh-CN"/>
        </w:rPr>
        <w:t>(</w:t>
      </w:r>
      <w:r>
        <w:rPr>
          <w:lang w:eastAsia="zh-CN"/>
        </w:rPr>
        <w:t>财建〔2016〕504号</w:t>
      </w:r>
      <w:r>
        <w:rPr>
          <w:rFonts w:hint="eastAsia"/>
          <w:lang w:eastAsia="zh-CN"/>
        </w:rPr>
        <w:t>)</w:t>
      </w:r>
      <w:r>
        <w:rPr>
          <w:lang w:eastAsia="zh-CN"/>
        </w:rPr>
        <w:t>；</w:t>
      </w:r>
    </w:p>
    <w:p w14:paraId="6892DCA7">
      <w:pPr>
        <w:ind w:firstLine="480"/>
        <w:rPr>
          <w:lang w:eastAsia="zh-CN"/>
        </w:rPr>
      </w:pPr>
      <w:r>
        <w:rPr>
          <w:rFonts w:hint="eastAsia"/>
          <w:lang w:eastAsia="zh-CN"/>
        </w:rPr>
        <w:t>(</w:t>
      </w:r>
      <w:r>
        <w:rPr>
          <w:lang w:eastAsia="zh-CN"/>
        </w:rPr>
        <w:t>5</w:t>
      </w:r>
      <w:r>
        <w:rPr>
          <w:rFonts w:hint="eastAsia"/>
          <w:lang w:eastAsia="zh-CN"/>
        </w:rPr>
        <w:t>)</w:t>
      </w:r>
      <w:r>
        <w:rPr>
          <w:lang w:eastAsia="zh-CN"/>
        </w:rPr>
        <w:t>国家及国家林业和草原局颁布的有关规程、规定和技术经济指标；</w:t>
      </w:r>
    </w:p>
    <w:p w14:paraId="6527ED8C">
      <w:pPr>
        <w:ind w:firstLine="480"/>
        <w:rPr>
          <w:lang w:eastAsia="zh-CN"/>
        </w:rPr>
      </w:pPr>
      <w:r>
        <w:rPr>
          <w:rFonts w:hint="eastAsia"/>
          <w:lang w:eastAsia="zh-CN"/>
        </w:rPr>
        <w:t>(</w:t>
      </w:r>
      <w:r>
        <w:rPr>
          <w:lang w:eastAsia="zh-CN"/>
        </w:rPr>
        <w:t>6</w:t>
      </w:r>
      <w:r>
        <w:rPr>
          <w:rFonts w:hint="eastAsia"/>
          <w:lang w:eastAsia="zh-CN"/>
        </w:rPr>
        <w:t>)</w:t>
      </w:r>
      <w:r>
        <w:rPr>
          <w:lang w:eastAsia="zh-CN"/>
        </w:rPr>
        <w:t>设备购置依据生产厂家报价，计入相应的运杂费；</w:t>
      </w:r>
    </w:p>
    <w:p w14:paraId="47D10FDE">
      <w:pPr>
        <w:ind w:firstLine="480"/>
        <w:rPr>
          <w:lang w:eastAsia="zh-CN"/>
        </w:rPr>
      </w:pPr>
      <w:r>
        <w:rPr>
          <w:rFonts w:hint="eastAsia"/>
          <w:lang w:eastAsia="zh-CN"/>
        </w:rPr>
        <w:t>(</w:t>
      </w:r>
      <w:r>
        <w:rPr>
          <w:lang w:eastAsia="zh-CN"/>
        </w:rPr>
        <w:t>7</w:t>
      </w:r>
      <w:r>
        <w:rPr>
          <w:rFonts w:hint="eastAsia"/>
          <w:lang w:eastAsia="zh-CN"/>
        </w:rPr>
        <w:t>)</w:t>
      </w:r>
      <w:r>
        <w:rPr>
          <w:lang w:eastAsia="zh-CN"/>
        </w:rPr>
        <w:t>人员工资依据当地实际工资水平进行计算；</w:t>
      </w:r>
    </w:p>
    <w:p w14:paraId="3A5A82BA">
      <w:pPr>
        <w:ind w:firstLine="480"/>
        <w:rPr>
          <w:lang w:eastAsia="zh-CN"/>
        </w:rPr>
      </w:pPr>
      <w:r>
        <w:rPr>
          <w:rFonts w:hint="eastAsia"/>
          <w:lang w:eastAsia="zh-CN"/>
        </w:rPr>
        <w:t>(</w:t>
      </w:r>
      <w:r>
        <w:rPr>
          <w:lang w:eastAsia="zh-CN"/>
        </w:rPr>
        <w:t>8</w:t>
      </w:r>
      <w:r>
        <w:rPr>
          <w:rFonts w:hint="eastAsia"/>
          <w:lang w:eastAsia="zh-CN"/>
        </w:rPr>
        <w:t>)</w:t>
      </w:r>
      <w:r>
        <w:rPr>
          <w:lang w:eastAsia="zh-CN"/>
        </w:rPr>
        <w:t>林场提供的有关技术经济指标。</w:t>
      </w:r>
    </w:p>
    <w:p w14:paraId="3D55F38F">
      <w:pPr>
        <w:pStyle w:val="4"/>
      </w:pPr>
      <w:r>
        <w:t>10.1.2投资估算范围及期限</w:t>
      </w:r>
    </w:p>
    <w:p w14:paraId="256D948F">
      <w:pPr>
        <w:ind w:firstLine="480"/>
        <w:rPr>
          <w:lang w:eastAsia="zh-CN"/>
        </w:rPr>
      </w:pPr>
      <w:r>
        <w:rPr>
          <w:rFonts w:hint="eastAsia"/>
          <w:lang w:eastAsia="zh-CN"/>
        </w:rPr>
        <w:t>(</w:t>
      </w:r>
      <w:r>
        <w:rPr>
          <w:lang w:eastAsia="zh-CN"/>
        </w:rPr>
        <w:t>1</w:t>
      </w:r>
      <w:r>
        <w:rPr>
          <w:rFonts w:hint="eastAsia"/>
          <w:lang w:eastAsia="zh-CN"/>
        </w:rPr>
        <w:t>)</w:t>
      </w:r>
      <w:r>
        <w:rPr>
          <w:lang w:eastAsia="zh-CN"/>
        </w:rPr>
        <w:t>投资估算范围</w:t>
      </w:r>
    </w:p>
    <w:p w14:paraId="77E90318">
      <w:pPr>
        <w:ind w:firstLine="480"/>
        <w:rPr>
          <w:lang w:eastAsia="zh-CN"/>
        </w:rPr>
      </w:pPr>
      <w:r>
        <w:rPr>
          <w:lang w:eastAsia="zh-CN"/>
        </w:rPr>
        <w:t>森林培育</w:t>
      </w:r>
      <w:r>
        <w:rPr>
          <w:rFonts w:hint="eastAsia"/>
          <w:lang w:eastAsia="zh-CN"/>
        </w:rPr>
        <w:t>(</w:t>
      </w:r>
      <w:r>
        <w:rPr>
          <w:lang w:eastAsia="zh-CN"/>
        </w:rPr>
        <w:t>含种苗、造林、幼林抚育、抚育间伐、森林管护、工程设施、材料设备购置和管理</w:t>
      </w:r>
      <w:r>
        <w:rPr>
          <w:rFonts w:hint="eastAsia"/>
          <w:lang w:eastAsia="zh-CN"/>
        </w:rPr>
        <w:t>)</w:t>
      </w:r>
      <w:r>
        <w:rPr>
          <w:lang w:eastAsia="zh-CN"/>
        </w:rPr>
        <w:t>，森林采伐</w:t>
      </w:r>
      <w:r>
        <w:rPr>
          <w:rFonts w:hint="eastAsia"/>
          <w:lang w:eastAsia="zh-CN"/>
        </w:rPr>
        <w:t>(</w:t>
      </w:r>
      <w:r>
        <w:rPr>
          <w:lang w:eastAsia="zh-CN"/>
        </w:rPr>
        <w:t>含采伐、集材、运输、所规划基建工程设施和设备购置</w:t>
      </w:r>
      <w:r>
        <w:rPr>
          <w:rFonts w:hint="eastAsia"/>
          <w:lang w:eastAsia="zh-CN"/>
        </w:rPr>
        <w:t>)及其他</w:t>
      </w:r>
      <w:r>
        <w:rPr>
          <w:lang w:eastAsia="zh-CN"/>
        </w:rPr>
        <w:t>规划项目。</w:t>
      </w:r>
    </w:p>
    <w:p w14:paraId="4128A50F">
      <w:pPr>
        <w:ind w:firstLine="480"/>
        <w:rPr>
          <w:lang w:eastAsia="zh-CN"/>
        </w:rPr>
      </w:pPr>
      <w:r>
        <w:rPr>
          <w:rFonts w:hint="eastAsia"/>
          <w:lang w:eastAsia="zh-CN"/>
        </w:rPr>
        <w:t>(</w:t>
      </w:r>
      <w:r>
        <w:rPr>
          <w:lang w:eastAsia="zh-CN"/>
        </w:rPr>
        <w:t>2</w:t>
      </w:r>
      <w:r>
        <w:rPr>
          <w:rFonts w:hint="eastAsia"/>
          <w:lang w:eastAsia="zh-CN"/>
        </w:rPr>
        <w:t>)</w:t>
      </w:r>
      <w:r>
        <w:rPr>
          <w:lang w:eastAsia="zh-CN"/>
        </w:rPr>
        <w:t>投资估算期限</w:t>
      </w:r>
    </w:p>
    <w:p w14:paraId="4F50F54F">
      <w:pPr>
        <w:ind w:firstLine="480"/>
        <w:rPr>
          <w:lang w:eastAsia="zh-CN"/>
        </w:rPr>
      </w:pPr>
      <w:r>
        <w:rPr>
          <w:lang w:eastAsia="zh-CN"/>
        </w:rPr>
        <w:t>本经营方案投资估算期为7年，即2024</w:t>
      </w:r>
      <w:r>
        <w:rPr>
          <w:rFonts w:hint="eastAsia"/>
          <w:lang w:eastAsia="zh-CN"/>
        </w:rPr>
        <w:t>—</w:t>
      </w:r>
      <w:r>
        <w:rPr>
          <w:lang w:eastAsia="zh-CN"/>
        </w:rPr>
        <w:t>2030年。</w:t>
      </w:r>
    </w:p>
    <w:p w14:paraId="6FDFAEC3">
      <w:pPr>
        <w:pStyle w:val="4"/>
      </w:pPr>
      <w:r>
        <w:rPr>
          <w:rFonts w:hint="eastAsia"/>
        </w:rPr>
        <w:t>10.1.4森林采伐投入概算</w:t>
      </w:r>
    </w:p>
    <w:p w14:paraId="73407196">
      <w:pPr>
        <w:ind w:firstLine="480"/>
        <w:rPr>
          <w:lang w:eastAsia="zh-CN"/>
        </w:rPr>
      </w:pPr>
      <w:r>
        <w:rPr>
          <w:rFonts w:hint="eastAsia"/>
          <w:lang w:eastAsia="zh-CN"/>
        </w:rPr>
        <w:t>(1)单位采集运成本</w:t>
      </w:r>
    </w:p>
    <w:p w14:paraId="0A528659">
      <w:pPr>
        <w:ind w:firstLine="480"/>
        <w:rPr>
          <w:rFonts w:cs="宋体"/>
          <w:lang w:eastAsia="zh-CN"/>
        </w:rPr>
      </w:pPr>
      <w:r>
        <w:rPr>
          <w:rFonts w:hint="eastAsia" w:cs="宋体"/>
          <w:lang w:eastAsia="zh-CN"/>
        </w:rPr>
        <w:t>森林采伐成本包括木材生产成本和木材销售税费。</w:t>
      </w:r>
    </w:p>
    <w:p w14:paraId="1AF8CBBE">
      <w:pPr>
        <w:ind w:firstLine="480"/>
        <w:rPr>
          <w:rFonts w:cs="宋体"/>
          <w:lang w:eastAsia="zh-CN"/>
        </w:rPr>
      </w:pPr>
      <w:r>
        <w:rPr>
          <w:rFonts w:hint="eastAsia" w:cs="宋体"/>
          <w:lang w:eastAsia="zh-CN"/>
        </w:rPr>
        <w:t>木材生产成本包括：</w:t>
      </w:r>
    </w:p>
    <w:p w14:paraId="55ACEF78">
      <w:pPr>
        <w:ind w:firstLine="480"/>
        <w:rPr>
          <w:rFonts w:cs="宋体"/>
          <w:lang w:eastAsia="zh-CN"/>
        </w:rPr>
      </w:pPr>
      <w:r>
        <w:rPr>
          <w:rFonts w:hint="eastAsia" w:cs="宋体"/>
          <w:lang w:eastAsia="zh-CN"/>
        </w:rPr>
        <w:t>①伐区设计费用；②砍伐费用；</w:t>
      </w:r>
      <w:r>
        <w:rPr>
          <w:rFonts w:hint="eastAsia"/>
          <w:lang w:eastAsia="zh-CN"/>
        </w:rPr>
        <w:t>③短途运输成本；④下车装卸费用；⑤销售费用；⑥采伐不可预见费用；⑦森林植物检疫费用。</w:t>
      </w:r>
    </w:p>
    <w:p w14:paraId="666BB851">
      <w:pPr>
        <w:ind w:firstLine="480"/>
        <w:rPr>
          <w:lang w:eastAsia="zh-CN"/>
        </w:rPr>
      </w:pPr>
      <w:r>
        <w:rPr>
          <w:rFonts w:hint="eastAsia"/>
          <w:lang w:eastAsia="zh-CN"/>
        </w:rPr>
        <w:t>木材销售税费包括：森林植物检疫费。详见表10-1所示。</w:t>
      </w:r>
    </w:p>
    <w:p w14:paraId="4D8AE094">
      <w:pPr>
        <w:spacing w:line="240" w:lineRule="auto"/>
        <w:ind w:firstLine="0" w:firstLineChars="0"/>
        <w:jc w:val="center"/>
        <w:rPr>
          <w:rFonts w:eastAsia="黑体"/>
          <w:b/>
          <w:lang w:eastAsia="zh-CN"/>
        </w:rPr>
      </w:pPr>
      <w:r>
        <w:rPr>
          <w:rFonts w:hint="eastAsia" w:eastAsia="黑体"/>
          <w:b/>
          <w:bCs/>
          <w:lang w:eastAsia="zh-CN"/>
        </w:rPr>
        <w:t>表</w:t>
      </w:r>
      <w:r>
        <w:rPr>
          <w:rFonts w:eastAsia="黑体" w:cs="Times New Roman"/>
          <w:b/>
          <w:bCs/>
          <w:lang w:eastAsia="zh-CN"/>
        </w:rPr>
        <w:t>10-1</w:t>
      </w:r>
      <w:r>
        <w:rPr>
          <w:rFonts w:hint="eastAsia" w:eastAsia="黑体"/>
          <w:b/>
          <w:lang w:eastAsia="zh-CN"/>
        </w:rPr>
        <w:t>阳明山国有林场采伐投入基价表</w:t>
      </w:r>
    </w:p>
    <w:p w14:paraId="63D66FD8">
      <w:pPr>
        <w:spacing w:line="240" w:lineRule="auto"/>
        <w:ind w:firstLine="0" w:firstLineChars="0"/>
        <w:jc w:val="right"/>
        <w:rPr>
          <w:b/>
          <w:sz w:val="21"/>
        </w:rPr>
      </w:pPr>
      <w:r>
        <w:rPr>
          <w:rFonts w:hint="eastAsia"/>
          <w:sz w:val="21"/>
        </w:rPr>
        <w:t>单位：元/</w:t>
      </w:r>
      <w:r>
        <w:rPr>
          <w:rFonts w:hint="eastAsia" w:cs="Times New Roman"/>
          <w:sz w:val="21"/>
          <w:lang w:eastAsia="zh-CN"/>
        </w:rPr>
        <w:t>m</w:t>
      </w:r>
      <w:r>
        <w:rPr>
          <w:rFonts w:hint="eastAsia" w:cs="Times New Roman"/>
          <w:sz w:val="21"/>
          <w:vertAlign w:val="superscript"/>
          <w:lang w:eastAsia="zh-CN"/>
        </w:rPr>
        <w:t>3</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0"/>
        <w:gridCol w:w="1430"/>
        <w:gridCol w:w="1575"/>
        <w:gridCol w:w="1170"/>
        <w:gridCol w:w="2247"/>
      </w:tblGrid>
      <w:tr w14:paraId="15BBC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96" w:type="pct"/>
            <w:tcBorders>
              <w:tl2br w:val="single" w:color="auto" w:sz="4" w:space="0"/>
            </w:tcBorders>
          </w:tcPr>
          <w:p w14:paraId="348DA8C1">
            <w:pPr>
              <w:widowControl/>
              <w:spacing w:line="240" w:lineRule="auto"/>
              <w:ind w:firstLine="0" w:firstLineChars="0"/>
              <w:jc w:val="right"/>
              <w:rPr>
                <w:rFonts w:ascii="Calibri" w:hAnsi="Calibri" w:cs="Times New Roman"/>
                <w:bCs/>
                <w:sz w:val="21"/>
              </w:rPr>
            </w:pPr>
            <w:r>
              <w:rPr>
                <w:rFonts w:ascii="Calibri" w:hAnsi="Calibri" w:cs="Times New Roman"/>
                <w:bCs/>
                <w:sz w:val="21"/>
              </w:rPr>
              <w:t>采伐类型与树种</w:t>
            </w:r>
          </w:p>
          <w:p w14:paraId="398FD48C">
            <w:pPr>
              <w:widowControl/>
              <w:spacing w:line="240" w:lineRule="auto"/>
              <w:ind w:firstLine="0" w:firstLineChars="0"/>
              <w:jc w:val="left"/>
              <w:rPr>
                <w:rFonts w:ascii="Calibri" w:hAnsi="Calibri" w:cs="Times New Roman"/>
                <w:bCs/>
                <w:sz w:val="21"/>
              </w:rPr>
            </w:pPr>
            <w:r>
              <w:rPr>
                <w:rFonts w:ascii="Calibri" w:hAnsi="Calibri" w:cs="Times New Roman"/>
                <w:bCs/>
                <w:sz w:val="21"/>
              </w:rPr>
              <w:t>项目</w:t>
            </w:r>
          </w:p>
        </w:tc>
        <w:tc>
          <w:tcPr>
            <w:tcW w:w="802" w:type="pct"/>
            <w:vAlign w:val="center"/>
          </w:tcPr>
          <w:p w14:paraId="5DD9CFEE">
            <w:pPr>
              <w:widowControl/>
              <w:spacing w:line="240" w:lineRule="auto"/>
              <w:ind w:firstLine="0" w:firstLineChars="0"/>
              <w:jc w:val="center"/>
              <w:rPr>
                <w:rFonts w:ascii="Calibri" w:hAnsi="Calibri" w:cs="Times New Roman"/>
                <w:bCs/>
                <w:sz w:val="21"/>
              </w:rPr>
            </w:pPr>
            <w:r>
              <w:rPr>
                <w:rFonts w:ascii="Calibri" w:hAnsi="Calibri" w:cs="Times New Roman"/>
                <w:bCs/>
                <w:sz w:val="21"/>
              </w:rPr>
              <w:t>杉木更新采伐</w:t>
            </w:r>
          </w:p>
        </w:tc>
        <w:tc>
          <w:tcPr>
            <w:tcW w:w="883" w:type="pct"/>
            <w:vAlign w:val="center"/>
          </w:tcPr>
          <w:p w14:paraId="080ACBD6">
            <w:pPr>
              <w:widowControl/>
              <w:spacing w:line="240" w:lineRule="auto"/>
              <w:ind w:firstLine="0" w:firstLineChars="0"/>
              <w:jc w:val="center"/>
              <w:rPr>
                <w:rFonts w:ascii="Calibri" w:hAnsi="Calibri" w:cs="Times New Roman"/>
                <w:bCs/>
                <w:sz w:val="21"/>
              </w:rPr>
            </w:pPr>
            <w:r>
              <w:rPr>
                <w:rFonts w:ascii="Calibri" w:hAnsi="Calibri" w:cs="Times New Roman"/>
                <w:bCs/>
                <w:sz w:val="21"/>
              </w:rPr>
              <w:t>杉木抚育采伐</w:t>
            </w:r>
          </w:p>
        </w:tc>
        <w:tc>
          <w:tcPr>
            <w:tcW w:w="656" w:type="pct"/>
            <w:vAlign w:val="center"/>
          </w:tcPr>
          <w:p w14:paraId="213A7336">
            <w:pPr>
              <w:widowControl/>
              <w:spacing w:line="240" w:lineRule="auto"/>
              <w:ind w:firstLine="0" w:firstLineChars="0"/>
              <w:jc w:val="center"/>
              <w:rPr>
                <w:rFonts w:ascii="Calibri" w:hAnsi="Calibri" w:cs="Times New Roman"/>
                <w:bCs/>
                <w:sz w:val="21"/>
              </w:rPr>
            </w:pPr>
            <w:r>
              <w:rPr>
                <w:rFonts w:hint="eastAsia" w:ascii="Calibri" w:hAnsi="Calibri" w:cs="Times New Roman"/>
                <w:bCs/>
                <w:sz w:val="21"/>
                <w:lang w:eastAsia="zh-CN"/>
              </w:rPr>
              <w:t>其他</w:t>
            </w:r>
            <w:r>
              <w:rPr>
                <w:rFonts w:ascii="Calibri" w:hAnsi="Calibri" w:cs="Times New Roman"/>
                <w:bCs/>
                <w:sz w:val="21"/>
              </w:rPr>
              <w:t>采伐</w:t>
            </w:r>
          </w:p>
        </w:tc>
        <w:tc>
          <w:tcPr>
            <w:tcW w:w="1260" w:type="pct"/>
            <w:vAlign w:val="center"/>
          </w:tcPr>
          <w:p w14:paraId="5A62A75F">
            <w:pPr>
              <w:widowControl/>
              <w:spacing w:line="240" w:lineRule="auto"/>
              <w:ind w:firstLine="0" w:firstLineChars="0"/>
              <w:jc w:val="center"/>
              <w:rPr>
                <w:rFonts w:ascii="Calibri" w:hAnsi="Calibri" w:cs="Times New Roman"/>
                <w:bCs/>
                <w:sz w:val="21"/>
              </w:rPr>
            </w:pPr>
            <w:r>
              <w:rPr>
                <w:rFonts w:ascii="Calibri" w:hAnsi="Calibri" w:cs="Times New Roman"/>
                <w:bCs/>
                <w:sz w:val="21"/>
              </w:rPr>
              <w:t>备注</w:t>
            </w:r>
          </w:p>
        </w:tc>
      </w:tr>
      <w:tr w14:paraId="58852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96" w:type="pct"/>
          </w:tcPr>
          <w:p w14:paraId="611A72AA">
            <w:pPr>
              <w:widowControl/>
              <w:spacing w:line="240" w:lineRule="auto"/>
              <w:ind w:firstLine="0" w:firstLineChars="0"/>
              <w:jc w:val="center"/>
              <w:rPr>
                <w:rFonts w:ascii="Calibri" w:hAnsi="Calibri" w:cs="Times New Roman"/>
                <w:sz w:val="21"/>
              </w:rPr>
            </w:pPr>
            <w:r>
              <w:rPr>
                <w:rFonts w:ascii="Calibri" w:hAnsi="Calibri" w:cs="Times New Roman"/>
                <w:sz w:val="21"/>
              </w:rPr>
              <w:t>合计</w:t>
            </w:r>
          </w:p>
        </w:tc>
        <w:tc>
          <w:tcPr>
            <w:tcW w:w="802" w:type="pct"/>
            <w:vAlign w:val="center"/>
          </w:tcPr>
          <w:p w14:paraId="4EADCFA7">
            <w:pPr>
              <w:widowControl/>
              <w:spacing w:line="240" w:lineRule="auto"/>
              <w:ind w:firstLine="0" w:firstLineChars="0"/>
              <w:jc w:val="center"/>
              <w:rPr>
                <w:rFonts w:ascii="Calibri" w:hAnsi="Calibri" w:cs="Times New Roman"/>
                <w:sz w:val="21"/>
              </w:rPr>
            </w:pPr>
            <w:r>
              <w:rPr>
                <w:rFonts w:ascii="Calibri" w:hAnsi="Calibri" w:cs="Times New Roman"/>
                <w:sz w:val="21"/>
              </w:rPr>
              <w:t>502</w:t>
            </w:r>
          </w:p>
        </w:tc>
        <w:tc>
          <w:tcPr>
            <w:tcW w:w="883" w:type="pct"/>
            <w:vAlign w:val="center"/>
          </w:tcPr>
          <w:p w14:paraId="7D042915">
            <w:pPr>
              <w:widowControl/>
              <w:spacing w:line="240" w:lineRule="auto"/>
              <w:ind w:firstLine="0" w:firstLineChars="0"/>
              <w:jc w:val="center"/>
              <w:rPr>
                <w:rFonts w:ascii="Calibri" w:hAnsi="Calibri" w:cs="Times New Roman"/>
                <w:sz w:val="21"/>
              </w:rPr>
            </w:pPr>
            <w:r>
              <w:rPr>
                <w:rFonts w:ascii="Calibri" w:hAnsi="Calibri" w:cs="Times New Roman"/>
                <w:sz w:val="21"/>
              </w:rPr>
              <w:t>720</w:t>
            </w:r>
          </w:p>
        </w:tc>
        <w:tc>
          <w:tcPr>
            <w:tcW w:w="656" w:type="pct"/>
            <w:vAlign w:val="center"/>
          </w:tcPr>
          <w:p w14:paraId="23A90EA8">
            <w:pPr>
              <w:widowControl/>
              <w:spacing w:line="240" w:lineRule="auto"/>
              <w:ind w:firstLine="0" w:firstLineChars="0"/>
              <w:jc w:val="center"/>
              <w:rPr>
                <w:rFonts w:ascii="Calibri" w:hAnsi="Calibri" w:cs="Times New Roman"/>
                <w:sz w:val="21"/>
              </w:rPr>
            </w:pPr>
            <w:r>
              <w:rPr>
                <w:rFonts w:ascii="Calibri" w:hAnsi="Calibri" w:cs="Times New Roman"/>
                <w:sz w:val="21"/>
              </w:rPr>
              <w:t>502</w:t>
            </w:r>
          </w:p>
        </w:tc>
        <w:tc>
          <w:tcPr>
            <w:tcW w:w="1260" w:type="pct"/>
            <w:vMerge w:val="restart"/>
            <w:vAlign w:val="center"/>
          </w:tcPr>
          <w:p w14:paraId="27A3F89B">
            <w:pPr>
              <w:widowControl/>
              <w:spacing w:line="240" w:lineRule="auto"/>
              <w:ind w:firstLine="0" w:firstLineChars="0"/>
              <w:jc w:val="center"/>
              <w:rPr>
                <w:rFonts w:ascii="Calibri" w:hAnsi="Calibri" w:cs="Times New Roman"/>
                <w:sz w:val="21"/>
                <w:lang w:eastAsia="zh-CN"/>
              </w:rPr>
            </w:pPr>
            <w:r>
              <w:rPr>
                <w:rFonts w:ascii="Calibri" w:hAnsi="Calibri" w:cs="Times New Roman"/>
                <w:sz w:val="21"/>
                <w:lang w:eastAsia="zh-CN"/>
              </w:rPr>
              <w:t>林场可采伐利用树种比较单一，</w:t>
            </w:r>
            <w:r>
              <w:rPr>
                <w:rFonts w:hint="eastAsia" w:ascii="Calibri" w:hAnsi="Calibri" w:cs="Times New Roman"/>
                <w:sz w:val="21"/>
                <w:lang w:eastAsia="zh-CN"/>
              </w:rPr>
              <w:t>其他</w:t>
            </w:r>
            <w:r>
              <w:rPr>
                <w:rFonts w:ascii="Calibri" w:hAnsi="Calibri" w:cs="Times New Roman"/>
                <w:sz w:val="21"/>
                <w:lang w:eastAsia="zh-CN"/>
              </w:rPr>
              <w:t>采伐主要包括森林防火、病虫害等，树种多为杉木。</w:t>
            </w:r>
          </w:p>
        </w:tc>
      </w:tr>
      <w:tr w14:paraId="7C322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96" w:type="pct"/>
          </w:tcPr>
          <w:p w14:paraId="0740A7E3">
            <w:pPr>
              <w:widowControl/>
              <w:spacing w:line="240" w:lineRule="auto"/>
              <w:ind w:firstLine="0" w:firstLineChars="0"/>
              <w:jc w:val="center"/>
              <w:rPr>
                <w:rFonts w:ascii="Calibri" w:hAnsi="Calibri" w:cs="Times New Roman"/>
                <w:sz w:val="21"/>
              </w:rPr>
            </w:pPr>
            <w:r>
              <w:rPr>
                <w:rFonts w:hint="eastAsia" w:ascii="Calibri" w:hAnsi="Calibri" w:cs="宋体"/>
                <w:sz w:val="21"/>
              </w:rPr>
              <w:t>①</w:t>
            </w:r>
            <w:r>
              <w:rPr>
                <w:rFonts w:ascii="Calibri" w:hAnsi="Calibri" w:cs="Times New Roman"/>
                <w:sz w:val="21"/>
              </w:rPr>
              <w:t>伐区设计费</w:t>
            </w:r>
          </w:p>
        </w:tc>
        <w:tc>
          <w:tcPr>
            <w:tcW w:w="802" w:type="pct"/>
            <w:vAlign w:val="center"/>
          </w:tcPr>
          <w:p w14:paraId="567561D1">
            <w:pPr>
              <w:widowControl/>
              <w:spacing w:line="240" w:lineRule="auto"/>
              <w:ind w:firstLine="0" w:firstLineChars="0"/>
              <w:jc w:val="center"/>
              <w:rPr>
                <w:rFonts w:ascii="Calibri" w:hAnsi="Calibri" w:cs="Times New Roman"/>
                <w:sz w:val="21"/>
              </w:rPr>
            </w:pPr>
            <w:r>
              <w:rPr>
                <w:rFonts w:ascii="Calibri" w:hAnsi="Calibri" w:cs="Times New Roman"/>
                <w:sz w:val="21"/>
              </w:rPr>
              <w:t>5</w:t>
            </w:r>
          </w:p>
        </w:tc>
        <w:tc>
          <w:tcPr>
            <w:tcW w:w="883" w:type="pct"/>
            <w:vAlign w:val="center"/>
          </w:tcPr>
          <w:p w14:paraId="70366B29">
            <w:pPr>
              <w:widowControl/>
              <w:spacing w:line="240" w:lineRule="auto"/>
              <w:ind w:firstLine="0" w:firstLineChars="0"/>
              <w:jc w:val="center"/>
              <w:rPr>
                <w:rFonts w:ascii="Calibri" w:hAnsi="Calibri" w:cs="Times New Roman"/>
                <w:sz w:val="21"/>
              </w:rPr>
            </w:pPr>
            <w:r>
              <w:rPr>
                <w:rFonts w:ascii="Calibri" w:hAnsi="Calibri" w:cs="Times New Roman"/>
                <w:sz w:val="21"/>
              </w:rPr>
              <w:t>5</w:t>
            </w:r>
          </w:p>
        </w:tc>
        <w:tc>
          <w:tcPr>
            <w:tcW w:w="656" w:type="pct"/>
            <w:vAlign w:val="center"/>
          </w:tcPr>
          <w:p w14:paraId="72B9F4BC">
            <w:pPr>
              <w:widowControl/>
              <w:spacing w:line="240" w:lineRule="auto"/>
              <w:ind w:firstLine="0" w:firstLineChars="0"/>
              <w:jc w:val="center"/>
              <w:rPr>
                <w:rFonts w:ascii="Calibri" w:hAnsi="Calibri" w:cs="Times New Roman"/>
                <w:sz w:val="21"/>
              </w:rPr>
            </w:pPr>
            <w:r>
              <w:rPr>
                <w:rFonts w:ascii="Calibri" w:hAnsi="Calibri" w:cs="Times New Roman"/>
                <w:sz w:val="21"/>
              </w:rPr>
              <w:t>5</w:t>
            </w:r>
          </w:p>
        </w:tc>
        <w:tc>
          <w:tcPr>
            <w:tcW w:w="1260" w:type="pct"/>
            <w:vMerge w:val="continue"/>
            <w:vAlign w:val="center"/>
          </w:tcPr>
          <w:p w14:paraId="62EEBF6A">
            <w:pPr>
              <w:widowControl/>
              <w:spacing w:line="240" w:lineRule="auto"/>
              <w:ind w:firstLine="0" w:firstLineChars="0"/>
              <w:jc w:val="center"/>
              <w:rPr>
                <w:rFonts w:ascii="Calibri" w:hAnsi="Calibri" w:cs="Times New Roman"/>
                <w:sz w:val="21"/>
              </w:rPr>
            </w:pPr>
          </w:p>
        </w:tc>
      </w:tr>
      <w:tr w14:paraId="183F3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96" w:type="pct"/>
          </w:tcPr>
          <w:p w14:paraId="2C11522D">
            <w:pPr>
              <w:widowControl/>
              <w:spacing w:line="240" w:lineRule="auto"/>
              <w:ind w:firstLine="0" w:firstLineChars="0"/>
              <w:jc w:val="center"/>
              <w:rPr>
                <w:rFonts w:ascii="Calibri" w:hAnsi="Calibri" w:cs="Times New Roman"/>
                <w:sz w:val="21"/>
              </w:rPr>
            </w:pPr>
            <w:r>
              <w:rPr>
                <w:rFonts w:hint="eastAsia" w:ascii="Calibri" w:hAnsi="Calibri" w:cs="宋体"/>
                <w:sz w:val="21"/>
              </w:rPr>
              <w:t>②</w:t>
            </w:r>
            <w:r>
              <w:rPr>
                <w:rFonts w:ascii="Calibri" w:hAnsi="Calibri" w:cs="Times New Roman"/>
                <w:sz w:val="21"/>
              </w:rPr>
              <w:t>砍伐</w:t>
            </w:r>
          </w:p>
        </w:tc>
        <w:tc>
          <w:tcPr>
            <w:tcW w:w="802" w:type="pct"/>
            <w:vAlign w:val="center"/>
          </w:tcPr>
          <w:p w14:paraId="2F8A49E9">
            <w:pPr>
              <w:widowControl/>
              <w:spacing w:line="240" w:lineRule="auto"/>
              <w:ind w:firstLine="0" w:firstLineChars="0"/>
              <w:jc w:val="center"/>
              <w:rPr>
                <w:rFonts w:ascii="Calibri" w:hAnsi="Calibri" w:cs="Times New Roman"/>
                <w:sz w:val="21"/>
              </w:rPr>
            </w:pPr>
            <w:r>
              <w:rPr>
                <w:rFonts w:ascii="Calibri" w:hAnsi="Calibri" w:cs="Times New Roman"/>
                <w:sz w:val="21"/>
              </w:rPr>
              <w:t>300</w:t>
            </w:r>
          </w:p>
        </w:tc>
        <w:tc>
          <w:tcPr>
            <w:tcW w:w="883" w:type="pct"/>
            <w:vAlign w:val="center"/>
          </w:tcPr>
          <w:p w14:paraId="67424702">
            <w:pPr>
              <w:widowControl/>
              <w:spacing w:line="240" w:lineRule="auto"/>
              <w:ind w:firstLine="0" w:firstLineChars="0"/>
              <w:jc w:val="center"/>
              <w:rPr>
                <w:rFonts w:ascii="Calibri" w:hAnsi="Calibri" w:cs="Times New Roman"/>
                <w:sz w:val="21"/>
              </w:rPr>
            </w:pPr>
            <w:r>
              <w:rPr>
                <w:rFonts w:ascii="Calibri" w:hAnsi="Calibri" w:cs="Times New Roman"/>
                <w:sz w:val="21"/>
              </w:rPr>
              <w:t>550</w:t>
            </w:r>
          </w:p>
        </w:tc>
        <w:tc>
          <w:tcPr>
            <w:tcW w:w="656" w:type="pct"/>
            <w:vAlign w:val="center"/>
          </w:tcPr>
          <w:p w14:paraId="74AB0FFC">
            <w:pPr>
              <w:widowControl/>
              <w:spacing w:line="240" w:lineRule="auto"/>
              <w:ind w:firstLine="0" w:firstLineChars="0"/>
              <w:jc w:val="center"/>
              <w:rPr>
                <w:rFonts w:ascii="Calibri" w:hAnsi="Calibri" w:cs="Times New Roman"/>
                <w:sz w:val="21"/>
              </w:rPr>
            </w:pPr>
            <w:r>
              <w:rPr>
                <w:rFonts w:ascii="Calibri" w:hAnsi="Calibri" w:cs="Times New Roman"/>
                <w:sz w:val="21"/>
              </w:rPr>
              <w:t>300</w:t>
            </w:r>
          </w:p>
        </w:tc>
        <w:tc>
          <w:tcPr>
            <w:tcW w:w="1260" w:type="pct"/>
            <w:vMerge w:val="continue"/>
            <w:vAlign w:val="center"/>
          </w:tcPr>
          <w:p w14:paraId="619124D7">
            <w:pPr>
              <w:widowControl/>
              <w:spacing w:line="240" w:lineRule="auto"/>
              <w:ind w:firstLine="0" w:firstLineChars="0"/>
              <w:jc w:val="center"/>
              <w:rPr>
                <w:rFonts w:ascii="Calibri" w:hAnsi="Calibri" w:cs="Times New Roman"/>
                <w:sz w:val="21"/>
              </w:rPr>
            </w:pPr>
          </w:p>
        </w:tc>
      </w:tr>
      <w:tr w14:paraId="371C7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96" w:type="pct"/>
          </w:tcPr>
          <w:p w14:paraId="4BC76DC1">
            <w:pPr>
              <w:widowControl/>
              <w:spacing w:line="240" w:lineRule="auto"/>
              <w:ind w:firstLine="0" w:firstLineChars="0"/>
              <w:jc w:val="center"/>
              <w:rPr>
                <w:rFonts w:ascii="Calibri" w:hAnsi="Calibri" w:cs="Times New Roman"/>
                <w:sz w:val="21"/>
              </w:rPr>
            </w:pPr>
            <w:r>
              <w:rPr>
                <w:rFonts w:hint="eastAsia" w:ascii="Calibri" w:hAnsi="Calibri" w:cs="宋体"/>
                <w:sz w:val="21"/>
              </w:rPr>
              <w:t>③</w:t>
            </w:r>
            <w:r>
              <w:rPr>
                <w:rFonts w:ascii="Calibri" w:hAnsi="Calibri" w:cs="Times New Roman"/>
                <w:sz w:val="21"/>
              </w:rPr>
              <w:t>短途运输成本</w:t>
            </w:r>
          </w:p>
        </w:tc>
        <w:tc>
          <w:tcPr>
            <w:tcW w:w="802" w:type="pct"/>
            <w:vAlign w:val="center"/>
          </w:tcPr>
          <w:p w14:paraId="3CCA6CE4">
            <w:pPr>
              <w:widowControl/>
              <w:spacing w:line="240" w:lineRule="auto"/>
              <w:ind w:firstLine="0" w:firstLineChars="0"/>
              <w:jc w:val="center"/>
              <w:rPr>
                <w:rFonts w:ascii="Calibri" w:hAnsi="Calibri" w:cs="Times New Roman"/>
                <w:sz w:val="21"/>
              </w:rPr>
            </w:pPr>
            <w:r>
              <w:rPr>
                <w:rFonts w:ascii="Calibri" w:hAnsi="Calibri" w:cs="Times New Roman"/>
                <w:sz w:val="21"/>
              </w:rPr>
              <w:t>120</w:t>
            </w:r>
          </w:p>
        </w:tc>
        <w:tc>
          <w:tcPr>
            <w:tcW w:w="883" w:type="pct"/>
            <w:vAlign w:val="center"/>
          </w:tcPr>
          <w:p w14:paraId="3CC03042">
            <w:pPr>
              <w:widowControl/>
              <w:spacing w:line="240" w:lineRule="auto"/>
              <w:ind w:firstLine="0" w:firstLineChars="0"/>
              <w:jc w:val="center"/>
              <w:rPr>
                <w:rFonts w:ascii="Calibri" w:hAnsi="Calibri" w:cs="Times New Roman"/>
                <w:sz w:val="21"/>
              </w:rPr>
            </w:pPr>
            <w:r>
              <w:rPr>
                <w:rFonts w:ascii="Calibri" w:hAnsi="Calibri" w:cs="Times New Roman"/>
                <w:sz w:val="21"/>
              </w:rPr>
              <w:t>150</w:t>
            </w:r>
          </w:p>
        </w:tc>
        <w:tc>
          <w:tcPr>
            <w:tcW w:w="656" w:type="pct"/>
            <w:vAlign w:val="center"/>
          </w:tcPr>
          <w:p w14:paraId="34082E1E">
            <w:pPr>
              <w:widowControl/>
              <w:spacing w:line="240" w:lineRule="auto"/>
              <w:ind w:firstLine="0" w:firstLineChars="0"/>
              <w:jc w:val="center"/>
              <w:rPr>
                <w:rFonts w:ascii="Calibri" w:hAnsi="Calibri" w:cs="Times New Roman"/>
                <w:sz w:val="21"/>
              </w:rPr>
            </w:pPr>
            <w:r>
              <w:rPr>
                <w:rFonts w:ascii="Calibri" w:hAnsi="Calibri" w:cs="Times New Roman"/>
                <w:sz w:val="21"/>
              </w:rPr>
              <w:t>120</w:t>
            </w:r>
          </w:p>
        </w:tc>
        <w:tc>
          <w:tcPr>
            <w:tcW w:w="1260" w:type="pct"/>
            <w:vMerge w:val="continue"/>
            <w:vAlign w:val="center"/>
          </w:tcPr>
          <w:p w14:paraId="38DDFC15">
            <w:pPr>
              <w:widowControl/>
              <w:spacing w:line="240" w:lineRule="auto"/>
              <w:ind w:firstLine="0" w:firstLineChars="0"/>
              <w:jc w:val="center"/>
              <w:rPr>
                <w:rFonts w:ascii="Calibri" w:hAnsi="Calibri" w:cs="Times New Roman"/>
                <w:sz w:val="21"/>
              </w:rPr>
            </w:pPr>
          </w:p>
        </w:tc>
      </w:tr>
      <w:tr w14:paraId="2BF48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96" w:type="pct"/>
          </w:tcPr>
          <w:p w14:paraId="5A95A97E">
            <w:pPr>
              <w:widowControl/>
              <w:spacing w:line="240" w:lineRule="auto"/>
              <w:ind w:firstLine="0" w:firstLineChars="0"/>
              <w:jc w:val="center"/>
              <w:rPr>
                <w:rFonts w:ascii="Calibri" w:hAnsi="Calibri" w:cs="Times New Roman"/>
                <w:sz w:val="21"/>
              </w:rPr>
            </w:pPr>
            <w:r>
              <w:rPr>
                <w:rFonts w:hint="eastAsia" w:ascii="Calibri" w:hAnsi="Calibri" w:cs="宋体"/>
                <w:sz w:val="21"/>
              </w:rPr>
              <w:t>④</w:t>
            </w:r>
            <w:r>
              <w:rPr>
                <w:rFonts w:ascii="Calibri" w:hAnsi="Calibri" w:cs="Times New Roman"/>
                <w:sz w:val="21"/>
              </w:rPr>
              <w:t>装卸车费</w:t>
            </w:r>
          </w:p>
        </w:tc>
        <w:tc>
          <w:tcPr>
            <w:tcW w:w="802" w:type="pct"/>
            <w:vAlign w:val="center"/>
          </w:tcPr>
          <w:p w14:paraId="3A942ACE">
            <w:pPr>
              <w:widowControl/>
              <w:spacing w:line="240" w:lineRule="auto"/>
              <w:ind w:firstLine="0" w:firstLineChars="0"/>
              <w:jc w:val="center"/>
              <w:rPr>
                <w:rFonts w:ascii="Calibri" w:hAnsi="Calibri" w:cs="Times New Roman"/>
                <w:sz w:val="21"/>
              </w:rPr>
            </w:pPr>
            <w:r>
              <w:rPr>
                <w:rFonts w:ascii="Calibri" w:hAnsi="Calibri" w:cs="Times New Roman"/>
                <w:sz w:val="21"/>
              </w:rPr>
              <w:t>60</w:t>
            </w:r>
          </w:p>
        </w:tc>
        <w:tc>
          <w:tcPr>
            <w:tcW w:w="883" w:type="pct"/>
            <w:vAlign w:val="center"/>
          </w:tcPr>
          <w:p w14:paraId="613AE71E">
            <w:pPr>
              <w:widowControl/>
              <w:spacing w:line="240" w:lineRule="auto"/>
              <w:ind w:firstLine="0" w:firstLineChars="0"/>
              <w:jc w:val="center"/>
              <w:rPr>
                <w:rFonts w:ascii="Calibri" w:hAnsi="Calibri" w:cs="Times New Roman"/>
                <w:sz w:val="21"/>
              </w:rPr>
            </w:pPr>
            <w:r>
              <w:rPr>
                <w:rFonts w:ascii="Calibri" w:hAnsi="Calibri" w:cs="Times New Roman"/>
                <w:sz w:val="21"/>
              </w:rPr>
              <w:t>60</w:t>
            </w:r>
          </w:p>
        </w:tc>
        <w:tc>
          <w:tcPr>
            <w:tcW w:w="656" w:type="pct"/>
            <w:vAlign w:val="center"/>
          </w:tcPr>
          <w:p w14:paraId="2BC15246">
            <w:pPr>
              <w:widowControl/>
              <w:spacing w:line="240" w:lineRule="auto"/>
              <w:ind w:firstLine="0" w:firstLineChars="0"/>
              <w:jc w:val="center"/>
              <w:rPr>
                <w:rFonts w:ascii="Calibri" w:hAnsi="Calibri" w:cs="Times New Roman"/>
                <w:sz w:val="21"/>
              </w:rPr>
            </w:pPr>
            <w:r>
              <w:rPr>
                <w:rFonts w:ascii="Calibri" w:hAnsi="Calibri" w:cs="Times New Roman"/>
                <w:sz w:val="21"/>
              </w:rPr>
              <w:t>60</w:t>
            </w:r>
          </w:p>
        </w:tc>
        <w:tc>
          <w:tcPr>
            <w:tcW w:w="1260" w:type="pct"/>
            <w:vMerge w:val="continue"/>
            <w:vAlign w:val="center"/>
          </w:tcPr>
          <w:p w14:paraId="327E223E">
            <w:pPr>
              <w:widowControl/>
              <w:spacing w:line="240" w:lineRule="auto"/>
              <w:ind w:firstLine="0" w:firstLineChars="0"/>
              <w:jc w:val="center"/>
              <w:rPr>
                <w:rFonts w:ascii="Calibri" w:hAnsi="Calibri" w:cs="Times New Roman"/>
                <w:sz w:val="21"/>
              </w:rPr>
            </w:pPr>
          </w:p>
        </w:tc>
      </w:tr>
      <w:tr w14:paraId="69D8F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96" w:type="pct"/>
          </w:tcPr>
          <w:p w14:paraId="5E7AFDA0">
            <w:pPr>
              <w:widowControl/>
              <w:spacing w:line="240" w:lineRule="auto"/>
              <w:ind w:firstLine="0" w:firstLineChars="0"/>
              <w:jc w:val="center"/>
              <w:rPr>
                <w:rFonts w:ascii="Calibri" w:hAnsi="Calibri" w:cs="Times New Roman"/>
                <w:sz w:val="21"/>
              </w:rPr>
            </w:pPr>
            <w:r>
              <w:rPr>
                <w:rFonts w:hint="eastAsia" w:ascii="Calibri" w:hAnsi="Calibri" w:cs="宋体"/>
                <w:sz w:val="21"/>
              </w:rPr>
              <w:t>⑤</w:t>
            </w:r>
            <w:r>
              <w:rPr>
                <w:rFonts w:ascii="Calibri" w:hAnsi="Calibri" w:cs="Times New Roman"/>
                <w:sz w:val="21"/>
              </w:rPr>
              <w:t>销售费=销售基价1%</w:t>
            </w:r>
          </w:p>
        </w:tc>
        <w:tc>
          <w:tcPr>
            <w:tcW w:w="802" w:type="pct"/>
            <w:vAlign w:val="center"/>
          </w:tcPr>
          <w:p w14:paraId="2F60DC96">
            <w:pPr>
              <w:widowControl/>
              <w:spacing w:line="240" w:lineRule="auto"/>
              <w:ind w:firstLine="0" w:firstLineChars="0"/>
              <w:jc w:val="center"/>
              <w:rPr>
                <w:rFonts w:ascii="Calibri" w:hAnsi="Calibri" w:cs="Times New Roman"/>
                <w:sz w:val="21"/>
              </w:rPr>
            </w:pPr>
            <w:r>
              <w:rPr>
                <w:rFonts w:ascii="Calibri" w:hAnsi="Calibri" w:cs="Times New Roman"/>
                <w:sz w:val="21"/>
              </w:rPr>
              <w:t>8</w:t>
            </w:r>
          </w:p>
        </w:tc>
        <w:tc>
          <w:tcPr>
            <w:tcW w:w="883" w:type="pct"/>
            <w:vAlign w:val="center"/>
          </w:tcPr>
          <w:p w14:paraId="31FB2AD4">
            <w:pPr>
              <w:widowControl/>
              <w:spacing w:line="240" w:lineRule="auto"/>
              <w:ind w:firstLine="0" w:firstLineChars="0"/>
              <w:jc w:val="center"/>
              <w:rPr>
                <w:rFonts w:ascii="Calibri" w:hAnsi="Calibri" w:cs="Times New Roman"/>
                <w:sz w:val="21"/>
              </w:rPr>
            </w:pPr>
            <w:r>
              <w:rPr>
                <w:rFonts w:ascii="Calibri" w:hAnsi="Calibri" w:cs="Times New Roman"/>
                <w:sz w:val="21"/>
              </w:rPr>
              <w:t>7</w:t>
            </w:r>
          </w:p>
        </w:tc>
        <w:tc>
          <w:tcPr>
            <w:tcW w:w="656" w:type="pct"/>
            <w:vAlign w:val="center"/>
          </w:tcPr>
          <w:p w14:paraId="0BA6D3AC">
            <w:pPr>
              <w:widowControl/>
              <w:spacing w:line="240" w:lineRule="auto"/>
              <w:ind w:firstLine="0" w:firstLineChars="0"/>
              <w:jc w:val="center"/>
              <w:rPr>
                <w:rFonts w:ascii="Calibri" w:hAnsi="Calibri" w:cs="Times New Roman"/>
                <w:sz w:val="21"/>
              </w:rPr>
            </w:pPr>
            <w:r>
              <w:rPr>
                <w:rFonts w:ascii="Calibri" w:hAnsi="Calibri" w:cs="Times New Roman"/>
                <w:sz w:val="21"/>
              </w:rPr>
              <w:t>8</w:t>
            </w:r>
          </w:p>
        </w:tc>
        <w:tc>
          <w:tcPr>
            <w:tcW w:w="1260" w:type="pct"/>
            <w:vMerge w:val="continue"/>
            <w:vAlign w:val="center"/>
          </w:tcPr>
          <w:p w14:paraId="1A1319FF">
            <w:pPr>
              <w:widowControl/>
              <w:spacing w:line="240" w:lineRule="auto"/>
              <w:ind w:firstLine="0" w:firstLineChars="0"/>
              <w:jc w:val="center"/>
              <w:rPr>
                <w:rFonts w:ascii="Calibri" w:hAnsi="Calibri" w:cs="Times New Roman"/>
                <w:sz w:val="21"/>
              </w:rPr>
            </w:pPr>
          </w:p>
        </w:tc>
      </w:tr>
      <w:tr w14:paraId="00FBF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96" w:type="pct"/>
          </w:tcPr>
          <w:p w14:paraId="44249431">
            <w:pPr>
              <w:widowControl/>
              <w:spacing w:line="240" w:lineRule="auto"/>
              <w:ind w:firstLine="0" w:firstLineChars="0"/>
              <w:jc w:val="center"/>
              <w:rPr>
                <w:rFonts w:ascii="Calibri" w:hAnsi="Calibri" w:cs="Times New Roman"/>
                <w:sz w:val="21"/>
                <w:lang w:eastAsia="zh-CN"/>
              </w:rPr>
            </w:pPr>
            <w:r>
              <w:rPr>
                <w:rFonts w:hint="eastAsia" w:ascii="Calibri" w:hAnsi="Calibri" w:cs="宋体"/>
                <w:sz w:val="21"/>
                <w:lang w:eastAsia="zh-CN"/>
              </w:rPr>
              <w:t>⑥</w:t>
            </w:r>
            <w:r>
              <w:rPr>
                <w:rFonts w:ascii="Calibri" w:hAnsi="Calibri" w:cs="Times New Roman"/>
                <w:sz w:val="21"/>
                <w:lang w:eastAsia="zh-CN"/>
              </w:rPr>
              <w:t>采伐不可预见费=销售基价1%</w:t>
            </w:r>
          </w:p>
        </w:tc>
        <w:tc>
          <w:tcPr>
            <w:tcW w:w="802" w:type="pct"/>
            <w:vAlign w:val="center"/>
          </w:tcPr>
          <w:p w14:paraId="4A55ED8C">
            <w:pPr>
              <w:widowControl/>
              <w:spacing w:line="240" w:lineRule="auto"/>
              <w:ind w:firstLine="0" w:firstLineChars="0"/>
              <w:jc w:val="center"/>
              <w:rPr>
                <w:rFonts w:ascii="Calibri" w:hAnsi="Calibri" w:cs="Times New Roman"/>
                <w:sz w:val="21"/>
              </w:rPr>
            </w:pPr>
            <w:r>
              <w:rPr>
                <w:rFonts w:ascii="Calibri" w:hAnsi="Calibri" w:cs="Times New Roman"/>
                <w:sz w:val="21"/>
              </w:rPr>
              <w:t>8</w:t>
            </w:r>
          </w:p>
        </w:tc>
        <w:tc>
          <w:tcPr>
            <w:tcW w:w="883" w:type="pct"/>
            <w:vAlign w:val="center"/>
          </w:tcPr>
          <w:p w14:paraId="5D86F437">
            <w:pPr>
              <w:widowControl/>
              <w:spacing w:line="240" w:lineRule="auto"/>
              <w:ind w:firstLine="0" w:firstLineChars="0"/>
              <w:jc w:val="center"/>
              <w:rPr>
                <w:rFonts w:ascii="Calibri" w:hAnsi="Calibri" w:cs="Times New Roman"/>
                <w:sz w:val="21"/>
              </w:rPr>
            </w:pPr>
            <w:r>
              <w:rPr>
                <w:rFonts w:ascii="Calibri" w:hAnsi="Calibri" w:cs="Times New Roman"/>
                <w:sz w:val="21"/>
              </w:rPr>
              <w:t>7</w:t>
            </w:r>
          </w:p>
        </w:tc>
        <w:tc>
          <w:tcPr>
            <w:tcW w:w="656" w:type="pct"/>
            <w:vAlign w:val="center"/>
          </w:tcPr>
          <w:p w14:paraId="1D53D273">
            <w:pPr>
              <w:widowControl/>
              <w:spacing w:line="240" w:lineRule="auto"/>
              <w:ind w:firstLine="0" w:firstLineChars="0"/>
              <w:jc w:val="center"/>
              <w:rPr>
                <w:rFonts w:ascii="Calibri" w:hAnsi="Calibri" w:cs="Times New Roman"/>
                <w:sz w:val="21"/>
              </w:rPr>
            </w:pPr>
            <w:r>
              <w:rPr>
                <w:rFonts w:ascii="Calibri" w:hAnsi="Calibri" w:cs="Times New Roman"/>
                <w:sz w:val="21"/>
              </w:rPr>
              <w:t>8</w:t>
            </w:r>
          </w:p>
        </w:tc>
        <w:tc>
          <w:tcPr>
            <w:tcW w:w="1260" w:type="pct"/>
            <w:vMerge w:val="continue"/>
            <w:vAlign w:val="center"/>
          </w:tcPr>
          <w:p w14:paraId="33BD51E8">
            <w:pPr>
              <w:widowControl/>
              <w:spacing w:line="240" w:lineRule="auto"/>
              <w:ind w:firstLine="0" w:firstLineChars="0"/>
              <w:jc w:val="center"/>
              <w:rPr>
                <w:rFonts w:ascii="Calibri" w:hAnsi="Calibri" w:cs="Times New Roman"/>
                <w:sz w:val="21"/>
              </w:rPr>
            </w:pPr>
          </w:p>
        </w:tc>
      </w:tr>
      <w:tr w14:paraId="76621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96" w:type="pct"/>
          </w:tcPr>
          <w:p w14:paraId="5DA893F0">
            <w:pPr>
              <w:widowControl/>
              <w:spacing w:line="240" w:lineRule="auto"/>
              <w:ind w:firstLine="0" w:firstLineChars="0"/>
              <w:jc w:val="center"/>
              <w:rPr>
                <w:rFonts w:ascii="Calibri" w:hAnsi="Calibri" w:cs="Times New Roman"/>
                <w:sz w:val="21"/>
                <w:lang w:eastAsia="zh-CN"/>
              </w:rPr>
            </w:pPr>
            <w:r>
              <w:rPr>
                <w:rFonts w:hint="eastAsia" w:ascii="Calibri" w:hAnsi="Calibri" w:cs="宋体"/>
                <w:sz w:val="21"/>
                <w:lang w:eastAsia="zh-CN"/>
              </w:rPr>
              <w:t>⑦</w:t>
            </w:r>
            <w:r>
              <w:rPr>
                <w:rFonts w:ascii="Calibri" w:hAnsi="Calibri" w:cs="Times New Roman"/>
                <w:sz w:val="21"/>
                <w:lang w:eastAsia="zh-CN"/>
              </w:rPr>
              <w:t>森林植物检疫费=计征价1元/</w:t>
            </w:r>
            <w:r>
              <w:rPr>
                <w:rFonts w:hint="eastAsia" w:ascii="Calibri" w:hAnsi="Calibri" w:cs="Times New Roman"/>
                <w:sz w:val="21"/>
                <w:lang w:eastAsia="zh-CN"/>
              </w:rPr>
              <w:t>m</w:t>
            </w:r>
            <w:r>
              <w:rPr>
                <w:rFonts w:hint="eastAsia" w:ascii="Calibri" w:hAnsi="Calibri" w:cs="Times New Roman"/>
                <w:sz w:val="21"/>
                <w:vertAlign w:val="superscript"/>
                <w:lang w:eastAsia="zh-CN"/>
              </w:rPr>
              <w:t>3</w:t>
            </w:r>
            <w:r>
              <w:rPr>
                <w:rFonts w:ascii="Calibri" w:hAnsi="Calibri" w:cs="Times New Roman"/>
                <w:sz w:val="21"/>
                <w:lang w:eastAsia="zh-CN"/>
              </w:rPr>
              <w:t xml:space="preserve"> </w:t>
            </w:r>
          </w:p>
        </w:tc>
        <w:tc>
          <w:tcPr>
            <w:tcW w:w="802" w:type="pct"/>
            <w:vAlign w:val="center"/>
          </w:tcPr>
          <w:p w14:paraId="27403495">
            <w:pPr>
              <w:widowControl/>
              <w:spacing w:line="240" w:lineRule="auto"/>
              <w:ind w:firstLine="0" w:firstLineChars="0"/>
              <w:jc w:val="center"/>
              <w:rPr>
                <w:rFonts w:ascii="Calibri" w:hAnsi="Calibri" w:cs="Times New Roman"/>
                <w:sz w:val="21"/>
              </w:rPr>
            </w:pPr>
            <w:r>
              <w:rPr>
                <w:rFonts w:ascii="Calibri" w:hAnsi="Calibri" w:cs="Times New Roman"/>
                <w:sz w:val="21"/>
              </w:rPr>
              <w:t>1</w:t>
            </w:r>
          </w:p>
        </w:tc>
        <w:tc>
          <w:tcPr>
            <w:tcW w:w="883" w:type="pct"/>
            <w:vAlign w:val="center"/>
          </w:tcPr>
          <w:p w14:paraId="652E07A0">
            <w:pPr>
              <w:widowControl/>
              <w:spacing w:line="240" w:lineRule="auto"/>
              <w:ind w:firstLine="0" w:firstLineChars="0"/>
              <w:jc w:val="center"/>
              <w:rPr>
                <w:rFonts w:ascii="Calibri" w:hAnsi="Calibri" w:cs="Times New Roman"/>
                <w:sz w:val="21"/>
              </w:rPr>
            </w:pPr>
            <w:r>
              <w:rPr>
                <w:rFonts w:ascii="Calibri" w:hAnsi="Calibri" w:cs="Times New Roman"/>
                <w:sz w:val="21"/>
              </w:rPr>
              <w:t>1</w:t>
            </w:r>
          </w:p>
        </w:tc>
        <w:tc>
          <w:tcPr>
            <w:tcW w:w="656" w:type="pct"/>
            <w:vAlign w:val="center"/>
          </w:tcPr>
          <w:p w14:paraId="31E77A9D">
            <w:pPr>
              <w:widowControl/>
              <w:spacing w:line="240" w:lineRule="auto"/>
              <w:ind w:firstLine="0" w:firstLineChars="0"/>
              <w:jc w:val="center"/>
              <w:rPr>
                <w:rFonts w:ascii="Calibri" w:hAnsi="Calibri" w:cs="Times New Roman"/>
                <w:sz w:val="21"/>
              </w:rPr>
            </w:pPr>
            <w:r>
              <w:rPr>
                <w:rFonts w:ascii="Calibri" w:hAnsi="Calibri" w:cs="Times New Roman"/>
                <w:sz w:val="21"/>
              </w:rPr>
              <w:t>1</w:t>
            </w:r>
          </w:p>
        </w:tc>
        <w:tc>
          <w:tcPr>
            <w:tcW w:w="1260" w:type="pct"/>
            <w:vMerge w:val="continue"/>
            <w:vAlign w:val="center"/>
          </w:tcPr>
          <w:p w14:paraId="1857ABAF">
            <w:pPr>
              <w:widowControl/>
              <w:spacing w:line="240" w:lineRule="auto"/>
              <w:ind w:firstLine="0" w:firstLineChars="0"/>
              <w:jc w:val="center"/>
              <w:rPr>
                <w:rFonts w:ascii="Calibri" w:hAnsi="Calibri" w:cs="Times New Roman"/>
                <w:sz w:val="21"/>
              </w:rPr>
            </w:pPr>
          </w:p>
        </w:tc>
      </w:tr>
    </w:tbl>
    <w:p w14:paraId="2C77A93F">
      <w:pPr>
        <w:ind w:firstLine="360"/>
        <w:rPr>
          <w:sz w:val="18"/>
          <w:szCs w:val="18"/>
          <w:lang w:eastAsia="zh-CN"/>
        </w:rPr>
      </w:pPr>
      <w:r>
        <w:rPr>
          <w:rFonts w:hint="eastAsia"/>
          <w:sz w:val="18"/>
          <w:szCs w:val="18"/>
          <w:lang w:eastAsia="zh-CN"/>
        </w:rPr>
        <w:t>注：(1)更新采伐中，杉木的销售基价800元/</w:t>
      </w:r>
      <w:r>
        <w:rPr>
          <w:rFonts w:hint="eastAsia" w:cs="Times New Roman"/>
          <w:sz w:val="18"/>
          <w:szCs w:val="18"/>
          <w:lang w:eastAsia="zh-CN"/>
        </w:rPr>
        <w:t>m</w:t>
      </w:r>
      <w:r>
        <w:rPr>
          <w:rFonts w:hint="eastAsia" w:cs="Times New Roman"/>
          <w:sz w:val="18"/>
          <w:szCs w:val="18"/>
          <w:vertAlign w:val="superscript"/>
          <w:lang w:eastAsia="zh-CN"/>
        </w:rPr>
        <w:t>3</w:t>
      </w:r>
      <w:r>
        <w:rPr>
          <w:rFonts w:hint="eastAsia"/>
          <w:sz w:val="18"/>
          <w:szCs w:val="18"/>
          <w:lang w:eastAsia="zh-CN"/>
        </w:rPr>
        <w:t>，计征价800元/</w:t>
      </w:r>
      <w:r>
        <w:rPr>
          <w:rFonts w:hint="eastAsia" w:cs="Times New Roman"/>
          <w:sz w:val="18"/>
          <w:szCs w:val="18"/>
          <w:lang w:eastAsia="zh-CN"/>
        </w:rPr>
        <w:t>m</w:t>
      </w:r>
      <w:r>
        <w:rPr>
          <w:rFonts w:hint="eastAsia" w:cs="Times New Roman"/>
          <w:sz w:val="18"/>
          <w:szCs w:val="18"/>
          <w:vertAlign w:val="superscript"/>
          <w:lang w:eastAsia="zh-CN"/>
        </w:rPr>
        <w:t>3</w:t>
      </w:r>
      <w:r>
        <w:rPr>
          <w:rFonts w:hint="eastAsia"/>
          <w:sz w:val="18"/>
          <w:szCs w:val="18"/>
          <w:lang w:eastAsia="zh-CN"/>
        </w:rPr>
        <w:t>。(2)抚育采伐中，杉木的销售基价700元/</w:t>
      </w:r>
      <w:r>
        <w:rPr>
          <w:rFonts w:hint="eastAsia" w:cs="Times New Roman"/>
          <w:sz w:val="18"/>
          <w:szCs w:val="18"/>
          <w:lang w:eastAsia="zh-CN"/>
        </w:rPr>
        <w:t>m</w:t>
      </w:r>
      <w:r>
        <w:rPr>
          <w:rFonts w:hint="eastAsia" w:cs="Times New Roman"/>
          <w:sz w:val="18"/>
          <w:szCs w:val="18"/>
          <w:vertAlign w:val="superscript"/>
          <w:lang w:eastAsia="zh-CN"/>
        </w:rPr>
        <w:t>3</w:t>
      </w:r>
      <w:r>
        <w:rPr>
          <w:rFonts w:hint="eastAsia"/>
          <w:sz w:val="18"/>
          <w:szCs w:val="18"/>
          <w:lang w:eastAsia="zh-CN"/>
        </w:rPr>
        <w:t>，计征价700元/</w:t>
      </w:r>
      <w:r>
        <w:rPr>
          <w:rFonts w:hint="eastAsia" w:cs="Times New Roman"/>
          <w:sz w:val="18"/>
          <w:szCs w:val="18"/>
          <w:lang w:eastAsia="zh-CN"/>
        </w:rPr>
        <w:t>m</w:t>
      </w:r>
      <w:r>
        <w:rPr>
          <w:rFonts w:hint="eastAsia" w:cs="Times New Roman"/>
          <w:sz w:val="18"/>
          <w:szCs w:val="18"/>
          <w:vertAlign w:val="superscript"/>
          <w:lang w:eastAsia="zh-CN"/>
        </w:rPr>
        <w:t>3</w:t>
      </w:r>
      <w:r>
        <w:rPr>
          <w:rFonts w:hint="eastAsia"/>
          <w:sz w:val="18"/>
          <w:szCs w:val="18"/>
          <w:lang w:eastAsia="zh-CN"/>
        </w:rPr>
        <w:t>。(3)其他采伐中，杉木多，其他树种少，按销售基价800元/</w:t>
      </w:r>
      <w:r>
        <w:rPr>
          <w:rFonts w:hint="eastAsia" w:cs="Times New Roman"/>
          <w:sz w:val="18"/>
          <w:szCs w:val="18"/>
          <w:lang w:eastAsia="zh-CN"/>
        </w:rPr>
        <w:t>m</w:t>
      </w:r>
      <w:r>
        <w:rPr>
          <w:rFonts w:hint="eastAsia" w:cs="Times New Roman"/>
          <w:sz w:val="18"/>
          <w:szCs w:val="18"/>
          <w:vertAlign w:val="superscript"/>
          <w:lang w:eastAsia="zh-CN"/>
        </w:rPr>
        <w:t>3</w:t>
      </w:r>
      <w:r>
        <w:rPr>
          <w:rFonts w:hint="eastAsia"/>
          <w:sz w:val="18"/>
          <w:szCs w:val="18"/>
          <w:lang w:eastAsia="zh-CN"/>
        </w:rPr>
        <w:t>，计征价800元/</w:t>
      </w:r>
      <w:r>
        <w:rPr>
          <w:rFonts w:hint="eastAsia" w:cs="Times New Roman"/>
          <w:sz w:val="18"/>
          <w:szCs w:val="18"/>
          <w:lang w:eastAsia="zh-CN"/>
        </w:rPr>
        <w:t>m</w:t>
      </w:r>
      <w:r>
        <w:rPr>
          <w:rFonts w:hint="eastAsia" w:cs="Times New Roman"/>
          <w:sz w:val="18"/>
          <w:szCs w:val="18"/>
          <w:vertAlign w:val="superscript"/>
          <w:lang w:eastAsia="zh-CN"/>
        </w:rPr>
        <w:t>3</w:t>
      </w:r>
      <w:r>
        <w:rPr>
          <w:rFonts w:hint="eastAsia"/>
          <w:sz w:val="18"/>
          <w:szCs w:val="18"/>
          <w:lang w:eastAsia="zh-CN"/>
        </w:rPr>
        <w:t>。</w:t>
      </w:r>
    </w:p>
    <w:p w14:paraId="05A4A697">
      <w:pPr>
        <w:ind w:firstLine="480"/>
        <w:rPr>
          <w:lang w:eastAsia="zh-CN"/>
        </w:rPr>
      </w:pPr>
      <w:r>
        <w:rPr>
          <w:rFonts w:hint="eastAsia"/>
          <w:lang w:eastAsia="zh-CN"/>
        </w:rPr>
        <w:t>本经营期主伐、抚育间伐和低产低效采伐均为0。毛竹林蓄量为129.79万根，按每年采伐15%计算，每年采伐19.47万根，本经营期共采伐194.7万根。采挖按750公斤/</w:t>
      </w:r>
      <w:r>
        <w:rPr>
          <w:rFonts w:hint="eastAsia" w:cs="Times New Roman"/>
          <w:lang w:val="zh-CN" w:eastAsia="zh-CN"/>
        </w:rPr>
        <w:t>hm</w:t>
      </w:r>
      <w:r>
        <w:rPr>
          <w:rFonts w:hint="eastAsia" w:cs="Times New Roman"/>
          <w:vertAlign w:val="superscript"/>
          <w:lang w:val="zh-CN" w:eastAsia="zh-CN"/>
        </w:rPr>
        <w:t>2</w:t>
      </w:r>
      <w:r>
        <w:rPr>
          <w:rFonts w:hint="eastAsia"/>
          <w:lang w:eastAsia="zh-CN"/>
        </w:rPr>
        <w:t>计算，笋材两用林50</w:t>
      </w:r>
      <w:r>
        <w:rPr>
          <w:rFonts w:hint="eastAsia" w:cs="Times New Roman"/>
          <w:lang w:val="zh-CN" w:eastAsia="zh-CN"/>
        </w:rPr>
        <w:t>hm</w:t>
      </w:r>
      <w:r>
        <w:rPr>
          <w:rFonts w:hint="eastAsia" w:cs="Times New Roman"/>
          <w:vertAlign w:val="superscript"/>
          <w:lang w:val="zh-CN" w:eastAsia="zh-CN"/>
        </w:rPr>
        <w:t>2</w:t>
      </w:r>
      <w:r>
        <w:rPr>
          <w:rFonts w:hint="eastAsia"/>
          <w:lang w:eastAsia="zh-CN"/>
        </w:rPr>
        <w:t>，每年可采挖竹笋3.75t。</w:t>
      </w:r>
    </w:p>
    <w:p w14:paraId="18979406">
      <w:pPr>
        <w:ind w:firstLine="480"/>
        <w:rPr>
          <w:lang w:eastAsia="zh-CN"/>
        </w:rPr>
      </w:pPr>
      <w:r>
        <w:rPr>
          <w:rFonts w:hint="eastAsia"/>
          <w:lang w:eastAsia="zh-CN"/>
        </w:rPr>
        <w:t>(2)采伐投入概算</w:t>
      </w:r>
    </w:p>
    <w:p w14:paraId="0A166141">
      <w:pPr>
        <w:ind w:firstLine="480"/>
        <w:rPr>
          <w:lang w:eastAsia="zh-CN"/>
        </w:rPr>
      </w:pPr>
      <w:r>
        <w:rPr>
          <w:rFonts w:hint="eastAsia"/>
          <w:lang w:eastAsia="zh-CN"/>
        </w:rPr>
        <w:t>根据本经营期内采伐计划，</w:t>
      </w:r>
      <w:r>
        <w:rPr>
          <w:rFonts w:hint="eastAsia"/>
          <w:lang w:val="en-US" w:eastAsia="zh-CN"/>
        </w:rPr>
        <w:t>年</w:t>
      </w:r>
      <w:r>
        <w:rPr>
          <w:rFonts w:hint="eastAsia"/>
          <w:lang w:eastAsia="zh-CN"/>
        </w:rPr>
        <w:t>采伐总成本为185.76万元。毛竹采伐成本约为8元/根，按年伐19.47万根测算，年采伐成本为155.76万元。竹笋采挖成本约为每公斤8元，按750kg/</w:t>
      </w:r>
      <w:r>
        <w:rPr>
          <w:rFonts w:hint="eastAsia" w:cs="Times New Roman"/>
          <w:szCs w:val="24"/>
          <w:lang w:val="zh-CN" w:eastAsia="zh-CN"/>
        </w:rPr>
        <w:t>hm</w:t>
      </w:r>
      <w:r>
        <w:rPr>
          <w:rFonts w:hint="eastAsia" w:cs="Times New Roman"/>
          <w:szCs w:val="24"/>
          <w:vertAlign w:val="superscript"/>
          <w:lang w:val="zh-CN" w:eastAsia="zh-CN"/>
        </w:rPr>
        <w:t>2</w:t>
      </w:r>
      <w:r>
        <w:rPr>
          <w:rFonts w:hint="eastAsia"/>
          <w:lang w:eastAsia="zh-CN"/>
        </w:rPr>
        <w:t>测算，50</w:t>
      </w:r>
      <w:r>
        <w:rPr>
          <w:rFonts w:hint="eastAsia" w:cs="Times New Roman"/>
          <w:szCs w:val="24"/>
          <w:lang w:val="zh-CN" w:eastAsia="zh-CN"/>
        </w:rPr>
        <w:t>hm</w:t>
      </w:r>
      <w:r>
        <w:rPr>
          <w:rFonts w:hint="eastAsia" w:cs="Times New Roman"/>
          <w:szCs w:val="24"/>
          <w:vertAlign w:val="superscript"/>
          <w:lang w:val="zh-CN" w:eastAsia="zh-CN"/>
        </w:rPr>
        <w:t>2</w:t>
      </w:r>
      <w:r>
        <w:rPr>
          <w:rFonts w:hint="eastAsia"/>
          <w:lang w:eastAsia="zh-CN"/>
        </w:rPr>
        <w:t>笋用林的年采挖成本共计30万元。</w:t>
      </w:r>
    </w:p>
    <w:p w14:paraId="179DC180">
      <w:pPr>
        <w:ind w:firstLine="480"/>
        <w:rPr>
          <w:lang w:eastAsia="zh-CN"/>
        </w:rPr>
      </w:pPr>
      <w:r>
        <w:rPr>
          <w:rFonts w:hint="eastAsia"/>
          <w:lang w:eastAsia="zh-CN"/>
        </w:rPr>
        <w:t>本经营期木竹笋采伐、采挖成本需投入1310.32万元。各年度、各采伐类型的成本见表10-2所示。</w:t>
      </w:r>
    </w:p>
    <w:p w14:paraId="1A14F889">
      <w:pPr>
        <w:spacing w:line="240" w:lineRule="auto"/>
        <w:ind w:firstLine="0" w:firstLineChars="0"/>
        <w:jc w:val="center"/>
        <w:rPr>
          <w:rFonts w:eastAsia="黑体" w:cs="宋体"/>
          <w:b/>
          <w:bCs/>
          <w:lang w:eastAsia="zh-CN"/>
        </w:rPr>
      </w:pPr>
      <w:r>
        <w:rPr>
          <w:rFonts w:hint="eastAsia" w:eastAsia="黑体" w:cs="宋体"/>
          <w:b/>
          <w:bCs/>
          <w:lang w:eastAsia="zh-CN"/>
        </w:rPr>
        <w:t>表</w:t>
      </w:r>
      <w:r>
        <w:rPr>
          <w:rFonts w:cs="Times New Roman"/>
          <w:b/>
          <w:bCs/>
          <w:lang w:eastAsia="zh-CN"/>
        </w:rPr>
        <w:t>10-2</w:t>
      </w:r>
      <w:r>
        <w:rPr>
          <w:rFonts w:hint="eastAsia" w:eastAsia="黑体" w:cs="宋体"/>
          <w:b/>
          <w:bCs/>
          <w:lang w:eastAsia="zh-CN"/>
        </w:rPr>
        <w:t>采伐投入概算表</w:t>
      </w:r>
    </w:p>
    <w:p w14:paraId="318F599E">
      <w:pPr>
        <w:spacing w:line="240" w:lineRule="auto"/>
        <w:ind w:firstLine="0" w:firstLineChars="0"/>
        <w:jc w:val="right"/>
        <w:rPr>
          <w:rFonts w:cs="宋体"/>
          <w:sz w:val="21"/>
          <w:lang w:eastAsia="zh-CN"/>
        </w:rPr>
      </w:pPr>
      <w:r>
        <w:rPr>
          <w:rFonts w:hint="eastAsia" w:cs="宋体"/>
          <w:sz w:val="21"/>
          <w:lang w:eastAsia="zh-CN"/>
        </w:rPr>
        <w:t>单位：万元</w:t>
      </w:r>
    </w:p>
    <w:tbl>
      <w:tblPr>
        <w:tblStyle w:val="1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2"/>
        <w:gridCol w:w="1112"/>
        <w:gridCol w:w="986"/>
        <w:gridCol w:w="986"/>
        <w:gridCol w:w="986"/>
        <w:gridCol w:w="986"/>
        <w:gridCol w:w="986"/>
        <w:gridCol w:w="986"/>
      </w:tblGrid>
      <w:tr w14:paraId="36E5C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6" w:type="pct"/>
            <w:tcBorders>
              <w:tl2br w:val="single" w:color="auto" w:sz="4" w:space="0"/>
            </w:tcBorders>
            <w:vAlign w:val="center"/>
          </w:tcPr>
          <w:p w14:paraId="636DBE90">
            <w:pPr>
              <w:widowControl w:val="0"/>
              <w:spacing w:line="240" w:lineRule="auto"/>
              <w:ind w:firstLine="0" w:firstLineChars="0"/>
              <w:jc w:val="right"/>
              <w:rPr>
                <w:rFonts w:ascii="Calibri" w:hAnsi="Calibri" w:cs="宋体"/>
                <w:sz w:val="21"/>
              </w:rPr>
            </w:pPr>
            <w:r>
              <w:rPr>
                <w:rFonts w:hint="eastAsia" w:ascii="Calibri" w:hAnsi="Calibri" w:cs="宋体"/>
                <w:sz w:val="21"/>
              </w:rPr>
              <w:t>年度</w:t>
            </w:r>
          </w:p>
          <w:p w14:paraId="0434950D">
            <w:pPr>
              <w:widowControl w:val="0"/>
              <w:spacing w:line="240" w:lineRule="auto"/>
              <w:ind w:firstLine="0" w:firstLineChars="0"/>
              <w:jc w:val="left"/>
              <w:rPr>
                <w:rFonts w:ascii="Calibri" w:hAnsi="Calibri" w:cs="宋体"/>
                <w:sz w:val="21"/>
              </w:rPr>
            </w:pPr>
            <w:r>
              <w:rPr>
                <w:rFonts w:hint="eastAsia" w:ascii="Calibri" w:hAnsi="Calibri" w:cs="宋体"/>
                <w:sz w:val="21"/>
              </w:rPr>
              <w:t>采伐类型</w:t>
            </w:r>
          </w:p>
        </w:tc>
        <w:tc>
          <w:tcPr>
            <w:tcW w:w="624" w:type="pct"/>
            <w:vAlign w:val="center"/>
          </w:tcPr>
          <w:p w14:paraId="7046B510">
            <w:pPr>
              <w:widowControl w:val="0"/>
              <w:spacing w:line="240" w:lineRule="auto"/>
              <w:ind w:firstLine="0" w:firstLineChars="0"/>
              <w:jc w:val="center"/>
              <w:rPr>
                <w:rFonts w:ascii="Calibri" w:hAnsi="Calibri" w:cs="宋体"/>
                <w:sz w:val="21"/>
              </w:rPr>
            </w:pPr>
            <w:r>
              <w:rPr>
                <w:rFonts w:hint="eastAsia" w:ascii="Calibri" w:hAnsi="Calibri" w:cs="宋体"/>
                <w:sz w:val="21"/>
              </w:rPr>
              <w:t>合计</w:t>
            </w:r>
          </w:p>
        </w:tc>
        <w:tc>
          <w:tcPr>
            <w:tcW w:w="553" w:type="pct"/>
            <w:vAlign w:val="center"/>
          </w:tcPr>
          <w:p w14:paraId="639D207F">
            <w:pPr>
              <w:widowControl w:val="0"/>
              <w:spacing w:line="240" w:lineRule="auto"/>
              <w:ind w:firstLine="0" w:firstLineChars="0"/>
              <w:jc w:val="center"/>
              <w:rPr>
                <w:rFonts w:ascii="Calibri" w:hAnsi="Calibri" w:cs="宋体"/>
                <w:sz w:val="21"/>
                <w:lang w:eastAsia="zh-CN"/>
              </w:rPr>
            </w:pPr>
            <w:r>
              <w:rPr>
                <w:rFonts w:hint="eastAsia" w:ascii="Calibri" w:hAnsi="Calibri" w:cs="宋体"/>
                <w:sz w:val="21"/>
              </w:rPr>
              <w:t>202</w:t>
            </w:r>
            <w:r>
              <w:rPr>
                <w:rFonts w:hint="eastAsia" w:ascii="Calibri" w:hAnsi="Calibri" w:cs="宋体"/>
                <w:sz w:val="21"/>
                <w:lang w:eastAsia="zh-CN"/>
              </w:rPr>
              <w:t>4</w:t>
            </w:r>
          </w:p>
        </w:tc>
        <w:tc>
          <w:tcPr>
            <w:tcW w:w="553" w:type="pct"/>
            <w:vAlign w:val="center"/>
          </w:tcPr>
          <w:p w14:paraId="1DF48161">
            <w:pPr>
              <w:widowControl w:val="0"/>
              <w:spacing w:line="240" w:lineRule="auto"/>
              <w:ind w:firstLine="0" w:firstLineChars="0"/>
              <w:jc w:val="center"/>
              <w:rPr>
                <w:rFonts w:ascii="Calibri" w:hAnsi="Calibri" w:cs="宋体"/>
                <w:sz w:val="21"/>
                <w:lang w:eastAsia="zh-CN"/>
              </w:rPr>
            </w:pPr>
            <w:r>
              <w:rPr>
                <w:rFonts w:hint="eastAsia" w:ascii="Calibri" w:hAnsi="Calibri" w:cs="宋体"/>
                <w:sz w:val="21"/>
              </w:rPr>
              <w:t>202</w:t>
            </w:r>
            <w:r>
              <w:rPr>
                <w:rFonts w:hint="eastAsia" w:ascii="Calibri" w:hAnsi="Calibri" w:cs="宋体"/>
                <w:sz w:val="21"/>
                <w:lang w:eastAsia="zh-CN"/>
              </w:rPr>
              <w:t>5</w:t>
            </w:r>
          </w:p>
        </w:tc>
        <w:tc>
          <w:tcPr>
            <w:tcW w:w="553" w:type="pct"/>
            <w:vAlign w:val="center"/>
          </w:tcPr>
          <w:p w14:paraId="48142687">
            <w:pPr>
              <w:widowControl w:val="0"/>
              <w:spacing w:line="240" w:lineRule="auto"/>
              <w:ind w:firstLine="0" w:firstLineChars="0"/>
              <w:jc w:val="center"/>
              <w:rPr>
                <w:rFonts w:ascii="Calibri" w:hAnsi="Calibri" w:cs="宋体"/>
                <w:sz w:val="21"/>
                <w:lang w:eastAsia="zh-CN"/>
              </w:rPr>
            </w:pPr>
            <w:r>
              <w:rPr>
                <w:rFonts w:hint="eastAsia" w:ascii="Calibri" w:hAnsi="Calibri" w:cs="宋体"/>
                <w:sz w:val="21"/>
              </w:rPr>
              <w:t>202</w:t>
            </w:r>
            <w:r>
              <w:rPr>
                <w:rFonts w:hint="eastAsia" w:ascii="Calibri" w:hAnsi="Calibri" w:cs="宋体"/>
                <w:sz w:val="21"/>
                <w:lang w:eastAsia="zh-CN"/>
              </w:rPr>
              <w:t>6</w:t>
            </w:r>
          </w:p>
        </w:tc>
        <w:tc>
          <w:tcPr>
            <w:tcW w:w="553" w:type="pct"/>
            <w:vAlign w:val="center"/>
          </w:tcPr>
          <w:p w14:paraId="4816DD0A">
            <w:pPr>
              <w:widowControl w:val="0"/>
              <w:spacing w:line="240" w:lineRule="auto"/>
              <w:ind w:firstLine="0" w:firstLineChars="0"/>
              <w:jc w:val="center"/>
              <w:rPr>
                <w:rFonts w:ascii="Calibri" w:hAnsi="Calibri" w:cs="宋体"/>
                <w:sz w:val="21"/>
                <w:lang w:eastAsia="zh-CN"/>
              </w:rPr>
            </w:pPr>
            <w:r>
              <w:rPr>
                <w:rFonts w:hint="eastAsia" w:ascii="Calibri" w:hAnsi="Calibri" w:cs="宋体"/>
                <w:sz w:val="21"/>
              </w:rPr>
              <w:t>202</w:t>
            </w:r>
            <w:r>
              <w:rPr>
                <w:rFonts w:hint="eastAsia" w:ascii="Calibri" w:hAnsi="Calibri" w:cs="宋体"/>
                <w:sz w:val="21"/>
                <w:lang w:eastAsia="zh-CN"/>
              </w:rPr>
              <w:t>7</w:t>
            </w:r>
          </w:p>
        </w:tc>
        <w:tc>
          <w:tcPr>
            <w:tcW w:w="553" w:type="pct"/>
            <w:vAlign w:val="center"/>
          </w:tcPr>
          <w:p w14:paraId="302A93DD">
            <w:pPr>
              <w:widowControl w:val="0"/>
              <w:spacing w:line="240" w:lineRule="auto"/>
              <w:ind w:firstLine="0" w:firstLineChars="0"/>
              <w:jc w:val="center"/>
              <w:rPr>
                <w:rFonts w:ascii="Calibri" w:hAnsi="Calibri" w:cs="宋体"/>
                <w:sz w:val="21"/>
                <w:lang w:eastAsia="zh-CN"/>
              </w:rPr>
            </w:pPr>
            <w:r>
              <w:rPr>
                <w:rFonts w:hint="eastAsia" w:ascii="Calibri" w:hAnsi="Calibri" w:cs="宋体"/>
                <w:sz w:val="21"/>
              </w:rPr>
              <w:t>202</w:t>
            </w:r>
            <w:r>
              <w:rPr>
                <w:rFonts w:hint="eastAsia" w:ascii="Calibri" w:hAnsi="Calibri" w:cs="宋体"/>
                <w:sz w:val="21"/>
                <w:lang w:eastAsia="zh-CN"/>
              </w:rPr>
              <w:t>8</w:t>
            </w:r>
          </w:p>
        </w:tc>
        <w:tc>
          <w:tcPr>
            <w:tcW w:w="553" w:type="pct"/>
            <w:vAlign w:val="center"/>
          </w:tcPr>
          <w:p w14:paraId="6C7746D8">
            <w:pPr>
              <w:widowControl w:val="0"/>
              <w:spacing w:line="240" w:lineRule="auto"/>
              <w:ind w:firstLine="0" w:firstLineChars="0"/>
              <w:jc w:val="center"/>
              <w:rPr>
                <w:rFonts w:ascii="Calibri" w:hAnsi="Calibri" w:cs="宋体"/>
                <w:sz w:val="21"/>
              </w:rPr>
            </w:pPr>
            <w:r>
              <w:rPr>
                <w:rFonts w:hint="eastAsia" w:ascii="Calibri" w:hAnsi="Calibri" w:cs="宋体"/>
                <w:sz w:val="21"/>
              </w:rPr>
              <w:t>后期</w:t>
            </w:r>
          </w:p>
        </w:tc>
      </w:tr>
      <w:tr w14:paraId="4E4E8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6" w:type="pct"/>
            <w:vAlign w:val="center"/>
          </w:tcPr>
          <w:p w14:paraId="288AD893">
            <w:pPr>
              <w:widowControl w:val="0"/>
              <w:spacing w:line="240" w:lineRule="auto"/>
              <w:ind w:firstLine="0" w:firstLineChars="0"/>
              <w:jc w:val="center"/>
              <w:rPr>
                <w:rFonts w:ascii="Calibri" w:hAnsi="Calibri" w:cs="宋体"/>
                <w:sz w:val="21"/>
              </w:rPr>
            </w:pPr>
            <w:r>
              <w:rPr>
                <w:rFonts w:hint="eastAsia" w:ascii="Calibri" w:hAnsi="Calibri" w:cs="宋体"/>
                <w:sz w:val="21"/>
              </w:rPr>
              <w:t>合计</w:t>
            </w:r>
          </w:p>
        </w:tc>
        <w:tc>
          <w:tcPr>
            <w:tcW w:w="1155" w:type="dxa"/>
            <w:vAlign w:val="center"/>
          </w:tcPr>
          <w:p w14:paraId="71A35544">
            <w:pPr>
              <w:widowControl w:val="0"/>
              <w:spacing w:line="240" w:lineRule="auto"/>
              <w:ind w:firstLine="0" w:firstLineChars="0"/>
              <w:jc w:val="center"/>
              <w:rPr>
                <w:rFonts w:ascii="Calibri" w:hAnsi="Calibri" w:cs="宋体"/>
                <w:sz w:val="21"/>
                <w:lang w:eastAsia="zh-CN"/>
              </w:rPr>
            </w:pPr>
            <w:r>
              <w:rPr>
                <w:rFonts w:hint="eastAsia" w:ascii="Calibri" w:hAnsi="Calibri" w:cs="宋体"/>
                <w:sz w:val="21"/>
              </w:rPr>
              <w:t>1</w:t>
            </w:r>
            <w:r>
              <w:rPr>
                <w:rFonts w:hint="eastAsia" w:ascii="Calibri" w:hAnsi="Calibri" w:cs="宋体"/>
                <w:sz w:val="21"/>
                <w:lang w:eastAsia="zh-CN"/>
              </w:rPr>
              <w:t>310.32</w:t>
            </w:r>
          </w:p>
        </w:tc>
        <w:tc>
          <w:tcPr>
            <w:tcW w:w="1023" w:type="dxa"/>
            <w:vAlign w:val="center"/>
          </w:tcPr>
          <w:p w14:paraId="220B180D">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185.76</w:t>
            </w:r>
          </w:p>
        </w:tc>
        <w:tc>
          <w:tcPr>
            <w:tcW w:w="1023" w:type="dxa"/>
            <w:vAlign w:val="center"/>
          </w:tcPr>
          <w:p w14:paraId="1EA6786D">
            <w:pPr>
              <w:widowControl w:val="0"/>
              <w:spacing w:line="240" w:lineRule="auto"/>
              <w:ind w:firstLine="0" w:firstLineChars="0"/>
              <w:jc w:val="center"/>
              <w:rPr>
                <w:rFonts w:ascii="Calibri" w:hAnsi="Calibri" w:cs="宋体"/>
                <w:sz w:val="21"/>
              </w:rPr>
            </w:pPr>
            <w:r>
              <w:rPr>
                <w:rFonts w:hint="eastAsia" w:ascii="Calibri" w:hAnsi="Calibri" w:cs="宋体"/>
                <w:sz w:val="21"/>
                <w:lang w:eastAsia="zh-CN"/>
              </w:rPr>
              <w:t>185.76</w:t>
            </w:r>
          </w:p>
        </w:tc>
        <w:tc>
          <w:tcPr>
            <w:tcW w:w="1023" w:type="dxa"/>
            <w:vAlign w:val="center"/>
          </w:tcPr>
          <w:p w14:paraId="7366AEEF">
            <w:pPr>
              <w:widowControl w:val="0"/>
              <w:spacing w:line="240" w:lineRule="auto"/>
              <w:ind w:firstLine="0" w:firstLineChars="0"/>
              <w:jc w:val="center"/>
              <w:rPr>
                <w:rFonts w:ascii="Calibri" w:hAnsi="Calibri" w:cs="宋体"/>
                <w:sz w:val="21"/>
              </w:rPr>
            </w:pPr>
            <w:r>
              <w:rPr>
                <w:rFonts w:hint="eastAsia" w:ascii="Calibri" w:hAnsi="Calibri" w:cs="宋体"/>
                <w:sz w:val="21"/>
                <w:lang w:eastAsia="zh-CN"/>
              </w:rPr>
              <w:t>185.76</w:t>
            </w:r>
          </w:p>
        </w:tc>
        <w:tc>
          <w:tcPr>
            <w:tcW w:w="1023" w:type="dxa"/>
            <w:vAlign w:val="center"/>
          </w:tcPr>
          <w:p w14:paraId="4551EFA6">
            <w:pPr>
              <w:widowControl w:val="0"/>
              <w:spacing w:line="240" w:lineRule="auto"/>
              <w:ind w:firstLine="0" w:firstLineChars="0"/>
              <w:jc w:val="center"/>
              <w:rPr>
                <w:rFonts w:ascii="Calibri" w:hAnsi="Calibri" w:cs="宋体"/>
                <w:sz w:val="21"/>
              </w:rPr>
            </w:pPr>
            <w:r>
              <w:rPr>
                <w:rFonts w:hint="eastAsia" w:ascii="Calibri" w:hAnsi="Calibri" w:cs="宋体"/>
                <w:sz w:val="21"/>
                <w:lang w:eastAsia="zh-CN"/>
              </w:rPr>
              <w:t>185.76</w:t>
            </w:r>
          </w:p>
        </w:tc>
        <w:tc>
          <w:tcPr>
            <w:tcW w:w="1022" w:type="dxa"/>
            <w:vAlign w:val="center"/>
          </w:tcPr>
          <w:p w14:paraId="736391A3">
            <w:pPr>
              <w:widowControl w:val="0"/>
              <w:spacing w:line="240" w:lineRule="auto"/>
              <w:ind w:firstLine="0" w:firstLineChars="0"/>
              <w:jc w:val="center"/>
              <w:rPr>
                <w:rFonts w:ascii="Calibri" w:hAnsi="Calibri" w:cs="宋体"/>
                <w:sz w:val="21"/>
              </w:rPr>
            </w:pPr>
            <w:r>
              <w:rPr>
                <w:rFonts w:hint="eastAsia" w:ascii="Calibri" w:hAnsi="Calibri" w:cs="宋体"/>
                <w:sz w:val="21"/>
                <w:lang w:eastAsia="zh-CN"/>
              </w:rPr>
              <w:t>185.76</w:t>
            </w:r>
          </w:p>
        </w:tc>
        <w:tc>
          <w:tcPr>
            <w:tcW w:w="1022" w:type="dxa"/>
            <w:vAlign w:val="center"/>
          </w:tcPr>
          <w:p w14:paraId="4DD70E5A">
            <w:pPr>
              <w:widowControl w:val="0"/>
              <w:spacing w:line="240" w:lineRule="auto"/>
              <w:ind w:firstLine="0" w:firstLineChars="0"/>
              <w:jc w:val="center"/>
              <w:rPr>
                <w:rFonts w:ascii="Calibri" w:hAnsi="Calibri" w:cs="宋体"/>
                <w:sz w:val="21"/>
              </w:rPr>
            </w:pPr>
            <w:r>
              <w:rPr>
                <w:rFonts w:hint="eastAsia" w:ascii="Calibri" w:hAnsi="Calibri" w:cs="宋体"/>
                <w:sz w:val="21"/>
                <w:lang w:eastAsia="zh-CN"/>
              </w:rPr>
              <w:t>371.52</w:t>
            </w:r>
          </w:p>
        </w:tc>
      </w:tr>
      <w:tr w14:paraId="44E55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6" w:type="pct"/>
            <w:vAlign w:val="center"/>
          </w:tcPr>
          <w:p w14:paraId="34CB713B">
            <w:pPr>
              <w:widowControl w:val="0"/>
              <w:spacing w:line="240" w:lineRule="auto"/>
              <w:ind w:firstLine="0" w:firstLineChars="0"/>
              <w:jc w:val="center"/>
              <w:rPr>
                <w:rFonts w:ascii="Calibri" w:hAnsi="Calibri" w:cs="宋体"/>
                <w:sz w:val="21"/>
              </w:rPr>
            </w:pPr>
            <w:r>
              <w:rPr>
                <w:rFonts w:hint="eastAsia" w:ascii="Calibri" w:hAnsi="Calibri" w:cs="宋体"/>
                <w:sz w:val="21"/>
              </w:rPr>
              <w:t>竹林采伐</w:t>
            </w:r>
          </w:p>
        </w:tc>
        <w:tc>
          <w:tcPr>
            <w:tcW w:w="1155" w:type="dxa"/>
            <w:vAlign w:val="center"/>
          </w:tcPr>
          <w:p w14:paraId="7BC3BAD3">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1100.32</w:t>
            </w:r>
          </w:p>
        </w:tc>
        <w:tc>
          <w:tcPr>
            <w:tcW w:w="1023" w:type="dxa"/>
            <w:vAlign w:val="center"/>
          </w:tcPr>
          <w:p w14:paraId="1EE31B0E">
            <w:pPr>
              <w:widowControl w:val="0"/>
              <w:spacing w:line="240" w:lineRule="auto"/>
              <w:ind w:firstLine="0" w:firstLineChars="0"/>
              <w:jc w:val="center"/>
              <w:rPr>
                <w:rFonts w:ascii="Calibri" w:hAnsi="Calibri" w:cs="宋体"/>
                <w:sz w:val="21"/>
              </w:rPr>
            </w:pPr>
            <w:r>
              <w:rPr>
                <w:rFonts w:hint="eastAsia" w:ascii="Calibri" w:hAnsi="Calibri" w:cs="宋体"/>
                <w:sz w:val="21"/>
              </w:rPr>
              <w:t>155.76</w:t>
            </w:r>
          </w:p>
        </w:tc>
        <w:tc>
          <w:tcPr>
            <w:tcW w:w="1023" w:type="dxa"/>
            <w:vAlign w:val="center"/>
          </w:tcPr>
          <w:p w14:paraId="099198DE">
            <w:pPr>
              <w:widowControl w:val="0"/>
              <w:spacing w:line="240" w:lineRule="auto"/>
              <w:ind w:firstLine="0" w:firstLineChars="0"/>
              <w:jc w:val="center"/>
              <w:rPr>
                <w:rFonts w:ascii="Calibri" w:hAnsi="Calibri" w:cs="宋体"/>
                <w:sz w:val="21"/>
              </w:rPr>
            </w:pPr>
            <w:r>
              <w:rPr>
                <w:rFonts w:hint="eastAsia" w:ascii="Calibri" w:hAnsi="Calibri" w:cs="宋体"/>
                <w:sz w:val="21"/>
              </w:rPr>
              <w:t>155.76</w:t>
            </w:r>
          </w:p>
        </w:tc>
        <w:tc>
          <w:tcPr>
            <w:tcW w:w="1023" w:type="dxa"/>
            <w:vAlign w:val="center"/>
          </w:tcPr>
          <w:p w14:paraId="31A239A4">
            <w:pPr>
              <w:widowControl w:val="0"/>
              <w:spacing w:line="240" w:lineRule="auto"/>
              <w:ind w:firstLine="0" w:firstLineChars="0"/>
              <w:jc w:val="center"/>
              <w:rPr>
                <w:rFonts w:ascii="Calibri" w:hAnsi="Calibri" w:cs="宋体"/>
                <w:sz w:val="21"/>
              </w:rPr>
            </w:pPr>
            <w:r>
              <w:rPr>
                <w:rFonts w:hint="eastAsia" w:ascii="Calibri" w:hAnsi="Calibri" w:cs="宋体"/>
                <w:sz w:val="21"/>
              </w:rPr>
              <w:t>155.76</w:t>
            </w:r>
          </w:p>
        </w:tc>
        <w:tc>
          <w:tcPr>
            <w:tcW w:w="1023" w:type="dxa"/>
            <w:vAlign w:val="center"/>
          </w:tcPr>
          <w:p w14:paraId="378A1CE0">
            <w:pPr>
              <w:widowControl w:val="0"/>
              <w:spacing w:line="240" w:lineRule="auto"/>
              <w:ind w:firstLine="0" w:firstLineChars="0"/>
              <w:jc w:val="center"/>
              <w:rPr>
                <w:rFonts w:ascii="Calibri" w:hAnsi="Calibri" w:cs="宋体"/>
                <w:sz w:val="21"/>
              </w:rPr>
            </w:pPr>
            <w:r>
              <w:rPr>
                <w:rFonts w:hint="eastAsia" w:ascii="Calibri" w:hAnsi="Calibri" w:cs="宋体"/>
                <w:sz w:val="21"/>
              </w:rPr>
              <w:t>155.76</w:t>
            </w:r>
          </w:p>
        </w:tc>
        <w:tc>
          <w:tcPr>
            <w:tcW w:w="1022" w:type="dxa"/>
            <w:vAlign w:val="center"/>
          </w:tcPr>
          <w:p w14:paraId="48827E1D">
            <w:pPr>
              <w:widowControl w:val="0"/>
              <w:spacing w:line="240" w:lineRule="auto"/>
              <w:ind w:firstLine="0" w:firstLineChars="0"/>
              <w:jc w:val="center"/>
              <w:rPr>
                <w:rFonts w:ascii="Calibri" w:hAnsi="Calibri" w:cs="宋体"/>
                <w:sz w:val="21"/>
              </w:rPr>
            </w:pPr>
            <w:r>
              <w:rPr>
                <w:rFonts w:hint="eastAsia" w:ascii="Calibri" w:hAnsi="Calibri" w:cs="宋体"/>
                <w:sz w:val="21"/>
              </w:rPr>
              <w:t>155.76</w:t>
            </w:r>
          </w:p>
        </w:tc>
        <w:tc>
          <w:tcPr>
            <w:tcW w:w="1022" w:type="dxa"/>
            <w:vAlign w:val="center"/>
          </w:tcPr>
          <w:p w14:paraId="512CF5FA">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311.52</w:t>
            </w:r>
          </w:p>
        </w:tc>
      </w:tr>
      <w:tr w14:paraId="0A6D2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6" w:type="pct"/>
            <w:vAlign w:val="center"/>
          </w:tcPr>
          <w:p w14:paraId="2C5533C0">
            <w:pPr>
              <w:widowControl w:val="0"/>
              <w:spacing w:line="240" w:lineRule="auto"/>
              <w:ind w:firstLine="0" w:firstLineChars="0"/>
              <w:jc w:val="center"/>
              <w:rPr>
                <w:rFonts w:ascii="Calibri" w:hAnsi="Calibri" w:cs="宋体"/>
                <w:sz w:val="21"/>
              </w:rPr>
            </w:pPr>
            <w:r>
              <w:rPr>
                <w:rFonts w:hint="eastAsia" w:ascii="Calibri" w:hAnsi="Calibri" w:cs="宋体"/>
                <w:sz w:val="21"/>
              </w:rPr>
              <w:t>竹笋采挖</w:t>
            </w:r>
          </w:p>
        </w:tc>
        <w:tc>
          <w:tcPr>
            <w:tcW w:w="1155" w:type="dxa"/>
            <w:vAlign w:val="center"/>
          </w:tcPr>
          <w:p w14:paraId="5BAF0EFC">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210</w:t>
            </w:r>
          </w:p>
        </w:tc>
        <w:tc>
          <w:tcPr>
            <w:tcW w:w="1023" w:type="dxa"/>
            <w:vAlign w:val="center"/>
          </w:tcPr>
          <w:p w14:paraId="65DEC943">
            <w:pPr>
              <w:widowControl w:val="0"/>
              <w:spacing w:line="240" w:lineRule="auto"/>
              <w:ind w:firstLine="0" w:firstLineChars="0"/>
              <w:jc w:val="center"/>
              <w:rPr>
                <w:rFonts w:ascii="Calibri" w:hAnsi="Calibri" w:cs="宋体"/>
                <w:sz w:val="21"/>
              </w:rPr>
            </w:pPr>
            <w:r>
              <w:rPr>
                <w:rFonts w:hint="eastAsia" w:ascii="Calibri" w:hAnsi="Calibri" w:cs="宋体"/>
                <w:sz w:val="21"/>
              </w:rPr>
              <w:t>30.0</w:t>
            </w:r>
          </w:p>
        </w:tc>
        <w:tc>
          <w:tcPr>
            <w:tcW w:w="1023" w:type="dxa"/>
            <w:vAlign w:val="center"/>
          </w:tcPr>
          <w:p w14:paraId="2EDC08E0">
            <w:pPr>
              <w:widowControl w:val="0"/>
              <w:spacing w:line="240" w:lineRule="auto"/>
              <w:ind w:firstLine="0" w:firstLineChars="0"/>
              <w:jc w:val="center"/>
              <w:rPr>
                <w:rFonts w:ascii="Calibri" w:hAnsi="Calibri" w:cs="宋体"/>
                <w:sz w:val="21"/>
              </w:rPr>
            </w:pPr>
            <w:r>
              <w:rPr>
                <w:rFonts w:hint="eastAsia" w:ascii="Calibri" w:hAnsi="Calibri" w:cs="宋体"/>
                <w:sz w:val="21"/>
              </w:rPr>
              <w:t>30.0</w:t>
            </w:r>
          </w:p>
        </w:tc>
        <w:tc>
          <w:tcPr>
            <w:tcW w:w="1023" w:type="dxa"/>
            <w:vAlign w:val="center"/>
          </w:tcPr>
          <w:p w14:paraId="4A4D44AD">
            <w:pPr>
              <w:widowControl w:val="0"/>
              <w:spacing w:line="240" w:lineRule="auto"/>
              <w:ind w:firstLine="0" w:firstLineChars="0"/>
              <w:jc w:val="center"/>
              <w:rPr>
                <w:rFonts w:ascii="Calibri" w:hAnsi="Calibri" w:cs="宋体"/>
                <w:sz w:val="21"/>
              </w:rPr>
            </w:pPr>
            <w:r>
              <w:rPr>
                <w:rFonts w:hint="eastAsia" w:ascii="Calibri" w:hAnsi="Calibri" w:cs="宋体"/>
                <w:sz w:val="21"/>
              </w:rPr>
              <w:t>30.0</w:t>
            </w:r>
          </w:p>
        </w:tc>
        <w:tc>
          <w:tcPr>
            <w:tcW w:w="1023" w:type="dxa"/>
            <w:vAlign w:val="center"/>
          </w:tcPr>
          <w:p w14:paraId="11508FBF">
            <w:pPr>
              <w:widowControl w:val="0"/>
              <w:spacing w:line="240" w:lineRule="auto"/>
              <w:ind w:firstLine="0" w:firstLineChars="0"/>
              <w:jc w:val="center"/>
              <w:rPr>
                <w:rFonts w:ascii="Calibri" w:hAnsi="Calibri" w:cs="宋体"/>
                <w:sz w:val="21"/>
              </w:rPr>
            </w:pPr>
            <w:r>
              <w:rPr>
                <w:rFonts w:hint="eastAsia" w:ascii="Calibri" w:hAnsi="Calibri" w:cs="宋体"/>
                <w:sz w:val="21"/>
              </w:rPr>
              <w:t>30.0</w:t>
            </w:r>
          </w:p>
        </w:tc>
        <w:tc>
          <w:tcPr>
            <w:tcW w:w="1022" w:type="dxa"/>
            <w:vAlign w:val="center"/>
          </w:tcPr>
          <w:p w14:paraId="5AA73F44">
            <w:pPr>
              <w:widowControl w:val="0"/>
              <w:spacing w:line="240" w:lineRule="auto"/>
              <w:ind w:firstLine="0" w:firstLineChars="0"/>
              <w:jc w:val="center"/>
              <w:rPr>
                <w:rFonts w:ascii="Calibri" w:hAnsi="Calibri" w:cs="宋体"/>
                <w:sz w:val="21"/>
              </w:rPr>
            </w:pPr>
            <w:r>
              <w:rPr>
                <w:rFonts w:hint="eastAsia" w:ascii="Calibri" w:hAnsi="Calibri" w:cs="宋体"/>
                <w:sz w:val="21"/>
              </w:rPr>
              <w:t>30.0</w:t>
            </w:r>
          </w:p>
        </w:tc>
        <w:tc>
          <w:tcPr>
            <w:tcW w:w="1022" w:type="dxa"/>
            <w:vAlign w:val="center"/>
          </w:tcPr>
          <w:p w14:paraId="5D330C56">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60</w:t>
            </w:r>
          </w:p>
        </w:tc>
      </w:tr>
    </w:tbl>
    <w:p w14:paraId="18F1AF13">
      <w:pPr>
        <w:ind w:firstLine="480"/>
      </w:pPr>
    </w:p>
    <w:p w14:paraId="0AD63AA8">
      <w:pPr>
        <w:kinsoku/>
        <w:autoSpaceDE/>
        <w:autoSpaceDN/>
        <w:adjustRightInd/>
        <w:snapToGrid/>
        <w:spacing w:line="240" w:lineRule="auto"/>
        <w:ind w:firstLine="0" w:firstLineChars="0"/>
        <w:jc w:val="left"/>
        <w:textAlignment w:val="auto"/>
      </w:pPr>
      <w:r>
        <w:br w:type="page"/>
      </w:r>
    </w:p>
    <w:p w14:paraId="5794EED6">
      <w:pPr>
        <w:pStyle w:val="4"/>
        <w:ind w:firstLine="601"/>
      </w:pPr>
      <w:r>
        <w:rPr>
          <w:rFonts w:hint="eastAsia"/>
        </w:rPr>
        <w:t>10.1.5森林培育投资概算</w:t>
      </w:r>
    </w:p>
    <w:p w14:paraId="079B5D3D">
      <w:pPr>
        <w:ind w:firstLine="480"/>
        <w:rPr>
          <w:lang w:eastAsia="zh-CN"/>
        </w:rPr>
      </w:pPr>
      <w:r>
        <w:rPr>
          <w:rFonts w:hint="eastAsia"/>
          <w:lang w:eastAsia="zh-CN"/>
        </w:rPr>
        <w:t>(1)森林抚育成本测算</w:t>
      </w:r>
    </w:p>
    <w:p w14:paraId="6E54AA4D">
      <w:pPr>
        <w:ind w:firstLine="480"/>
        <w:rPr>
          <w:lang w:eastAsia="zh-CN"/>
        </w:rPr>
      </w:pPr>
      <w:r>
        <w:rPr>
          <w:rFonts w:hint="eastAsia"/>
          <w:lang w:eastAsia="zh-CN"/>
        </w:rPr>
        <w:t>本经营期森林抚育规划面积142.61</w:t>
      </w:r>
      <w:r>
        <w:rPr>
          <w:rFonts w:hint="eastAsia" w:cs="Times New Roman"/>
          <w:szCs w:val="24"/>
          <w:lang w:val="zh-CN" w:eastAsia="zh-CN"/>
        </w:rPr>
        <w:t>hm</w:t>
      </w:r>
      <w:r>
        <w:rPr>
          <w:rFonts w:hint="eastAsia" w:cs="Times New Roman"/>
          <w:szCs w:val="24"/>
          <w:vertAlign w:val="superscript"/>
          <w:lang w:val="zh-CN" w:eastAsia="zh-CN"/>
        </w:rPr>
        <w:t>2</w:t>
      </w:r>
      <w:r>
        <w:rPr>
          <w:rFonts w:hint="eastAsia"/>
          <w:lang w:eastAsia="zh-CN"/>
        </w:rPr>
        <w:t>，全部为杉木幼林，幼龄林前期抚育二次后期抚育一次，中龄林仅前期抚育一次，除草团蔸等抚育投入3000元/</w:t>
      </w:r>
      <w:r>
        <w:rPr>
          <w:rFonts w:hint="eastAsia" w:cs="Times New Roman"/>
          <w:szCs w:val="24"/>
          <w:lang w:val="zh-CN" w:eastAsia="zh-CN"/>
        </w:rPr>
        <w:t>hm</w:t>
      </w:r>
      <w:r>
        <w:rPr>
          <w:rFonts w:hint="eastAsia" w:cs="Times New Roman"/>
          <w:szCs w:val="24"/>
          <w:vertAlign w:val="superscript"/>
          <w:lang w:val="zh-CN" w:eastAsia="zh-CN"/>
        </w:rPr>
        <w:t>2</w:t>
      </w:r>
      <w:r>
        <w:rPr>
          <w:rFonts w:hint="eastAsia"/>
          <w:lang w:eastAsia="zh-CN"/>
        </w:rPr>
        <w:t>。前期2025年抚育面积</w:t>
      </w:r>
      <w:r>
        <w:rPr>
          <w:rFonts w:hint="eastAsia"/>
          <w:lang w:val="en-US" w:eastAsia="zh-CN"/>
        </w:rPr>
        <w:t>42.16</w:t>
      </w:r>
      <w:r>
        <w:rPr>
          <w:rFonts w:hint="eastAsia" w:cs="Times New Roman"/>
          <w:szCs w:val="24"/>
          <w:lang w:val="zh-CN" w:eastAsia="zh-CN"/>
        </w:rPr>
        <w:t>hm</w:t>
      </w:r>
      <w:r>
        <w:rPr>
          <w:rFonts w:hint="eastAsia" w:cs="Times New Roman"/>
          <w:szCs w:val="24"/>
          <w:vertAlign w:val="superscript"/>
          <w:lang w:val="zh-CN" w:eastAsia="zh-CN"/>
        </w:rPr>
        <w:t>2</w:t>
      </w:r>
      <w:r>
        <w:rPr>
          <w:rFonts w:hint="eastAsia"/>
          <w:lang w:eastAsia="zh-CN"/>
        </w:rPr>
        <w:t>，需投入12.</w:t>
      </w:r>
      <w:r>
        <w:rPr>
          <w:rFonts w:hint="eastAsia"/>
          <w:lang w:val="en-US" w:eastAsia="zh-CN"/>
        </w:rPr>
        <w:t>65</w:t>
      </w:r>
      <w:r>
        <w:rPr>
          <w:rFonts w:hint="eastAsia"/>
          <w:lang w:eastAsia="zh-CN"/>
        </w:rPr>
        <w:t>万元；后期幼龄林抚育面积100</w:t>
      </w:r>
      <w:r>
        <w:rPr>
          <w:rFonts w:hint="eastAsia" w:cs="Times New Roman"/>
          <w:szCs w:val="24"/>
          <w:lang w:val="zh-CN" w:eastAsia="zh-CN"/>
        </w:rPr>
        <w:t>hm</w:t>
      </w:r>
      <w:r>
        <w:rPr>
          <w:rFonts w:hint="eastAsia" w:cs="Times New Roman"/>
          <w:szCs w:val="24"/>
          <w:vertAlign w:val="superscript"/>
          <w:lang w:val="zh-CN" w:eastAsia="zh-CN"/>
        </w:rPr>
        <w:t>2</w:t>
      </w:r>
      <w:r>
        <w:rPr>
          <w:rFonts w:hint="eastAsia"/>
          <w:lang w:eastAsia="zh-CN"/>
        </w:rPr>
        <w:t>，需投入30万元。本经营期共需投入抚育资金42.65万元。</w:t>
      </w:r>
    </w:p>
    <w:p w14:paraId="41162E34">
      <w:pPr>
        <w:ind w:firstLine="480"/>
        <w:rPr>
          <w:lang w:eastAsia="zh-CN"/>
        </w:rPr>
      </w:pPr>
      <w:r>
        <w:rPr>
          <w:rFonts w:hint="eastAsia"/>
          <w:lang w:eastAsia="zh-CN"/>
        </w:rPr>
        <w:t>(2)毛竹林培育</w:t>
      </w:r>
    </w:p>
    <w:p w14:paraId="0AF75FD4">
      <w:pPr>
        <w:ind w:firstLine="480"/>
        <w:rPr>
          <w:lang w:eastAsia="zh-CN"/>
        </w:rPr>
      </w:pPr>
      <w:r>
        <w:rPr>
          <w:rFonts w:hint="eastAsia"/>
          <w:lang w:eastAsia="zh-CN"/>
        </w:rPr>
        <w:t>本经理期林场规划毛竹林培育面积</w:t>
      </w:r>
      <w:r>
        <w:rPr>
          <w:rFonts w:hint="eastAsia"/>
          <w:lang w:val="en-US" w:eastAsia="zh-CN"/>
        </w:rPr>
        <w:t>7</w:t>
      </w:r>
      <w:r>
        <w:rPr>
          <w:rFonts w:hint="eastAsia"/>
          <w:lang w:eastAsia="zh-CN"/>
        </w:rPr>
        <w:t>20.16</w:t>
      </w:r>
      <w:r>
        <w:rPr>
          <w:rFonts w:hint="eastAsia" w:cs="Times New Roman"/>
          <w:szCs w:val="24"/>
          <w:lang w:val="zh-CN" w:eastAsia="zh-CN"/>
        </w:rPr>
        <w:t>hm</w:t>
      </w:r>
      <w:r>
        <w:rPr>
          <w:rFonts w:hint="eastAsia" w:cs="Times New Roman"/>
          <w:szCs w:val="24"/>
          <w:vertAlign w:val="superscript"/>
          <w:lang w:val="zh-CN" w:eastAsia="zh-CN"/>
        </w:rPr>
        <w:t>2</w:t>
      </w:r>
      <w:r>
        <w:rPr>
          <w:rFonts w:hint="eastAsia"/>
          <w:lang w:eastAsia="zh-CN"/>
        </w:rPr>
        <w:t>，材用林培育310.08</w:t>
      </w:r>
      <w:r>
        <w:rPr>
          <w:rFonts w:hint="eastAsia" w:cs="Times New Roman"/>
          <w:szCs w:val="24"/>
          <w:lang w:val="zh-CN" w:eastAsia="zh-CN"/>
        </w:rPr>
        <w:t>hm</w:t>
      </w:r>
      <w:r>
        <w:rPr>
          <w:rFonts w:hint="eastAsia" w:cs="Times New Roman"/>
          <w:szCs w:val="24"/>
          <w:vertAlign w:val="superscript"/>
          <w:lang w:val="zh-CN" w:eastAsia="zh-CN"/>
        </w:rPr>
        <w:t>2</w:t>
      </w:r>
      <w:r>
        <w:rPr>
          <w:rFonts w:hint="eastAsia"/>
          <w:lang w:eastAsia="zh-CN"/>
        </w:rPr>
        <w:t>，每年投入1500元/</w:t>
      </w:r>
      <w:r>
        <w:rPr>
          <w:rFonts w:hint="eastAsia" w:cs="Times New Roman"/>
          <w:szCs w:val="24"/>
          <w:lang w:val="zh-CN" w:eastAsia="zh-CN"/>
        </w:rPr>
        <w:t>hm</w:t>
      </w:r>
      <w:r>
        <w:rPr>
          <w:rFonts w:hint="eastAsia" w:cs="Times New Roman"/>
          <w:szCs w:val="24"/>
          <w:vertAlign w:val="superscript"/>
          <w:lang w:val="zh-CN" w:eastAsia="zh-CN"/>
        </w:rPr>
        <w:t>2</w:t>
      </w:r>
      <w:r>
        <w:rPr>
          <w:rFonts w:hint="eastAsia"/>
          <w:lang w:eastAsia="zh-CN"/>
        </w:rPr>
        <w:t>，年投入为46.51万元；笋材两用林培育</w:t>
      </w:r>
      <w:r>
        <w:rPr>
          <w:rFonts w:hint="eastAsia"/>
          <w:lang w:val="en-US" w:eastAsia="zh-CN"/>
        </w:rPr>
        <w:t>4</w:t>
      </w:r>
      <w:r>
        <w:rPr>
          <w:rFonts w:hint="eastAsia"/>
          <w:lang w:eastAsia="zh-CN"/>
        </w:rPr>
        <w:t>10.08</w:t>
      </w:r>
      <w:r>
        <w:rPr>
          <w:rFonts w:hint="eastAsia" w:cs="Times New Roman"/>
          <w:szCs w:val="24"/>
          <w:lang w:val="zh-CN" w:eastAsia="zh-CN"/>
        </w:rPr>
        <w:t>hm</w:t>
      </w:r>
      <w:r>
        <w:rPr>
          <w:rFonts w:hint="eastAsia" w:cs="Times New Roman"/>
          <w:szCs w:val="24"/>
          <w:vertAlign w:val="superscript"/>
          <w:lang w:val="zh-CN" w:eastAsia="zh-CN"/>
        </w:rPr>
        <w:t>2</w:t>
      </w:r>
      <w:r>
        <w:rPr>
          <w:rFonts w:hint="eastAsia"/>
          <w:lang w:eastAsia="zh-CN"/>
        </w:rPr>
        <w:t>，每年投入3000元/</w:t>
      </w:r>
      <w:r>
        <w:rPr>
          <w:rFonts w:hint="eastAsia" w:cs="Times New Roman"/>
          <w:szCs w:val="24"/>
          <w:lang w:val="zh-CN" w:eastAsia="zh-CN"/>
        </w:rPr>
        <w:t>hm</w:t>
      </w:r>
      <w:r>
        <w:rPr>
          <w:rFonts w:hint="eastAsia" w:cs="Times New Roman"/>
          <w:szCs w:val="24"/>
          <w:vertAlign w:val="superscript"/>
          <w:lang w:val="zh-CN" w:eastAsia="zh-CN"/>
        </w:rPr>
        <w:t>2</w:t>
      </w:r>
      <w:r>
        <w:rPr>
          <w:rFonts w:hint="eastAsia"/>
          <w:lang w:eastAsia="zh-CN"/>
        </w:rPr>
        <w:t>，年投入</w:t>
      </w:r>
      <w:r>
        <w:rPr>
          <w:rFonts w:hint="eastAsia"/>
          <w:lang w:val="en-US" w:eastAsia="zh-CN"/>
        </w:rPr>
        <w:t>123.02</w:t>
      </w:r>
      <w:r>
        <w:rPr>
          <w:rFonts w:hint="eastAsia"/>
          <w:lang w:eastAsia="zh-CN"/>
        </w:rPr>
        <w:t>万。本经营期共需投入资金169.53万元。</w:t>
      </w:r>
    </w:p>
    <w:p w14:paraId="4F2400D0">
      <w:pPr>
        <w:ind w:firstLine="480"/>
        <w:rPr>
          <w:lang w:eastAsia="zh-CN"/>
        </w:rPr>
      </w:pPr>
      <w:r>
        <w:rPr>
          <w:rFonts w:hint="eastAsia"/>
          <w:lang w:eastAsia="zh-CN"/>
        </w:rPr>
        <w:t>(3)种苗生产投入概算</w:t>
      </w:r>
    </w:p>
    <w:p w14:paraId="333FF944">
      <w:pPr>
        <w:ind w:firstLine="480"/>
        <w:rPr>
          <w:lang w:eastAsia="zh-CN"/>
        </w:rPr>
      </w:pPr>
      <w:r>
        <w:rPr>
          <w:rFonts w:hint="eastAsia"/>
          <w:lang w:eastAsia="zh-CN"/>
        </w:rPr>
        <w:t>种苗生产每年投入5万元，经营期内共需投入35万元。</w:t>
      </w:r>
    </w:p>
    <w:p w14:paraId="384A670B">
      <w:pPr>
        <w:ind w:firstLine="480"/>
        <w:rPr>
          <w:lang w:eastAsia="zh-CN"/>
        </w:rPr>
      </w:pPr>
      <w:r>
        <w:rPr>
          <w:rFonts w:hint="eastAsia"/>
          <w:lang w:eastAsia="zh-CN"/>
        </w:rPr>
        <w:t>(4)林相改造工程成本测算</w:t>
      </w:r>
    </w:p>
    <w:p w14:paraId="195FD376">
      <w:pPr>
        <w:ind w:firstLine="480"/>
        <w:rPr>
          <w:lang w:eastAsia="zh-CN"/>
        </w:rPr>
      </w:pPr>
      <w:r>
        <w:rPr>
          <w:rFonts w:hint="eastAsia"/>
          <w:lang w:eastAsia="zh-CN"/>
        </w:rPr>
        <w:t>本经营期项目规划面积</w:t>
      </w:r>
      <w:r>
        <w:rPr>
          <w:rFonts w:hint="eastAsia"/>
          <w:lang w:val="en-US" w:eastAsia="zh-CN"/>
        </w:rPr>
        <w:t>6</w:t>
      </w:r>
      <w:r>
        <w:rPr>
          <w:rFonts w:hint="eastAsia"/>
          <w:lang w:eastAsia="zh-CN"/>
        </w:rPr>
        <w:t>00</w:t>
      </w:r>
      <w:r>
        <w:rPr>
          <w:rFonts w:hint="eastAsia" w:cs="Times New Roman"/>
          <w:szCs w:val="24"/>
          <w:lang w:val="zh-CN" w:eastAsia="zh-CN"/>
        </w:rPr>
        <w:t>hm</w:t>
      </w:r>
      <w:r>
        <w:rPr>
          <w:rFonts w:hint="eastAsia" w:cs="Times New Roman"/>
          <w:szCs w:val="24"/>
          <w:vertAlign w:val="superscript"/>
          <w:lang w:val="zh-CN" w:eastAsia="zh-CN"/>
        </w:rPr>
        <w:t>2</w:t>
      </w:r>
      <w:r>
        <w:rPr>
          <w:rFonts w:hint="eastAsia"/>
          <w:lang w:eastAsia="zh-CN"/>
        </w:rPr>
        <w:t>，投入15000元/</w:t>
      </w:r>
      <w:r>
        <w:rPr>
          <w:rFonts w:hint="eastAsia" w:cs="Times New Roman"/>
          <w:szCs w:val="24"/>
          <w:lang w:val="zh-CN" w:eastAsia="zh-CN"/>
        </w:rPr>
        <w:t>hm</w:t>
      </w:r>
      <w:r>
        <w:rPr>
          <w:rFonts w:hint="eastAsia" w:cs="Times New Roman"/>
          <w:szCs w:val="24"/>
          <w:vertAlign w:val="superscript"/>
          <w:lang w:val="zh-CN" w:eastAsia="zh-CN"/>
        </w:rPr>
        <w:t>2</w:t>
      </w:r>
      <w:r>
        <w:rPr>
          <w:rFonts w:hint="eastAsia"/>
          <w:lang w:eastAsia="zh-CN"/>
        </w:rPr>
        <w:t>，项目总投资</w:t>
      </w:r>
      <w:r>
        <w:rPr>
          <w:rFonts w:hint="eastAsia"/>
          <w:lang w:val="en-US" w:eastAsia="zh-CN"/>
        </w:rPr>
        <w:t>900</w:t>
      </w:r>
      <w:r>
        <w:rPr>
          <w:rFonts w:hint="eastAsia"/>
          <w:lang w:eastAsia="zh-CN"/>
        </w:rPr>
        <w:t>万元，其中工程费用</w:t>
      </w:r>
      <w:r>
        <w:rPr>
          <w:rFonts w:hint="eastAsia"/>
          <w:lang w:val="en-US" w:eastAsia="zh-CN"/>
        </w:rPr>
        <w:t>801</w:t>
      </w:r>
      <w:r>
        <w:rPr>
          <w:rFonts w:hint="eastAsia"/>
          <w:lang w:eastAsia="zh-CN"/>
        </w:rPr>
        <w:t>万元、工程建设其他费用</w:t>
      </w:r>
      <w:r>
        <w:rPr>
          <w:rFonts w:hint="eastAsia"/>
          <w:lang w:val="en-US" w:eastAsia="zh-CN"/>
        </w:rPr>
        <w:t>54</w:t>
      </w:r>
      <w:r>
        <w:rPr>
          <w:rFonts w:hint="eastAsia"/>
          <w:lang w:eastAsia="zh-CN"/>
        </w:rPr>
        <w:t>万元、预备费</w:t>
      </w:r>
      <w:r>
        <w:rPr>
          <w:rFonts w:hint="eastAsia"/>
          <w:lang w:val="en-US" w:eastAsia="zh-CN"/>
        </w:rPr>
        <w:t>45</w:t>
      </w:r>
      <w:r>
        <w:rPr>
          <w:rFonts w:hint="eastAsia"/>
          <w:lang w:eastAsia="zh-CN"/>
        </w:rPr>
        <w:t>万元。</w:t>
      </w:r>
    </w:p>
    <w:p w14:paraId="0C400DC4">
      <w:pPr>
        <w:ind w:firstLine="480"/>
        <w:rPr>
          <w:lang w:eastAsia="zh-CN"/>
        </w:rPr>
      </w:pPr>
      <w:r>
        <w:rPr>
          <w:rFonts w:hint="eastAsia"/>
          <w:lang w:eastAsia="zh-CN"/>
        </w:rPr>
        <w:t>(5)森林质量精准提升工程</w:t>
      </w:r>
    </w:p>
    <w:p w14:paraId="105CDF03">
      <w:pPr>
        <w:ind w:firstLine="480"/>
        <w:rPr>
          <w:lang w:eastAsia="zh-CN"/>
        </w:rPr>
      </w:pPr>
      <w:r>
        <w:rPr>
          <w:rFonts w:hint="eastAsia"/>
          <w:lang w:eastAsia="zh-CN"/>
        </w:rPr>
        <w:t>本经营期项目规划面积200</w:t>
      </w:r>
      <w:r>
        <w:rPr>
          <w:rFonts w:hint="eastAsia" w:cs="Times New Roman"/>
          <w:szCs w:val="24"/>
          <w:lang w:val="zh-CN" w:eastAsia="zh-CN"/>
        </w:rPr>
        <w:t>hm</w:t>
      </w:r>
      <w:r>
        <w:rPr>
          <w:rFonts w:hint="eastAsia" w:cs="Times New Roman"/>
          <w:szCs w:val="24"/>
          <w:vertAlign w:val="superscript"/>
          <w:lang w:val="zh-CN" w:eastAsia="zh-CN"/>
        </w:rPr>
        <w:t>2</w:t>
      </w:r>
      <w:r>
        <w:rPr>
          <w:rFonts w:hint="eastAsia"/>
          <w:lang w:eastAsia="zh-CN"/>
        </w:rPr>
        <w:t>，投入18000元/</w:t>
      </w:r>
      <w:r>
        <w:rPr>
          <w:rFonts w:hint="eastAsia" w:cs="Times New Roman"/>
          <w:szCs w:val="24"/>
          <w:lang w:val="zh-CN" w:eastAsia="zh-CN"/>
        </w:rPr>
        <w:t>hm</w:t>
      </w:r>
      <w:r>
        <w:rPr>
          <w:rFonts w:hint="eastAsia" w:cs="Times New Roman"/>
          <w:szCs w:val="24"/>
          <w:vertAlign w:val="superscript"/>
          <w:lang w:val="zh-CN" w:eastAsia="zh-CN"/>
        </w:rPr>
        <w:t>2</w:t>
      </w:r>
      <w:r>
        <w:rPr>
          <w:rFonts w:hint="eastAsia"/>
          <w:lang w:eastAsia="zh-CN"/>
        </w:rPr>
        <w:t>，项目总投资360万元。</w:t>
      </w:r>
    </w:p>
    <w:p w14:paraId="026FFA51">
      <w:pPr>
        <w:ind w:firstLine="480"/>
        <w:rPr>
          <w:lang w:eastAsia="zh-CN"/>
        </w:rPr>
      </w:pPr>
      <w:r>
        <w:rPr>
          <w:rFonts w:hint="eastAsia"/>
          <w:lang w:eastAsia="zh-CN"/>
        </w:rPr>
        <w:t>(</w:t>
      </w:r>
      <w:r>
        <w:rPr>
          <w:rFonts w:hint="eastAsia"/>
          <w:lang w:val="en-US" w:eastAsia="zh-CN"/>
        </w:rPr>
        <w:t>6</w:t>
      </w:r>
      <w:r>
        <w:rPr>
          <w:rFonts w:hint="eastAsia"/>
          <w:lang w:eastAsia="zh-CN"/>
        </w:rPr>
        <w:t>)森林可持续经营工程</w:t>
      </w:r>
    </w:p>
    <w:p w14:paraId="1CE2A6F5">
      <w:pPr>
        <w:ind w:firstLine="480"/>
        <w:rPr>
          <w:lang w:eastAsia="zh-CN"/>
        </w:rPr>
      </w:pPr>
      <w:r>
        <w:rPr>
          <w:lang w:eastAsia="zh-CN"/>
        </w:rPr>
        <w:t>森林可持续经营</w:t>
      </w:r>
      <w:r>
        <w:rPr>
          <w:rFonts w:hint="eastAsia"/>
          <w:lang w:eastAsia="zh-CN"/>
        </w:rPr>
        <w:t>工程规划面积</w:t>
      </w:r>
      <w:r>
        <w:rPr>
          <w:rFonts w:hint="eastAsia"/>
          <w:lang w:val="en-US" w:eastAsia="zh-CN"/>
        </w:rPr>
        <w:t>6</w:t>
      </w:r>
      <w:r>
        <w:rPr>
          <w:rFonts w:hint="eastAsia"/>
          <w:lang w:eastAsia="zh-CN"/>
        </w:rPr>
        <w:t>00</w:t>
      </w:r>
      <w:r>
        <w:rPr>
          <w:rFonts w:hint="eastAsia" w:cs="Times New Roman"/>
          <w:szCs w:val="24"/>
          <w:lang w:val="zh-CN" w:eastAsia="zh-CN"/>
        </w:rPr>
        <w:t>hm</w:t>
      </w:r>
      <w:r>
        <w:rPr>
          <w:rFonts w:hint="eastAsia" w:cs="Times New Roman"/>
          <w:szCs w:val="24"/>
          <w:vertAlign w:val="superscript"/>
          <w:lang w:val="zh-CN" w:eastAsia="zh-CN"/>
        </w:rPr>
        <w:t>2</w:t>
      </w:r>
      <w:r>
        <w:rPr>
          <w:rFonts w:hint="eastAsia"/>
          <w:lang w:eastAsia="zh-CN"/>
        </w:rPr>
        <w:t>，投入15000元/</w:t>
      </w:r>
      <w:r>
        <w:rPr>
          <w:rFonts w:hint="eastAsia" w:cs="Times New Roman"/>
          <w:szCs w:val="24"/>
          <w:lang w:val="zh-CN" w:eastAsia="zh-CN"/>
        </w:rPr>
        <w:t>hm</w:t>
      </w:r>
      <w:r>
        <w:rPr>
          <w:rFonts w:hint="eastAsia" w:cs="Times New Roman"/>
          <w:szCs w:val="24"/>
          <w:vertAlign w:val="superscript"/>
          <w:lang w:val="zh-CN" w:eastAsia="zh-CN"/>
        </w:rPr>
        <w:t>2</w:t>
      </w:r>
      <w:r>
        <w:rPr>
          <w:rFonts w:hint="eastAsia"/>
          <w:lang w:eastAsia="zh-CN"/>
        </w:rPr>
        <w:t>，项目总投资</w:t>
      </w:r>
      <w:r>
        <w:rPr>
          <w:rFonts w:hint="eastAsia"/>
          <w:lang w:val="en-US" w:eastAsia="zh-CN"/>
        </w:rPr>
        <w:t>9</w:t>
      </w:r>
      <w:r>
        <w:rPr>
          <w:rFonts w:hint="eastAsia"/>
          <w:lang w:eastAsia="zh-CN"/>
        </w:rPr>
        <w:t>00万元。</w:t>
      </w:r>
    </w:p>
    <w:p w14:paraId="3E2BBAF4">
      <w:pPr>
        <w:ind w:firstLine="480"/>
        <w:rPr>
          <w:lang w:eastAsia="zh-CN"/>
        </w:rPr>
      </w:pPr>
      <w:r>
        <w:rPr>
          <w:rFonts w:hint="eastAsia"/>
          <w:lang w:eastAsia="zh-CN"/>
        </w:rPr>
        <w:t>(</w:t>
      </w:r>
      <w:r>
        <w:rPr>
          <w:rFonts w:hint="eastAsia"/>
          <w:lang w:val="en-US" w:eastAsia="zh-CN"/>
        </w:rPr>
        <w:t>7</w:t>
      </w:r>
      <w:r>
        <w:rPr>
          <w:rFonts w:hint="eastAsia"/>
          <w:lang w:eastAsia="zh-CN"/>
        </w:rPr>
        <w:t>)生态保护工程</w:t>
      </w:r>
    </w:p>
    <w:p w14:paraId="2EB00B18">
      <w:pPr>
        <w:ind w:firstLine="480"/>
        <w:rPr>
          <w:lang w:eastAsia="zh-CN"/>
        </w:rPr>
      </w:pPr>
      <w:r>
        <w:rPr>
          <w:rFonts w:hint="eastAsia"/>
          <w:lang w:eastAsia="zh-CN"/>
        </w:rPr>
        <w:t>生态保护工程面积为3344.5</w:t>
      </w:r>
      <w:r>
        <w:rPr>
          <w:rFonts w:hint="eastAsia" w:cs="Times New Roman"/>
          <w:szCs w:val="24"/>
          <w:lang w:val="zh-CN" w:eastAsia="zh-CN"/>
        </w:rPr>
        <w:t>hm</w:t>
      </w:r>
      <w:r>
        <w:rPr>
          <w:rFonts w:hint="eastAsia" w:cs="Times New Roman"/>
          <w:szCs w:val="24"/>
          <w:vertAlign w:val="superscript"/>
          <w:lang w:val="zh-CN" w:eastAsia="zh-CN"/>
        </w:rPr>
        <w:t>2</w:t>
      </w:r>
      <w:r>
        <w:rPr>
          <w:rFonts w:hint="eastAsia"/>
          <w:lang w:eastAsia="zh-CN"/>
        </w:rPr>
        <w:t>，年管护费为300元/</w:t>
      </w:r>
      <w:r>
        <w:rPr>
          <w:rFonts w:hint="eastAsia" w:cs="Times New Roman"/>
          <w:szCs w:val="24"/>
          <w:lang w:val="zh-CN" w:eastAsia="zh-CN"/>
        </w:rPr>
        <w:t>hm</w:t>
      </w:r>
      <w:r>
        <w:rPr>
          <w:rFonts w:hint="eastAsia" w:cs="Times New Roman"/>
          <w:szCs w:val="24"/>
          <w:vertAlign w:val="superscript"/>
          <w:lang w:val="zh-CN" w:eastAsia="zh-CN"/>
        </w:rPr>
        <w:t>2</w:t>
      </w:r>
      <w:r>
        <w:rPr>
          <w:rFonts w:hint="eastAsia"/>
          <w:lang w:eastAsia="zh-CN"/>
        </w:rPr>
        <w:t>，管护费共需投入230.47万元。</w:t>
      </w:r>
    </w:p>
    <w:p w14:paraId="32A65323">
      <w:pPr>
        <w:ind w:firstLine="480"/>
        <w:rPr>
          <w:lang w:eastAsia="zh-CN"/>
        </w:rPr>
      </w:pPr>
      <w:r>
        <w:rPr>
          <w:rFonts w:hint="eastAsia"/>
          <w:lang w:eastAsia="zh-CN"/>
        </w:rPr>
        <w:t>(9)封山育林工程</w:t>
      </w:r>
    </w:p>
    <w:p w14:paraId="31D04121">
      <w:pPr>
        <w:ind w:firstLine="480"/>
        <w:rPr>
          <w:lang w:eastAsia="zh-CN"/>
        </w:rPr>
      </w:pPr>
      <w:r>
        <w:rPr>
          <w:rFonts w:hint="eastAsia"/>
          <w:lang w:eastAsia="zh-CN"/>
        </w:rPr>
        <w:t>天然林封育工程面积为739.32</w:t>
      </w:r>
      <w:r>
        <w:rPr>
          <w:rFonts w:hint="eastAsia" w:cs="Times New Roman"/>
          <w:szCs w:val="24"/>
          <w:lang w:val="zh-CN" w:eastAsia="zh-CN"/>
        </w:rPr>
        <w:t>hm</w:t>
      </w:r>
      <w:r>
        <w:rPr>
          <w:rFonts w:hint="eastAsia" w:cs="Times New Roman"/>
          <w:szCs w:val="24"/>
          <w:vertAlign w:val="superscript"/>
          <w:lang w:val="zh-CN" w:eastAsia="zh-CN"/>
        </w:rPr>
        <w:t>2</w:t>
      </w:r>
      <w:r>
        <w:rPr>
          <w:rFonts w:hint="eastAsia"/>
          <w:lang w:eastAsia="zh-CN"/>
        </w:rPr>
        <w:t>，管护费为300元/</w:t>
      </w:r>
      <w:r>
        <w:rPr>
          <w:rFonts w:hint="eastAsia" w:cs="Times New Roman"/>
          <w:szCs w:val="24"/>
          <w:lang w:val="zh-CN" w:eastAsia="zh-CN"/>
        </w:rPr>
        <w:t>hm</w:t>
      </w:r>
      <w:r>
        <w:rPr>
          <w:rFonts w:hint="eastAsia" w:cs="Times New Roman"/>
          <w:szCs w:val="24"/>
          <w:vertAlign w:val="superscript"/>
          <w:lang w:val="zh-CN" w:eastAsia="zh-CN"/>
        </w:rPr>
        <w:t>2</w:t>
      </w:r>
      <w:r>
        <w:rPr>
          <w:rFonts w:hint="eastAsia"/>
          <w:lang w:eastAsia="zh-CN"/>
        </w:rPr>
        <w:t>，管护费共需投入221.80万元。</w:t>
      </w:r>
    </w:p>
    <w:p w14:paraId="1D5F598B">
      <w:pPr>
        <w:ind w:firstLine="480"/>
        <w:rPr>
          <w:lang w:eastAsia="zh-CN"/>
        </w:rPr>
      </w:pPr>
      <w:r>
        <w:rPr>
          <w:rFonts w:hint="eastAsia"/>
          <w:lang w:eastAsia="zh-CN"/>
        </w:rPr>
        <w:t>本经营期森林培育投入需2859.45万元。</w:t>
      </w:r>
    </w:p>
    <w:p w14:paraId="6DFAF911">
      <w:pPr>
        <w:pStyle w:val="4"/>
      </w:pPr>
      <w:r>
        <w:rPr>
          <w:rFonts w:hint="eastAsia"/>
        </w:rPr>
        <w:t>10.1.6森林健康与生物多样性保护投资概算</w:t>
      </w:r>
    </w:p>
    <w:p w14:paraId="5031FDA2">
      <w:pPr>
        <w:ind w:firstLine="480"/>
        <w:rPr>
          <w:lang w:eastAsia="zh-CN"/>
        </w:rPr>
      </w:pPr>
      <w:r>
        <w:rPr>
          <w:rFonts w:hint="eastAsia"/>
          <w:lang w:eastAsia="zh-CN"/>
        </w:rPr>
        <w:t>(1)防火投入概算</w:t>
      </w:r>
    </w:p>
    <w:p w14:paraId="28DBFE74">
      <w:pPr>
        <w:ind w:firstLine="480"/>
        <w:rPr>
          <w:rFonts w:cs="宋体"/>
          <w:lang w:eastAsia="zh-CN"/>
        </w:rPr>
      </w:pPr>
      <w:r>
        <w:rPr>
          <w:rFonts w:hint="eastAsia" w:cs="宋体"/>
          <w:lang w:eastAsia="zh-CN"/>
        </w:rPr>
        <w:t>①防火设备投入。购置防火队防火装备、新建视频监控、瞭望塔、新建和修缮蓄水池等，经测算需投入45万元。</w:t>
      </w:r>
    </w:p>
    <w:p w14:paraId="1ABD7060">
      <w:pPr>
        <w:ind w:firstLine="480"/>
        <w:rPr>
          <w:lang w:eastAsia="zh-CN"/>
        </w:rPr>
      </w:pPr>
      <w:r>
        <w:rPr>
          <w:rFonts w:hint="eastAsia"/>
          <w:lang w:eastAsia="zh-CN"/>
        </w:rPr>
        <w:t>②防火林带维修改造。新修防火林带54.5km，宽15m，前期完成，需要投入122.65万元。</w:t>
      </w:r>
    </w:p>
    <w:p w14:paraId="708CCA3F">
      <w:pPr>
        <w:ind w:firstLine="480"/>
        <w:rPr>
          <w:lang w:eastAsia="zh-CN"/>
        </w:rPr>
      </w:pPr>
      <w:r>
        <w:rPr>
          <w:rFonts w:hint="eastAsia"/>
          <w:lang w:eastAsia="zh-CN"/>
        </w:rPr>
        <w:t>③瞭望台建设。新建5个，总面积300</w:t>
      </w:r>
      <w:r>
        <w:rPr>
          <w:rFonts w:hint="eastAsia" w:cs="Times New Roman"/>
          <w:szCs w:val="24"/>
          <w:lang w:eastAsia="zh-CN"/>
        </w:rPr>
        <w:t>m</w:t>
      </w:r>
      <w:r>
        <w:rPr>
          <w:rFonts w:hint="eastAsia" w:cs="Times New Roman"/>
          <w:szCs w:val="24"/>
          <w:vertAlign w:val="superscript"/>
          <w:lang w:eastAsia="zh-CN"/>
        </w:rPr>
        <w:t>2</w:t>
      </w:r>
      <w:r>
        <w:rPr>
          <w:rFonts w:hint="eastAsia"/>
          <w:lang w:eastAsia="zh-CN"/>
        </w:rPr>
        <w:t>，前期完成，包括配套设施需投入60万元。</w:t>
      </w:r>
    </w:p>
    <w:p w14:paraId="6437B5A4">
      <w:pPr>
        <w:ind w:firstLine="480"/>
        <w:rPr>
          <w:lang w:eastAsia="zh-CN"/>
        </w:rPr>
      </w:pPr>
      <w:r>
        <w:rPr>
          <w:rFonts w:hint="eastAsia"/>
          <w:lang w:eastAsia="zh-CN"/>
        </w:rPr>
        <w:t>④消防水池建设。规划建设8个，前期完成，每个包括抽水机、水管等配套平均需投入5万元，共需投入40万元。</w:t>
      </w:r>
    </w:p>
    <w:p w14:paraId="48403E01">
      <w:pPr>
        <w:ind w:firstLine="480"/>
        <w:rPr>
          <w:lang w:eastAsia="zh-CN"/>
        </w:rPr>
      </w:pPr>
      <w:r>
        <w:rPr>
          <w:rFonts w:hint="eastAsia"/>
          <w:lang w:eastAsia="zh-CN"/>
        </w:rPr>
        <w:t>⑤森林防火通信和信息指挥系统建设。中心用房建设需投入30万元，调度指挥系统等设备配置需20万元，前期完成，本经营期共需投入50万元。</w:t>
      </w:r>
    </w:p>
    <w:p w14:paraId="639775A4">
      <w:pPr>
        <w:ind w:firstLine="480"/>
        <w:rPr>
          <w:lang w:eastAsia="zh-CN"/>
        </w:rPr>
      </w:pPr>
      <w:r>
        <w:rPr>
          <w:rFonts w:hint="eastAsia"/>
          <w:lang w:eastAsia="zh-CN"/>
        </w:rPr>
        <w:t>⑥森林防火监控预警系统建设。规划建设9个视频监测点，前期完成，共需投入27万元。</w:t>
      </w:r>
    </w:p>
    <w:p w14:paraId="44890725">
      <w:pPr>
        <w:ind w:firstLine="480"/>
        <w:rPr>
          <w:lang w:eastAsia="zh-CN"/>
        </w:rPr>
      </w:pPr>
      <w:r>
        <w:rPr>
          <w:rFonts w:hint="eastAsia"/>
          <w:lang w:eastAsia="zh-CN"/>
        </w:rPr>
        <w:t>⑦防火宣传投入。包括每年对防火宣传标识牌(窗)等的维护、防火宣传活动的开展等投入，每年投入约为10万元，本经营期需投入100万元。</w:t>
      </w:r>
    </w:p>
    <w:p w14:paraId="57E3E5DD">
      <w:pPr>
        <w:ind w:firstLine="480"/>
        <w:rPr>
          <w:lang w:eastAsia="zh-CN"/>
        </w:rPr>
      </w:pPr>
      <w:r>
        <w:rPr>
          <w:rFonts w:hint="eastAsia"/>
          <w:lang w:eastAsia="zh-CN"/>
        </w:rPr>
        <w:t>本经营期共需投入494.65万元。</w:t>
      </w:r>
    </w:p>
    <w:p w14:paraId="5CF63DCE">
      <w:pPr>
        <w:ind w:firstLine="480"/>
      </w:pPr>
      <w:r>
        <w:rPr>
          <w:rFonts w:hint="eastAsia"/>
          <w:lang w:eastAsia="zh-CN"/>
        </w:rPr>
        <w:t>(2)</w:t>
      </w:r>
      <w:r>
        <w:rPr>
          <w:rFonts w:hint="eastAsia"/>
        </w:rPr>
        <w:t>病虫害防治投入概算</w:t>
      </w:r>
    </w:p>
    <w:p w14:paraId="6DADDE9A">
      <w:pPr>
        <w:ind w:firstLine="480"/>
      </w:pPr>
      <w:r>
        <w:rPr>
          <w:rFonts w:hint="eastAsia"/>
        </w:rPr>
        <w:t>病虫害防治每年投入10万元。不包括基建性投入。共需投入100万元。</w:t>
      </w:r>
    </w:p>
    <w:p w14:paraId="4241A0D2">
      <w:pPr>
        <w:ind w:firstLine="480"/>
        <w:rPr>
          <w:lang w:eastAsia="zh-CN"/>
        </w:rPr>
      </w:pPr>
      <w:r>
        <w:rPr>
          <w:rFonts w:hint="eastAsia"/>
          <w:lang w:eastAsia="zh-CN"/>
        </w:rPr>
        <w:t>(3)野生动植物保护性投入概算</w:t>
      </w:r>
    </w:p>
    <w:p w14:paraId="6AC38143">
      <w:pPr>
        <w:ind w:firstLine="480"/>
        <w:rPr>
          <w:lang w:eastAsia="zh-CN"/>
        </w:rPr>
      </w:pPr>
      <w:r>
        <w:rPr>
          <w:rFonts w:hint="eastAsia"/>
          <w:lang w:eastAsia="zh-CN"/>
        </w:rPr>
        <w:t>开展野生动植物保护性的管护工作每年投入约为15万元，需投入</w:t>
      </w:r>
      <w:r>
        <w:rPr>
          <w:rFonts w:hint="eastAsia"/>
          <w:lang w:val="en-US" w:eastAsia="zh-CN"/>
        </w:rPr>
        <w:t>105</w:t>
      </w:r>
      <w:r>
        <w:rPr>
          <w:rFonts w:hint="eastAsia"/>
          <w:lang w:eastAsia="zh-CN"/>
        </w:rPr>
        <w:t>万元；开展野生动植物专项调查40万元，前期2024—2025年两年完成。本经营期共需投入145万元。不包括基建性投入。详情见表10-3。</w:t>
      </w:r>
    </w:p>
    <w:p w14:paraId="6942D389">
      <w:pPr>
        <w:kinsoku/>
        <w:autoSpaceDE/>
        <w:autoSpaceDN/>
        <w:adjustRightInd/>
        <w:snapToGrid/>
        <w:spacing w:line="240" w:lineRule="auto"/>
        <w:ind w:firstLine="0" w:firstLineChars="0"/>
        <w:jc w:val="left"/>
        <w:textAlignment w:val="auto"/>
        <w:rPr>
          <w:lang w:eastAsia="zh-CN"/>
        </w:rPr>
      </w:pPr>
      <w:r>
        <w:rPr>
          <w:lang w:eastAsia="zh-CN"/>
        </w:rPr>
        <w:br w:type="page"/>
      </w:r>
    </w:p>
    <w:p w14:paraId="43BA13B3">
      <w:pPr>
        <w:spacing w:line="240" w:lineRule="auto"/>
        <w:ind w:firstLine="0" w:firstLineChars="0"/>
        <w:jc w:val="center"/>
        <w:rPr>
          <w:rFonts w:eastAsia="黑体"/>
          <w:b/>
          <w:bCs/>
          <w:lang w:eastAsia="zh-CN"/>
        </w:rPr>
      </w:pPr>
      <w:r>
        <w:rPr>
          <w:rFonts w:hint="eastAsia" w:eastAsia="黑体"/>
          <w:b/>
          <w:bCs/>
          <w:lang w:eastAsia="zh-CN"/>
        </w:rPr>
        <w:t>表</w:t>
      </w:r>
      <w:r>
        <w:rPr>
          <w:rFonts w:eastAsia="黑体" w:cs="Times New Roman"/>
          <w:b/>
          <w:bCs/>
          <w:lang w:eastAsia="zh-CN"/>
        </w:rPr>
        <w:t>10-</w:t>
      </w:r>
      <w:r>
        <w:rPr>
          <w:rFonts w:hint="eastAsia" w:eastAsia="黑体" w:cs="Times New Roman"/>
          <w:b/>
          <w:bCs/>
          <w:lang w:eastAsia="zh-CN"/>
        </w:rPr>
        <w:t>3</w:t>
      </w:r>
      <w:r>
        <w:rPr>
          <w:rFonts w:hint="eastAsia" w:eastAsia="黑体"/>
          <w:b/>
          <w:bCs/>
          <w:lang w:eastAsia="zh-CN"/>
        </w:rPr>
        <w:t>森林健康与生物多样性保护投入估算表</w:t>
      </w:r>
    </w:p>
    <w:p w14:paraId="54928734">
      <w:pPr>
        <w:spacing w:line="240" w:lineRule="auto"/>
        <w:ind w:firstLine="0" w:firstLineChars="0"/>
        <w:jc w:val="right"/>
        <w:rPr>
          <w:sz w:val="21"/>
        </w:rPr>
      </w:pPr>
      <w:r>
        <w:rPr>
          <w:rFonts w:hint="eastAsia"/>
          <w:sz w:val="21"/>
        </w:rPr>
        <w:t>单位：万元</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8"/>
        <w:gridCol w:w="986"/>
        <w:gridCol w:w="986"/>
        <w:gridCol w:w="986"/>
        <w:gridCol w:w="986"/>
        <w:gridCol w:w="986"/>
        <w:gridCol w:w="986"/>
        <w:gridCol w:w="908"/>
      </w:tblGrid>
      <w:tr w14:paraId="12923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1" w:type="pct"/>
            <w:tcBorders>
              <w:tl2br w:val="single" w:color="auto" w:sz="4" w:space="0"/>
            </w:tcBorders>
          </w:tcPr>
          <w:p w14:paraId="1459B32E">
            <w:pPr>
              <w:widowControl w:val="0"/>
              <w:spacing w:line="240" w:lineRule="auto"/>
              <w:ind w:firstLine="0" w:firstLineChars="0"/>
              <w:jc w:val="right"/>
              <w:rPr>
                <w:rFonts w:ascii="Calibri" w:hAnsi="Calibri" w:cs="宋体"/>
                <w:sz w:val="21"/>
              </w:rPr>
            </w:pPr>
            <w:r>
              <w:rPr>
                <w:rFonts w:hint="eastAsia" w:ascii="Calibri" w:hAnsi="Calibri" w:cs="宋体"/>
                <w:sz w:val="21"/>
              </w:rPr>
              <w:t>年度</w:t>
            </w:r>
          </w:p>
          <w:p w14:paraId="503BA4A8">
            <w:pPr>
              <w:widowControl w:val="0"/>
              <w:spacing w:line="240" w:lineRule="auto"/>
              <w:ind w:firstLine="0" w:firstLineChars="0"/>
              <w:rPr>
                <w:rFonts w:ascii="Calibri" w:hAnsi="Calibri" w:cs="宋体"/>
                <w:sz w:val="21"/>
              </w:rPr>
            </w:pPr>
            <w:r>
              <w:rPr>
                <w:rFonts w:hint="eastAsia" w:ascii="Calibri" w:hAnsi="Calibri" w:cs="宋体"/>
                <w:sz w:val="21"/>
              </w:rPr>
              <w:t>项目</w:t>
            </w:r>
          </w:p>
        </w:tc>
        <w:tc>
          <w:tcPr>
            <w:tcW w:w="553" w:type="pct"/>
            <w:vAlign w:val="center"/>
          </w:tcPr>
          <w:p w14:paraId="1B289CAC">
            <w:pPr>
              <w:widowControl w:val="0"/>
              <w:spacing w:line="240" w:lineRule="auto"/>
              <w:ind w:firstLine="0" w:firstLineChars="0"/>
              <w:jc w:val="center"/>
              <w:rPr>
                <w:rFonts w:ascii="Calibri" w:hAnsi="Calibri" w:cs="宋体"/>
                <w:sz w:val="21"/>
              </w:rPr>
            </w:pPr>
            <w:r>
              <w:rPr>
                <w:rFonts w:hint="eastAsia" w:ascii="Calibri" w:hAnsi="Calibri" w:cs="宋体"/>
                <w:sz w:val="21"/>
              </w:rPr>
              <w:t>合计</w:t>
            </w:r>
          </w:p>
        </w:tc>
        <w:tc>
          <w:tcPr>
            <w:tcW w:w="553" w:type="pct"/>
            <w:vAlign w:val="center"/>
          </w:tcPr>
          <w:p w14:paraId="000F2B95">
            <w:pPr>
              <w:widowControl w:val="0"/>
              <w:spacing w:line="240" w:lineRule="auto"/>
              <w:ind w:firstLine="0" w:firstLineChars="0"/>
              <w:jc w:val="center"/>
              <w:rPr>
                <w:rFonts w:ascii="Calibri" w:hAnsi="Calibri" w:cs="宋体"/>
                <w:sz w:val="21"/>
                <w:lang w:eastAsia="zh-CN"/>
              </w:rPr>
            </w:pPr>
            <w:r>
              <w:rPr>
                <w:rFonts w:hint="eastAsia" w:ascii="Calibri" w:hAnsi="Calibri" w:cs="宋体"/>
                <w:sz w:val="21"/>
              </w:rPr>
              <w:t>202</w:t>
            </w:r>
            <w:r>
              <w:rPr>
                <w:rFonts w:hint="eastAsia" w:ascii="Calibri" w:hAnsi="Calibri" w:cs="宋体"/>
                <w:sz w:val="21"/>
                <w:lang w:eastAsia="zh-CN"/>
              </w:rPr>
              <w:t>4</w:t>
            </w:r>
          </w:p>
        </w:tc>
        <w:tc>
          <w:tcPr>
            <w:tcW w:w="553" w:type="pct"/>
            <w:vAlign w:val="center"/>
          </w:tcPr>
          <w:p w14:paraId="6107B657">
            <w:pPr>
              <w:widowControl w:val="0"/>
              <w:spacing w:line="240" w:lineRule="auto"/>
              <w:ind w:firstLine="0" w:firstLineChars="0"/>
              <w:jc w:val="center"/>
              <w:rPr>
                <w:rFonts w:ascii="Calibri" w:hAnsi="Calibri" w:cs="宋体"/>
                <w:sz w:val="21"/>
                <w:lang w:eastAsia="zh-CN"/>
              </w:rPr>
            </w:pPr>
            <w:r>
              <w:rPr>
                <w:rFonts w:hint="eastAsia" w:ascii="Calibri" w:hAnsi="Calibri" w:cs="宋体"/>
                <w:sz w:val="21"/>
              </w:rPr>
              <w:t>202</w:t>
            </w:r>
            <w:r>
              <w:rPr>
                <w:rFonts w:hint="eastAsia" w:ascii="Calibri" w:hAnsi="Calibri" w:cs="宋体"/>
                <w:sz w:val="21"/>
                <w:lang w:eastAsia="zh-CN"/>
              </w:rPr>
              <w:t>5</w:t>
            </w:r>
          </w:p>
        </w:tc>
        <w:tc>
          <w:tcPr>
            <w:tcW w:w="553" w:type="pct"/>
            <w:vAlign w:val="center"/>
          </w:tcPr>
          <w:p w14:paraId="7FEAFED2">
            <w:pPr>
              <w:widowControl w:val="0"/>
              <w:spacing w:line="240" w:lineRule="auto"/>
              <w:ind w:firstLine="0" w:firstLineChars="0"/>
              <w:jc w:val="center"/>
              <w:rPr>
                <w:rFonts w:ascii="Calibri" w:hAnsi="Calibri" w:cs="宋体"/>
                <w:sz w:val="21"/>
                <w:lang w:eastAsia="zh-CN"/>
              </w:rPr>
            </w:pPr>
            <w:r>
              <w:rPr>
                <w:rFonts w:hint="eastAsia" w:ascii="Calibri" w:hAnsi="Calibri" w:cs="宋体"/>
                <w:sz w:val="21"/>
              </w:rPr>
              <w:t>202</w:t>
            </w:r>
            <w:r>
              <w:rPr>
                <w:rFonts w:hint="eastAsia" w:ascii="Calibri" w:hAnsi="Calibri" w:cs="宋体"/>
                <w:sz w:val="21"/>
                <w:lang w:eastAsia="zh-CN"/>
              </w:rPr>
              <w:t>6</w:t>
            </w:r>
          </w:p>
        </w:tc>
        <w:tc>
          <w:tcPr>
            <w:tcW w:w="553" w:type="pct"/>
            <w:vAlign w:val="center"/>
          </w:tcPr>
          <w:p w14:paraId="753EB63F">
            <w:pPr>
              <w:widowControl w:val="0"/>
              <w:spacing w:line="240" w:lineRule="auto"/>
              <w:ind w:firstLine="0" w:firstLineChars="0"/>
              <w:jc w:val="center"/>
              <w:rPr>
                <w:rFonts w:ascii="Calibri" w:hAnsi="Calibri" w:cs="宋体"/>
                <w:sz w:val="21"/>
                <w:lang w:eastAsia="zh-CN"/>
              </w:rPr>
            </w:pPr>
            <w:r>
              <w:rPr>
                <w:rFonts w:hint="eastAsia" w:ascii="Calibri" w:hAnsi="Calibri" w:cs="宋体"/>
                <w:sz w:val="21"/>
              </w:rPr>
              <w:t>202</w:t>
            </w:r>
            <w:r>
              <w:rPr>
                <w:rFonts w:hint="eastAsia" w:ascii="Calibri" w:hAnsi="Calibri" w:cs="宋体"/>
                <w:sz w:val="21"/>
                <w:lang w:eastAsia="zh-CN"/>
              </w:rPr>
              <w:t>7</w:t>
            </w:r>
          </w:p>
        </w:tc>
        <w:tc>
          <w:tcPr>
            <w:tcW w:w="553" w:type="pct"/>
            <w:vAlign w:val="center"/>
          </w:tcPr>
          <w:p w14:paraId="01E287C0">
            <w:pPr>
              <w:widowControl w:val="0"/>
              <w:spacing w:line="240" w:lineRule="auto"/>
              <w:ind w:firstLine="0" w:firstLineChars="0"/>
              <w:jc w:val="center"/>
              <w:rPr>
                <w:rFonts w:ascii="Calibri" w:hAnsi="Calibri" w:cs="宋体"/>
                <w:sz w:val="21"/>
                <w:lang w:eastAsia="zh-CN"/>
              </w:rPr>
            </w:pPr>
            <w:r>
              <w:rPr>
                <w:rFonts w:hint="eastAsia" w:ascii="Calibri" w:hAnsi="Calibri" w:cs="宋体"/>
                <w:sz w:val="21"/>
              </w:rPr>
              <w:t>202</w:t>
            </w:r>
            <w:r>
              <w:rPr>
                <w:rFonts w:hint="eastAsia" w:ascii="Calibri" w:hAnsi="Calibri" w:cs="宋体"/>
                <w:sz w:val="21"/>
                <w:lang w:eastAsia="zh-CN"/>
              </w:rPr>
              <w:t>8</w:t>
            </w:r>
          </w:p>
        </w:tc>
        <w:tc>
          <w:tcPr>
            <w:tcW w:w="509" w:type="pct"/>
            <w:vAlign w:val="center"/>
          </w:tcPr>
          <w:p w14:paraId="6A7E83C6">
            <w:pPr>
              <w:widowControl w:val="0"/>
              <w:spacing w:line="240" w:lineRule="auto"/>
              <w:ind w:firstLine="0" w:firstLineChars="0"/>
              <w:jc w:val="center"/>
              <w:rPr>
                <w:rFonts w:ascii="Calibri" w:hAnsi="Calibri" w:cs="宋体"/>
                <w:sz w:val="21"/>
              </w:rPr>
            </w:pPr>
            <w:r>
              <w:rPr>
                <w:rFonts w:hint="eastAsia" w:ascii="Calibri" w:hAnsi="Calibri" w:cs="宋体"/>
                <w:sz w:val="21"/>
              </w:rPr>
              <w:t>后期</w:t>
            </w:r>
          </w:p>
        </w:tc>
      </w:tr>
      <w:tr w14:paraId="66AE1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1" w:type="pct"/>
            <w:vAlign w:val="center"/>
          </w:tcPr>
          <w:p w14:paraId="0E68CC13">
            <w:pPr>
              <w:widowControl w:val="0"/>
              <w:spacing w:line="240" w:lineRule="auto"/>
              <w:ind w:firstLine="0" w:firstLineChars="0"/>
              <w:jc w:val="center"/>
              <w:rPr>
                <w:rFonts w:ascii="Calibri" w:hAnsi="Calibri" w:cs="宋体"/>
                <w:sz w:val="21"/>
              </w:rPr>
            </w:pPr>
            <w:r>
              <w:rPr>
                <w:rFonts w:hint="eastAsia" w:ascii="Calibri" w:hAnsi="Calibri" w:cs="宋体"/>
                <w:sz w:val="21"/>
              </w:rPr>
              <w:t>合计</w:t>
            </w:r>
          </w:p>
        </w:tc>
        <w:tc>
          <w:tcPr>
            <w:tcW w:w="553" w:type="pct"/>
            <w:vAlign w:val="center"/>
          </w:tcPr>
          <w:p w14:paraId="6569B7D0">
            <w:pPr>
              <w:widowControl/>
              <w:spacing w:line="240" w:lineRule="auto"/>
              <w:ind w:firstLine="0" w:firstLineChars="0"/>
              <w:jc w:val="center"/>
              <w:textAlignment w:val="center"/>
              <w:rPr>
                <w:rFonts w:ascii="Calibri" w:hAnsi="Calibri" w:cs="宋体"/>
                <w:sz w:val="21"/>
                <w:lang w:eastAsia="zh-CN"/>
              </w:rPr>
            </w:pPr>
            <w:r>
              <w:rPr>
                <w:rFonts w:hint="eastAsia" w:ascii="Calibri" w:hAnsi="Calibri" w:cs="宋体"/>
                <w:sz w:val="21"/>
                <w:lang w:eastAsia="zh-CN"/>
              </w:rPr>
              <w:t>709.65</w:t>
            </w:r>
          </w:p>
        </w:tc>
        <w:tc>
          <w:tcPr>
            <w:tcW w:w="553" w:type="pct"/>
            <w:vAlign w:val="center"/>
          </w:tcPr>
          <w:p w14:paraId="23BD8845">
            <w:pPr>
              <w:widowControl/>
              <w:spacing w:line="240" w:lineRule="auto"/>
              <w:ind w:firstLine="0" w:firstLineChars="0"/>
              <w:jc w:val="center"/>
              <w:textAlignment w:val="center"/>
              <w:rPr>
                <w:rFonts w:ascii="Calibri" w:hAnsi="Calibri" w:cs="宋体"/>
                <w:sz w:val="21"/>
              </w:rPr>
            </w:pPr>
            <w:r>
              <w:rPr>
                <w:rFonts w:hint="eastAsia" w:ascii="Calibri" w:hAnsi="Calibri" w:cs="宋体"/>
                <w:sz w:val="21"/>
                <w:lang w:bidi="ar"/>
              </w:rPr>
              <w:t>123.93</w:t>
            </w:r>
          </w:p>
        </w:tc>
        <w:tc>
          <w:tcPr>
            <w:tcW w:w="553" w:type="pct"/>
            <w:vAlign w:val="center"/>
          </w:tcPr>
          <w:p w14:paraId="39219383">
            <w:pPr>
              <w:widowControl/>
              <w:spacing w:line="240" w:lineRule="auto"/>
              <w:ind w:firstLine="0" w:firstLineChars="0"/>
              <w:jc w:val="center"/>
              <w:textAlignment w:val="center"/>
              <w:rPr>
                <w:rFonts w:ascii="Calibri" w:hAnsi="Calibri" w:cs="宋体"/>
                <w:sz w:val="21"/>
              </w:rPr>
            </w:pPr>
            <w:r>
              <w:rPr>
                <w:rFonts w:hint="eastAsia" w:ascii="Calibri" w:hAnsi="Calibri" w:cs="宋体"/>
                <w:sz w:val="21"/>
                <w:lang w:bidi="ar"/>
              </w:rPr>
              <w:t>123.93</w:t>
            </w:r>
          </w:p>
        </w:tc>
        <w:tc>
          <w:tcPr>
            <w:tcW w:w="553" w:type="pct"/>
            <w:vAlign w:val="center"/>
          </w:tcPr>
          <w:p w14:paraId="5824D743">
            <w:pPr>
              <w:widowControl/>
              <w:spacing w:line="240" w:lineRule="auto"/>
              <w:ind w:firstLine="0" w:firstLineChars="0"/>
              <w:jc w:val="center"/>
              <w:textAlignment w:val="center"/>
              <w:rPr>
                <w:rFonts w:ascii="Calibri" w:hAnsi="Calibri" w:cs="宋体"/>
                <w:sz w:val="21"/>
              </w:rPr>
            </w:pPr>
            <w:r>
              <w:rPr>
                <w:rFonts w:hint="eastAsia" w:ascii="Calibri" w:hAnsi="Calibri" w:cs="宋体"/>
                <w:sz w:val="21"/>
                <w:lang w:bidi="ar"/>
              </w:rPr>
              <w:t>103.93</w:t>
            </w:r>
          </w:p>
        </w:tc>
        <w:tc>
          <w:tcPr>
            <w:tcW w:w="553" w:type="pct"/>
            <w:vAlign w:val="center"/>
          </w:tcPr>
          <w:p w14:paraId="18631AE8">
            <w:pPr>
              <w:widowControl/>
              <w:spacing w:line="240" w:lineRule="auto"/>
              <w:ind w:firstLine="0" w:firstLineChars="0"/>
              <w:jc w:val="center"/>
              <w:textAlignment w:val="center"/>
              <w:rPr>
                <w:rFonts w:ascii="Calibri" w:hAnsi="Calibri" w:cs="宋体"/>
                <w:sz w:val="21"/>
              </w:rPr>
            </w:pPr>
            <w:r>
              <w:rPr>
                <w:rFonts w:hint="eastAsia" w:ascii="Calibri" w:hAnsi="Calibri" w:cs="宋体"/>
                <w:sz w:val="21"/>
                <w:lang w:bidi="ar"/>
              </w:rPr>
              <w:t>103.93</w:t>
            </w:r>
          </w:p>
        </w:tc>
        <w:tc>
          <w:tcPr>
            <w:tcW w:w="553" w:type="pct"/>
            <w:vAlign w:val="center"/>
          </w:tcPr>
          <w:p w14:paraId="2D0BE989">
            <w:pPr>
              <w:widowControl/>
              <w:spacing w:line="240" w:lineRule="auto"/>
              <w:ind w:firstLine="0" w:firstLineChars="0"/>
              <w:jc w:val="center"/>
              <w:textAlignment w:val="center"/>
              <w:rPr>
                <w:rFonts w:ascii="Calibri" w:hAnsi="Calibri" w:cs="宋体"/>
                <w:sz w:val="21"/>
              </w:rPr>
            </w:pPr>
            <w:r>
              <w:rPr>
                <w:rFonts w:hint="eastAsia" w:ascii="Calibri" w:hAnsi="Calibri" w:cs="宋体"/>
                <w:sz w:val="21"/>
                <w:lang w:bidi="ar"/>
              </w:rPr>
              <w:t>103.93</w:t>
            </w:r>
          </w:p>
        </w:tc>
        <w:tc>
          <w:tcPr>
            <w:tcW w:w="509" w:type="pct"/>
            <w:vAlign w:val="center"/>
          </w:tcPr>
          <w:p w14:paraId="3D0AE989">
            <w:pPr>
              <w:widowControl/>
              <w:spacing w:line="240" w:lineRule="auto"/>
              <w:ind w:firstLine="0" w:firstLineChars="0"/>
              <w:jc w:val="center"/>
              <w:textAlignment w:val="center"/>
              <w:rPr>
                <w:rFonts w:ascii="Calibri" w:hAnsi="Calibri" w:cs="宋体"/>
                <w:sz w:val="21"/>
                <w:lang w:eastAsia="zh-CN"/>
              </w:rPr>
            </w:pPr>
            <w:r>
              <w:rPr>
                <w:rFonts w:hint="eastAsia" w:ascii="Calibri" w:hAnsi="Calibri" w:cs="宋体"/>
                <w:sz w:val="21"/>
                <w:lang w:eastAsia="zh-CN" w:bidi="ar"/>
              </w:rPr>
              <w:t>150</w:t>
            </w:r>
          </w:p>
        </w:tc>
      </w:tr>
      <w:tr w14:paraId="643C2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1" w:type="pct"/>
            <w:vAlign w:val="center"/>
          </w:tcPr>
          <w:p w14:paraId="3F096BC8">
            <w:pPr>
              <w:widowControl w:val="0"/>
              <w:spacing w:line="240" w:lineRule="auto"/>
              <w:ind w:firstLine="0" w:firstLineChars="0"/>
              <w:jc w:val="center"/>
              <w:rPr>
                <w:rFonts w:ascii="Calibri" w:hAnsi="Calibri" w:cs="宋体"/>
                <w:sz w:val="21"/>
              </w:rPr>
            </w:pPr>
            <w:r>
              <w:rPr>
                <w:rFonts w:hint="eastAsia" w:ascii="Calibri" w:hAnsi="Calibri" w:cs="宋体"/>
                <w:sz w:val="21"/>
              </w:rPr>
              <w:t>森林防火</w:t>
            </w:r>
          </w:p>
        </w:tc>
        <w:tc>
          <w:tcPr>
            <w:tcW w:w="553" w:type="pct"/>
            <w:vAlign w:val="center"/>
          </w:tcPr>
          <w:p w14:paraId="6778ADF9">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494.65</w:t>
            </w:r>
          </w:p>
        </w:tc>
        <w:tc>
          <w:tcPr>
            <w:tcW w:w="553" w:type="pct"/>
            <w:vAlign w:val="center"/>
          </w:tcPr>
          <w:p w14:paraId="1BB70CE4">
            <w:pPr>
              <w:widowControl w:val="0"/>
              <w:spacing w:line="240" w:lineRule="auto"/>
              <w:ind w:firstLine="0" w:firstLineChars="0"/>
              <w:jc w:val="center"/>
              <w:rPr>
                <w:rFonts w:ascii="Calibri" w:hAnsi="Calibri" w:cs="宋体"/>
                <w:sz w:val="21"/>
              </w:rPr>
            </w:pPr>
            <w:r>
              <w:rPr>
                <w:rFonts w:hint="eastAsia" w:ascii="Calibri" w:hAnsi="Calibri" w:cs="宋体"/>
                <w:sz w:val="21"/>
              </w:rPr>
              <w:t>78.93</w:t>
            </w:r>
          </w:p>
        </w:tc>
        <w:tc>
          <w:tcPr>
            <w:tcW w:w="553" w:type="pct"/>
            <w:vAlign w:val="center"/>
          </w:tcPr>
          <w:p w14:paraId="58763BBA">
            <w:pPr>
              <w:widowControl w:val="0"/>
              <w:spacing w:line="240" w:lineRule="auto"/>
              <w:ind w:firstLine="0" w:firstLineChars="0"/>
              <w:jc w:val="center"/>
              <w:rPr>
                <w:rFonts w:ascii="Calibri" w:hAnsi="Calibri" w:cs="宋体"/>
                <w:sz w:val="21"/>
              </w:rPr>
            </w:pPr>
            <w:r>
              <w:rPr>
                <w:rFonts w:hint="eastAsia" w:ascii="Calibri" w:hAnsi="Calibri" w:cs="宋体"/>
                <w:sz w:val="21"/>
              </w:rPr>
              <w:t>78.93</w:t>
            </w:r>
          </w:p>
        </w:tc>
        <w:tc>
          <w:tcPr>
            <w:tcW w:w="553" w:type="pct"/>
            <w:vAlign w:val="center"/>
          </w:tcPr>
          <w:p w14:paraId="4ADE318D">
            <w:pPr>
              <w:widowControl w:val="0"/>
              <w:spacing w:line="240" w:lineRule="auto"/>
              <w:ind w:firstLine="0" w:firstLineChars="0"/>
              <w:jc w:val="center"/>
              <w:rPr>
                <w:rFonts w:ascii="Calibri" w:hAnsi="Calibri" w:cs="宋体"/>
                <w:sz w:val="21"/>
              </w:rPr>
            </w:pPr>
            <w:r>
              <w:rPr>
                <w:rFonts w:hint="eastAsia" w:ascii="Calibri" w:hAnsi="Calibri" w:cs="宋体"/>
                <w:sz w:val="21"/>
              </w:rPr>
              <w:t>78.93</w:t>
            </w:r>
          </w:p>
        </w:tc>
        <w:tc>
          <w:tcPr>
            <w:tcW w:w="553" w:type="pct"/>
            <w:vAlign w:val="center"/>
          </w:tcPr>
          <w:p w14:paraId="491FC60A">
            <w:pPr>
              <w:widowControl w:val="0"/>
              <w:spacing w:line="240" w:lineRule="auto"/>
              <w:ind w:firstLine="0" w:firstLineChars="0"/>
              <w:jc w:val="center"/>
              <w:rPr>
                <w:rFonts w:ascii="Calibri" w:hAnsi="Calibri" w:cs="宋体"/>
                <w:sz w:val="21"/>
              </w:rPr>
            </w:pPr>
            <w:r>
              <w:rPr>
                <w:rFonts w:hint="eastAsia" w:ascii="Calibri" w:hAnsi="Calibri" w:cs="宋体"/>
                <w:sz w:val="21"/>
              </w:rPr>
              <w:t>78.93</w:t>
            </w:r>
          </w:p>
        </w:tc>
        <w:tc>
          <w:tcPr>
            <w:tcW w:w="553" w:type="pct"/>
            <w:vAlign w:val="center"/>
          </w:tcPr>
          <w:p w14:paraId="62FD42F9">
            <w:pPr>
              <w:widowControl w:val="0"/>
              <w:spacing w:line="240" w:lineRule="auto"/>
              <w:ind w:firstLine="0" w:firstLineChars="0"/>
              <w:jc w:val="center"/>
              <w:rPr>
                <w:rFonts w:ascii="Calibri" w:hAnsi="Calibri" w:cs="宋体"/>
                <w:sz w:val="21"/>
              </w:rPr>
            </w:pPr>
            <w:r>
              <w:rPr>
                <w:rFonts w:hint="eastAsia" w:ascii="Calibri" w:hAnsi="Calibri" w:cs="宋体"/>
                <w:sz w:val="21"/>
              </w:rPr>
              <w:t>78.93</w:t>
            </w:r>
          </w:p>
        </w:tc>
        <w:tc>
          <w:tcPr>
            <w:tcW w:w="509" w:type="pct"/>
            <w:vAlign w:val="center"/>
          </w:tcPr>
          <w:p w14:paraId="28FF4664">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100</w:t>
            </w:r>
          </w:p>
        </w:tc>
      </w:tr>
      <w:tr w14:paraId="65354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1" w:type="pct"/>
            <w:vAlign w:val="center"/>
          </w:tcPr>
          <w:p w14:paraId="73CE5CCB">
            <w:pPr>
              <w:widowControl w:val="0"/>
              <w:spacing w:line="240" w:lineRule="auto"/>
              <w:ind w:firstLine="0" w:firstLineChars="0"/>
              <w:jc w:val="center"/>
              <w:rPr>
                <w:rFonts w:ascii="Calibri" w:hAnsi="Calibri" w:cs="宋体"/>
                <w:sz w:val="21"/>
              </w:rPr>
            </w:pPr>
            <w:r>
              <w:rPr>
                <w:rFonts w:hint="eastAsia" w:ascii="Calibri" w:hAnsi="Calibri" w:cs="宋体"/>
                <w:sz w:val="21"/>
              </w:rPr>
              <w:t>病虫害防治</w:t>
            </w:r>
          </w:p>
        </w:tc>
        <w:tc>
          <w:tcPr>
            <w:tcW w:w="553" w:type="pct"/>
            <w:vAlign w:val="center"/>
          </w:tcPr>
          <w:p w14:paraId="4ECADD58">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70</w:t>
            </w:r>
          </w:p>
        </w:tc>
        <w:tc>
          <w:tcPr>
            <w:tcW w:w="553" w:type="pct"/>
            <w:vAlign w:val="center"/>
          </w:tcPr>
          <w:p w14:paraId="579A4DB6">
            <w:pPr>
              <w:widowControl w:val="0"/>
              <w:spacing w:line="240" w:lineRule="auto"/>
              <w:ind w:firstLine="0" w:firstLineChars="0"/>
              <w:jc w:val="center"/>
              <w:rPr>
                <w:rFonts w:ascii="Calibri" w:hAnsi="Calibri" w:cs="宋体"/>
                <w:sz w:val="21"/>
              </w:rPr>
            </w:pPr>
            <w:r>
              <w:rPr>
                <w:rFonts w:hint="eastAsia" w:ascii="Calibri" w:hAnsi="Calibri" w:cs="宋体"/>
                <w:sz w:val="21"/>
              </w:rPr>
              <w:t>10</w:t>
            </w:r>
          </w:p>
        </w:tc>
        <w:tc>
          <w:tcPr>
            <w:tcW w:w="553" w:type="pct"/>
            <w:vAlign w:val="center"/>
          </w:tcPr>
          <w:p w14:paraId="55A429AA">
            <w:pPr>
              <w:widowControl w:val="0"/>
              <w:spacing w:line="240" w:lineRule="auto"/>
              <w:ind w:firstLine="0" w:firstLineChars="0"/>
              <w:jc w:val="center"/>
              <w:rPr>
                <w:rFonts w:ascii="Calibri" w:hAnsi="Calibri" w:cs="宋体"/>
                <w:sz w:val="21"/>
              </w:rPr>
            </w:pPr>
            <w:r>
              <w:rPr>
                <w:rFonts w:hint="eastAsia" w:ascii="Calibri" w:hAnsi="Calibri" w:cs="宋体"/>
                <w:sz w:val="21"/>
              </w:rPr>
              <w:t>10</w:t>
            </w:r>
          </w:p>
        </w:tc>
        <w:tc>
          <w:tcPr>
            <w:tcW w:w="553" w:type="pct"/>
            <w:vAlign w:val="center"/>
          </w:tcPr>
          <w:p w14:paraId="15DF43D7">
            <w:pPr>
              <w:widowControl w:val="0"/>
              <w:spacing w:line="240" w:lineRule="auto"/>
              <w:ind w:firstLine="0" w:firstLineChars="0"/>
              <w:jc w:val="center"/>
              <w:rPr>
                <w:rFonts w:ascii="Calibri" w:hAnsi="Calibri" w:cs="宋体"/>
                <w:sz w:val="21"/>
              </w:rPr>
            </w:pPr>
            <w:r>
              <w:rPr>
                <w:rFonts w:hint="eastAsia" w:ascii="Calibri" w:hAnsi="Calibri" w:cs="宋体"/>
                <w:sz w:val="21"/>
              </w:rPr>
              <w:t>10</w:t>
            </w:r>
          </w:p>
        </w:tc>
        <w:tc>
          <w:tcPr>
            <w:tcW w:w="553" w:type="pct"/>
            <w:vAlign w:val="center"/>
          </w:tcPr>
          <w:p w14:paraId="313A43DB">
            <w:pPr>
              <w:widowControl w:val="0"/>
              <w:spacing w:line="240" w:lineRule="auto"/>
              <w:ind w:firstLine="0" w:firstLineChars="0"/>
              <w:jc w:val="center"/>
              <w:rPr>
                <w:rFonts w:ascii="Calibri" w:hAnsi="Calibri" w:cs="宋体"/>
                <w:sz w:val="21"/>
              </w:rPr>
            </w:pPr>
            <w:r>
              <w:rPr>
                <w:rFonts w:hint="eastAsia" w:ascii="Calibri" w:hAnsi="Calibri" w:cs="宋体"/>
                <w:sz w:val="21"/>
              </w:rPr>
              <w:t>10</w:t>
            </w:r>
          </w:p>
        </w:tc>
        <w:tc>
          <w:tcPr>
            <w:tcW w:w="553" w:type="pct"/>
            <w:vAlign w:val="center"/>
          </w:tcPr>
          <w:p w14:paraId="2349FD9B">
            <w:pPr>
              <w:widowControl w:val="0"/>
              <w:spacing w:line="240" w:lineRule="auto"/>
              <w:ind w:firstLine="0" w:firstLineChars="0"/>
              <w:jc w:val="center"/>
              <w:rPr>
                <w:rFonts w:ascii="Calibri" w:hAnsi="Calibri" w:cs="宋体"/>
                <w:sz w:val="21"/>
              </w:rPr>
            </w:pPr>
            <w:r>
              <w:rPr>
                <w:rFonts w:hint="eastAsia" w:ascii="Calibri" w:hAnsi="Calibri" w:cs="宋体"/>
                <w:sz w:val="21"/>
              </w:rPr>
              <w:t>10</w:t>
            </w:r>
          </w:p>
        </w:tc>
        <w:tc>
          <w:tcPr>
            <w:tcW w:w="509" w:type="pct"/>
            <w:vAlign w:val="center"/>
          </w:tcPr>
          <w:p w14:paraId="6892DD00">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20</w:t>
            </w:r>
          </w:p>
        </w:tc>
      </w:tr>
      <w:tr w14:paraId="4D2D0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1" w:type="pct"/>
            <w:vAlign w:val="center"/>
          </w:tcPr>
          <w:p w14:paraId="477CEA9D">
            <w:pPr>
              <w:widowControl w:val="0"/>
              <w:spacing w:line="240" w:lineRule="auto"/>
              <w:ind w:firstLine="0" w:firstLineChars="0"/>
              <w:jc w:val="center"/>
              <w:rPr>
                <w:rFonts w:ascii="Calibri" w:hAnsi="Calibri" w:cs="宋体"/>
                <w:sz w:val="21"/>
              </w:rPr>
            </w:pPr>
            <w:r>
              <w:rPr>
                <w:rFonts w:hint="eastAsia" w:ascii="Calibri" w:hAnsi="Calibri" w:cs="宋体"/>
                <w:sz w:val="21"/>
              </w:rPr>
              <w:t>动植物保护</w:t>
            </w:r>
          </w:p>
        </w:tc>
        <w:tc>
          <w:tcPr>
            <w:tcW w:w="553" w:type="pct"/>
            <w:vAlign w:val="center"/>
          </w:tcPr>
          <w:p w14:paraId="1E41765C">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145</w:t>
            </w:r>
          </w:p>
        </w:tc>
        <w:tc>
          <w:tcPr>
            <w:tcW w:w="553" w:type="pct"/>
            <w:vAlign w:val="center"/>
          </w:tcPr>
          <w:p w14:paraId="50665B6C">
            <w:pPr>
              <w:widowControl w:val="0"/>
              <w:spacing w:line="240" w:lineRule="auto"/>
              <w:ind w:firstLine="0" w:firstLineChars="0"/>
              <w:jc w:val="center"/>
              <w:rPr>
                <w:rFonts w:ascii="Calibri" w:hAnsi="Calibri" w:cs="宋体"/>
                <w:sz w:val="21"/>
              </w:rPr>
            </w:pPr>
            <w:r>
              <w:rPr>
                <w:rFonts w:hint="eastAsia" w:ascii="Calibri" w:hAnsi="Calibri" w:cs="宋体"/>
                <w:sz w:val="21"/>
              </w:rPr>
              <w:t>35</w:t>
            </w:r>
          </w:p>
        </w:tc>
        <w:tc>
          <w:tcPr>
            <w:tcW w:w="553" w:type="pct"/>
            <w:vAlign w:val="center"/>
          </w:tcPr>
          <w:p w14:paraId="01CE1A53">
            <w:pPr>
              <w:widowControl w:val="0"/>
              <w:spacing w:line="240" w:lineRule="auto"/>
              <w:ind w:firstLine="0" w:firstLineChars="0"/>
              <w:jc w:val="center"/>
              <w:rPr>
                <w:rFonts w:ascii="Calibri" w:hAnsi="Calibri" w:cs="宋体"/>
                <w:sz w:val="21"/>
              </w:rPr>
            </w:pPr>
            <w:r>
              <w:rPr>
                <w:rFonts w:hint="eastAsia" w:ascii="Calibri" w:hAnsi="Calibri" w:cs="宋体"/>
                <w:sz w:val="21"/>
              </w:rPr>
              <w:t>35</w:t>
            </w:r>
          </w:p>
        </w:tc>
        <w:tc>
          <w:tcPr>
            <w:tcW w:w="553" w:type="pct"/>
            <w:vAlign w:val="center"/>
          </w:tcPr>
          <w:p w14:paraId="5AD49EB1">
            <w:pPr>
              <w:widowControl w:val="0"/>
              <w:spacing w:line="240" w:lineRule="auto"/>
              <w:ind w:firstLine="0" w:firstLineChars="0"/>
              <w:jc w:val="center"/>
              <w:rPr>
                <w:rFonts w:ascii="Calibri" w:hAnsi="Calibri" w:cs="宋体"/>
                <w:sz w:val="21"/>
              </w:rPr>
            </w:pPr>
            <w:r>
              <w:rPr>
                <w:rFonts w:hint="eastAsia" w:ascii="Calibri" w:hAnsi="Calibri" w:cs="宋体"/>
                <w:sz w:val="21"/>
              </w:rPr>
              <w:t>15</w:t>
            </w:r>
          </w:p>
        </w:tc>
        <w:tc>
          <w:tcPr>
            <w:tcW w:w="553" w:type="pct"/>
            <w:vAlign w:val="center"/>
          </w:tcPr>
          <w:p w14:paraId="29D8E384">
            <w:pPr>
              <w:widowControl w:val="0"/>
              <w:spacing w:line="240" w:lineRule="auto"/>
              <w:ind w:firstLine="0" w:firstLineChars="0"/>
              <w:jc w:val="center"/>
              <w:rPr>
                <w:rFonts w:ascii="Calibri" w:hAnsi="Calibri" w:cs="宋体"/>
                <w:sz w:val="21"/>
              </w:rPr>
            </w:pPr>
            <w:r>
              <w:rPr>
                <w:rFonts w:hint="eastAsia" w:ascii="Calibri" w:hAnsi="Calibri" w:cs="宋体"/>
                <w:sz w:val="21"/>
              </w:rPr>
              <w:t>15</w:t>
            </w:r>
          </w:p>
        </w:tc>
        <w:tc>
          <w:tcPr>
            <w:tcW w:w="553" w:type="pct"/>
            <w:vAlign w:val="center"/>
          </w:tcPr>
          <w:p w14:paraId="009D0910">
            <w:pPr>
              <w:widowControl w:val="0"/>
              <w:spacing w:line="240" w:lineRule="auto"/>
              <w:ind w:firstLine="0" w:firstLineChars="0"/>
              <w:jc w:val="center"/>
              <w:rPr>
                <w:rFonts w:ascii="Calibri" w:hAnsi="Calibri" w:cs="宋体"/>
                <w:sz w:val="21"/>
              </w:rPr>
            </w:pPr>
            <w:r>
              <w:rPr>
                <w:rFonts w:hint="eastAsia" w:ascii="Calibri" w:hAnsi="Calibri" w:cs="宋体"/>
                <w:sz w:val="21"/>
              </w:rPr>
              <w:t>15</w:t>
            </w:r>
          </w:p>
        </w:tc>
        <w:tc>
          <w:tcPr>
            <w:tcW w:w="509" w:type="pct"/>
            <w:vAlign w:val="center"/>
          </w:tcPr>
          <w:p w14:paraId="23715094">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30</w:t>
            </w:r>
          </w:p>
        </w:tc>
      </w:tr>
    </w:tbl>
    <w:p w14:paraId="5354907C">
      <w:pPr>
        <w:pStyle w:val="4"/>
      </w:pPr>
      <w:r>
        <w:rPr>
          <w:rFonts w:hint="eastAsia"/>
        </w:rPr>
        <w:t>10.1.7营林设施与经营能力投资概算</w:t>
      </w:r>
    </w:p>
    <w:p w14:paraId="6E37CA0C">
      <w:pPr>
        <w:ind w:firstLine="480"/>
        <w:rPr>
          <w:lang w:eastAsia="zh-CN"/>
        </w:rPr>
      </w:pPr>
      <w:r>
        <w:rPr>
          <w:rFonts w:hint="eastAsia"/>
          <w:lang w:eastAsia="zh-CN"/>
        </w:rPr>
        <w:t>(1)营林设施建设投入概算</w:t>
      </w:r>
    </w:p>
    <w:p w14:paraId="6D4F28DD">
      <w:pPr>
        <w:ind w:firstLine="480"/>
        <w:rPr>
          <w:lang w:eastAsia="zh-CN"/>
        </w:rPr>
      </w:pPr>
      <w:r>
        <w:rPr>
          <w:rFonts w:hint="eastAsia"/>
          <w:lang w:eastAsia="zh-CN"/>
        </w:rPr>
        <w:t>①林区公路建设</w:t>
      </w:r>
    </w:p>
    <w:p w14:paraId="10DFA5E4">
      <w:pPr>
        <w:ind w:firstLine="480"/>
        <w:rPr>
          <w:lang w:eastAsia="zh-CN"/>
        </w:rPr>
      </w:pPr>
      <w:r>
        <w:rPr>
          <w:rFonts w:hint="eastAsia"/>
          <w:lang w:eastAsia="zh-CN"/>
        </w:rPr>
        <w:t>现有林区公路提质改造22km，平均投入30万元/km，本经营期内需要投入为660万元。</w:t>
      </w:r>
    </w:p>
    <w:p w14:paraId="6EEBDC30">
      <w:pPr>
        <w:ind w:firstLine="480"/>
        <w:rPr>
          <w:lang w:eastAsia="zh-CN"/>
        </w:rPr>
      </w:pPr>
      <w:r>
        <w:rPr>
          <w:rFonts w:hint="eastAsia"/>
          <w:lang w:eastAsia="zh-CN"/>
        </w:rPr>
        <w:t>②巡护道路建设</w:t>
      </w:r>
    </w:p>
    <w:p w14:paraId="696B1EC3">
      <w:pPr>
        <w:ind w:firstLine="480"/>
        <w:rPr>
          <w:lang w:eastAsia="zh-CN"/>
        </w:rPr>
      </w:pPr>
      <w:r>
        <w:rPr>
          <w:rFonts w:hint="eastAsia"/>
          <w:lang w:eastAsia="zh-CN"/>
        </w:rPr>
        <w:t>本经营期巡护林道维护和扩建共14条林道，长97.5km，投入1.6万元/km，共需投入156万元。</w:t>
      </w:r>
    </w:p>
    <w:p w14:paraId="4D880C76">
      <w:pPr>
        <w:ind w:firstLine="480"/>
        <w:rPr>
          <w:lang w:eastAsia="zh-CN"/>
        </w:rPr>
      </w:pPr>
      <w:r>
        <w:rPr>
          <w:rFonts w:hint="eastAsia"/>
          <w:lang w:eastAsia="zh-CN"/>
        </w:rPr>
        <w:t>③管护用房改造</w:t>
      </w:r>
    </w:p>
    <w:p w14:paraId="7752DABD">
      <w:pPr>
        <w:ind w:firstLine="480"/>
        <w:rPr>
          <w:lang w:eastAsia="zh-CN"/>
        </w:rPr>
      </w:pPr>
      <w:r>
        <w:rPr>
          <w:rFonts w:hint="eastAsia"/>
          <w:lang w:eastAsia="zh-CN"/>
        </w:rPr>
        <w:t>据测算，管护用房改造9840</w:t>
      </w:r>
      <w:r>
        <w:rPr>
          <w:rFonts w:hint="eastAsia" w:cs="Times New Roman"/>
          <w:szCs w:val="24"/>
          <w:lang w:eastAsia="zh-CN"/>
        </w:rPr>
        <w:t>m</w:t>
      </w:r>
      <w:r>
        <w:rPr>
          <w:rFonts w:hint="eastAsia" w:cs="Times New Roman"/>
          <w:szCs w:val="24"/>
          <w:vertAlign w:val="superscript"/>
          <w:lang w:eastAsia="zh-CN"/>
        </w:rPr>
        <w:t>2</w:t>
      </w:r>
      <w:r>
        <w:rPr>
          <w:rFonts w:hint="eastAsia"/>
          <w:lang w:eastAsia="zh-CN"/>
        </w:rPr>
        <w:t>，投入1000元/m</w:t>
      </w:r>
      <w:r>
        <w:rPr>
          <w:rFonts w:hint="eastAsia"/>
          <w:vertAlign w:val="superscript"/>
          <w:lang w:eastAsia="zh-CN"/>
        </w:rPr>
        <w:t>2</w:t>
      </w:r>
      <w:r>
        <w:rPr>
          <w:rFonts w:hint="eastAsia"/>
          <w:lang w:eastAsia="zh-CN"/>
        </w:rPr>
        <w:t>，共需要投入资金为984万元。</w:t>
      </w:r>
    </w:p>
    <w:p w14:paraId="409E76A0">
      <w:pPr>
        <w:ind w:firstLine="480"/>
        <w:rPr>
          <w:lang w:eastAsia="zh-CN"/>
        </w:rPr>
      </w:pPr>
      <w:r>
        <w:rPr>
          <w:rFonts w:hint="eastAsia"/>
          <w:lang w:eastAsia="zh-CN"/>
        </w:rPr>
        <w:t>(2)森林经营能力建设投入概算</w:t>
      </w:r>
    </w:p>
    <w:p w14:paraId="1A39BC9B">
      <w:pPr>
        <w:ind w:firstLine="480"/>
        <w:rPr>
          <w:lang w:eastAsia="zh-CN"/>
        </w:rPr>
      </w:pPr>
      <w:r>
        <w:rPr>
          <w:rFonts w:hint="eastAsia"/>
          <w:lang w:eastAsia="zh-CN"/>
        </w:rPr>
        <w:t>林场技术培训等森林经营能力每年投入10万元，本经营期共需要投入100万元。</w:t>
      </w:r>
    </w:p>
    <w:p w14:paraId="3405500A">
      <w:pPr>
        <w:ind w:firstLine="480"/>
        <w:rPr>
          <w:rFonts w:cs="宋体"/>
          <w:lang w:eastAsia="zh-CN"/>
        </w:rPr>
      </w:pPr>
      <w:r>
        <w:rPr>
          <w:rFonts w:hint="eastAsia" w:cs="宋体"/>
          <w:lang w:eastAsia="zh-CN"/>
        </w:rPr>
        <w:t>本经营期投入情况详见表10-4。</w:t>
      </w:r>
    </w:p>
    <w:p w14:paraId="4ADC5F48">
      <w:pPr>
        <w:spacing w:line="240" w:lineRule="auto"/>
        <w:ind w:firstLine="0" w:firstLineChars="0"/>
        <w:jc w:val="center"/>
        <w:rPr>
          <w:rFonts w:eastAsia="黑体"/>
          <w:b/>
          <w:bCs/>
          <w:lang w:eastAsia="zh-CN"/>
        </w:rPr>
      </w:pPr>
      <w:r>
        <w:rPr>
          <w:rFonts w:hint="eastAsia" w:eastAsia="黑体"/>
          <w:b/>
          <w:bCs/>
          <w:lang w:eastAsia="zh-CN"/>
        </w:rPr>
        <w:t>表</w:t>
      </w:r>
      <w:r>
        <w:rPr>
          <w:rFonts w:eastAsia="黑体" w:cs="Times New Roman"/>
          <w:b/>
          <w:bCs/>
          <w:lang w:eastAsia="zh-CN"/>
        </w:rPr>
        <w:t>10-</w:t>
      </w:r>
      <w:r>
        <w:rPr>
          <w:rFonts w:hint="eastAsia" w:eastAsia="黑体" w:cs="Times New Roman"/>
          <w:b/>
          <w:bCs/>
          <w:lang w:eastAsia="zh-CN"/>
        </w:rPr>
        <w:t>4</w:t>
      </w:r>
      <w:r>
        <w:rPr>
          <w:rFonts w:hint="eastAsia" w:eastAsia="黑体"/>
          <w:b/>
          <w:bCs/>
          <w:lang w:eastAsia="zh-CN"/>
        </w:rPr>
        <w:t>基础设施与经营能力投入估算表</w:t>
      </w:r>
    </w:p>
    <w:p w14:paraId="03402A39">
      <w:pPr>
        <w:spacing w:line="240" w:lineRule="auto"/>
        <w:ind w:firstLine="0" w:firstLineChars="0"/>
        <w:jc w:val="right"/>
        <w:rPr>
          <w:sz w:val="21"/>
        </w:rPr>
      </w:pPr>
      <w:r>
        <w:rPr>
          <w:rFonts w:hint="eastAsia"/>
          <w:sz w:val="21"/>
        </w:rPr>
        <w:t>单位：万元</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2"/>
        <w:gridCol w:w="928"/>
        <w:gridCol w:w="929"/>
        <w:gridCol w:w="929"/>
        <w:gridCol w:w="929"/>
        <w:gridCol w:w="929"/>
        <w:gridCol w:w="929"/>
        <w:gridCol w:w="927"/>
      </w:tblGrid>
      <w:tr w14:paraId="20CBA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54" w:type="pct"/>
            <w:tcBorders>
              <w:tl2br w:val="single" w:color="auto" w:sz="4" w:space="0"/>
            </w:tcBorders>
            <w:vAlign w:val="center"/>
          </w:tcPr>
          <w:p w14:paraId="4FA070BF">
            <w:pPr>
              <w:widowControl w:val="0"/>
              <w:spacing w:line="240" w:lineRule="auto"/>
              <w:ind w:firstLine="0" w:firstLineChars="0"/>
              <w:jc w:val="right"/>
              <w:rPr>
                <w:rFonts w:ascii="Calibri" w:hAnsi="Calibri" w:cs="宋体"/>
                <w:sz w:val="21"/>
              </w:rPr>
            </w:pPr>
            <w:r>
              <w:rPr>
                <w:rFonts w:hint="eastAsia" w:ascii="Calibri" w:hAnsi="Calibri" w:cs="宋体"/>
                <w:sz w:val="21"/>
              </w:rPr>
              <w:t>年度</w:t>
            </w:r>
          </w:p>
          <w:p w14:paraId="59123763">
            <w:pPr>
              <w:widowControl w:val="0"/>
              <w:spacing w:line="240" w:lineRule="auto"/>
              <w:ind w:firstLine="0" w:firstLineChars="0"/>
              <w:jc w:val="left"/>
              <w:rPr>
                <w:rFonts w:ascii="Calibri" w:hAnsi="Calibri" w:cs="宋体"/>
                <w:sz w:val="21"/>
              </w:rPr>
            </w:pPr>
            <w:r>
              <w:rPr>
                <w:rFonts w:hint="eastAsia" w:ascii="Calibri" w:hAnsi="Calibri" w:cs="宋体"/>
                <w:sz w:val="21"/>
              </w:rPr>
              <w:t>项目</w:t>
            </w:r>
          </w:p>
        </w:tc>
        <w:tc>
          <w:tcPr>
            <w:tcW w:w="521" w:type="pct"/>
            <w:vAlign w:val="center"/>
          </w:tcPr>
          <w:p w14:paraId="2AE3C64E">
            <w:pPr>
              <w:widowControl w:val="0"/>
              <w:spacing w:line="240" w:lineRule="auto"/>
              <w:ind w:firstLine="0" w:firstLineChars="0"/>
              <w:jc w:val="center"/>
              <w:rPr>
                <w:rFonts w:ascii="Calibri" w:hAnsi="Calibri" w:cs="宋体"/>
                <w:sz w:val="21"/>
              </w:rPr>
            </w:pPr>
            <w:r>
              <w:rPr>
                <w:rFonts w:hint="eastAsia" w:ascii="Calibri" w:hAnsi="Calibri" w:cs="宋体"/>
                <w:sz w:val="21"/>
              </w:rPr>
              <w:t>合计</w:t>
            </w:r>
          </w:p>
        </w:tc>
        <w:tc>
          <w:tcPr>
            <w:tcW w:w="521" w:type="pct"/>
            <w:vAlign w:val="center"/>
          </w:tcPr>
          <w:p w14:paraId="7F3B630B">
            <w:pPr>
              <w:widowControl w:val="0"/>
              <w:spacing w:line="240" w:lineRule="auto"/>
              <w:ind w:firstLine="0" w:firstLineChars="0"/>
              <w:jc w:val="center"/>
              <w:rPr>
                <w:rFonts w:ascii="Calibri" w:hAnsi="Calibri" w:cs="宋体"/>
                <w:sz w:val="21"/>
                <w:lang w:eastAsia="zh-CN"/>
              </w:rPr>
            </w:pPr>
            <w:r>
              <w:rPr>
                <w:rFonts w:hint="eastAsia" w:ascii="Calibri" w:hAnsi="Calibri" w:cs="宋体"/>
                <w:sz w:val="21"/>
              </w:rPr>
              <w:t>202</w:t>
            </w:r>
            <w:r>
              <w:rPr>
                <w:rFonts w:hint="eastAsia" w:ascii="Calibri" w:hAnsi="Calibri" w:cs="宋体"/>
                <w:sz w:val="21"/>
                <w:lang w:eastAsia="zh-CN"/>
              </w:rPr>
              <w:t>4</w:t>
            </w:r>
          </w:p>
        </w:tc>
        <w:tc>
          <w:tcPr>
            <w:tcW w:w="521" w:type="pct"/>
            <w:vAlign w:val="center"/>
          </w:tcPr>
          <w:p w14:paraId="24538C7E">
            <w:pPr>
              <w:widowControl w:val="0"/>
              <w:spacing w:line="240" w:lineRule="auto"/>
              <w:ind w:firstLine="0" w:firstLineChars="0"/>
              <w:jc w:val="center"/>
              <w:rPr>
                <w:rFonts w:ascii="Calibri" w:hAnsi="Calibri" w:cs="宋体"/>
                <w:sz w:val="21"/>
                <w:lang w:eastAsia="zh-CN"/>
              </w:rPr>
            </w:pPr>
            <w:r>
              <w:rPr>
                <w:rFonts w:hint="eastAsia" w:ascii="Calibri" w:hAnsi="Calibri" w:cs="宋体"/>
                <w:sz w:val="21"/>
              </w:rPr>
              <w:t>202</w:t>
            </w:r>
            <w:r>
              <w:rPr>
                <w:rFonts w:hint="eastAsia" w:ascii="Calibri" w:hAnsi="Calibri" w:cs="宋体"/>
                <w:sz w:val="21"/>
                <w:lang w:eastAsia="zh-CN"/>
              </w:rPr>
              <w:t>5</w:t>
            </w:r>
          </w:p>
        </w:tc>
        <w:tc>
          <w:tcPr>
            <w:tcW w:w="521" w:type="pct"/>
            <w:vAlign w:val="center"/>
          </w:tcPr>
          <w:p w14:paraId="34417C0A">
            <w:pPr>
              <w:widowControl w:val="0"/>
              <w:spacing w:line="240" w:lineRule="auto"/>
              <w:ind w:firstLine="0" w:firstLineChars="0"/>
              <w:jc w:val="center"/>
              <w:rPr>
                <w:rFonts w:ascii="Calibri" w:hAnsi="Calibri" w:cs="宋体"/>
                <w:sz w:val="21"/>
                <w:lang w:eastAsia="zh-CN"/>
              </w:rPr>
            </w:pPr>
            <w:r>
              <w:rPr>
                <w:rFonts w:hint="eastAsia" w:ascii="Calibri" w:hAnsi="Calibri" w:cs="宋体"/>
                <w:sz w:val="21"/>
              </w:rPr>
              <w:t>202</w:t>
            </w:r>
            <w:r>
              <w:rPr>
                <w:rFonts w:hint="eastAsia" w:ascii="Calibri" w:hAnsi="Calibri" w:cs="宋体"/>
                <w:sz w:val="21"/>
                <w:lang w:eastAsia="zh-CN"/>
              </w:rPr>
              <w:t>6</w:t>
            </w:r>
          </w:p>
        </w:tc>
        <w:tc>
          <w:tcPr>
            <w:tcW w:w="521" w:type="pct"/>
            <w:vAlign w:val="center"/>
          </w:tcPr>
          <w:p w14:paraId="4F40634C">
            <w:pPr>
              <w:widowControl w:val="0"/>
              <w:spacing w:line="240" w:lineRule="auto"/>
              <w:ind w:firstLine="0" w:firstLineChars="0"/>
              <w:jc w:val="center"/>
              <w:rPr>
                <w:rFonts w:ascii="Calibri" w:hAnsi="Calibri" w:cs="宋体"/>
                <w:sz w:val="21"/>
                <w:lang w:eastAsia="zh-CN"/>
              </w:rPr>
            </w:pPr>
            <w:r>
              <w:rPr>
                <w:rFonts w:hint="eastAsia" w:ascii="Calibri" w:hAnsi="Calibri" w:cs="宋体"/>
                <w:sz w:val="21"/>
              </w:rPr>
              <w:t>202</w:t>
            </w:r>
            <w:r>
              <w:rPr>
                <w:rFonts w:hint="eastAsia" w:ascii="Calibri" w:hAnsi="Calibri" w:cs="宋体"/>
                <w:sz w:val="21"/>
                <w:lang w:eastAsia="zh-CN"/>
              </w:rPr>
              <w:t>7</w:t>
            </w:r>
          </w:p>
        </w:tc>
        <w:tc>
          <w:tcPr>
            <w:tcW w:w="521" w:type="pct"/>
            <w:vAlign w:val="center"/>
          </w:tcPr>
          <w:p w14:paraId="742E4860">
            <w:pPr>
              <w:widowControl w:val="0"/>
              <w:spacing w:line="240" w:lineRule="auto"/>
              <w:ind w:firstLine="0" w:firstLineChars="0"/>
              <w:jc w:val="center"/>
              <w:rPr>
                <w:rFonts w:ascii="Calibri" w:hAnsi="Calibri" w:cs="宋体"/>
                <w:sz w:val="21"/>
                <w:lang w:eastAsia="zh-CN"/>
              </w:rPr>
            </w:pPr>
            <w:r>
              <w:rPr>
                <w:rFonts w:hint="eastAsia" w:ascii="Calibri" w:hAnsi="Calibri" w:cs="宋体"/>
                <w:sz w:val="21"/>
              </w:rPr>
              <w:t>202</w:t>
            </w:r>
            <w:r>
              <w:rPr>
                <w:rFonts w:hint="eastAsia" w:ascii="Calibri" w:hAnsi="Calibri" w:cs="宋体"/>
                <w:sz w:val="21"/>
                <w:lang w:eastAsia="zh-CN"/>
              </w:rPr>
              <w:t>8</w:t>
            </w:r>
          </w:p>
        </w:tc>
        <w:tc>
          <w:tcPr>
            <w:tcW w:w="521" w:type="pct"/>
            <w:vAlign w:val="center"/>
          </w:tcPr>
          <w:p w14:paraId="2E9B8F0D">
            <w:pPr>
              <w:widowControl w:val="0"/>
              <w:spacing w:line="240" w:lineRule="auto"/>
              <w:ind w:firstLine="0" w:firstLineChars="0"/>
              <w:jc w:val="center"/>
              <w:rPr>
                <w:rFonts w:ascii="Calibri" w:hAnsi="Calibri" w:cs="宋体"/>
                <w:sz w:val="21"/>
              </w:rPr>
            </w:pPr>
            <w:r>
              <w:rPr>
                <w:rFonts w:hint="eastAsia" w:ascii="Calibri" w:hAnsi="Calibri" w:cs="宋体"/>
                <w:sz w:val="21"/>
              </w:rPr>
              <w:t>后期</w:t>
            </w:r>
          </w:p>
        </w:tc>
      </w:tr>
      <w:tr w14:paraId="23987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54" w:type="pct"/>
            <w:vAlign w:val="center"/>
          </w:tcPr>
          <w:p w14:paraId="40226FC8">
            <w:pPr>
              <w:widowControl w:val="0"/>
              <w:spacing w:line="240" w:lineRule="auto"/>
              <w:ind w:firstLine="0" w:firstLineChars="0"/>
              <w:jc w:val="center"/>
              <w:rPr>
                <w:rFonts w:ascii="Calibri" w:hAnsi="Calibri" w:cs="宋体"/>
                <w:sz w:val="21"/>
              </w:rPr>
            </w:pPr>
            <w:r>
              <w:rPr>
                <w:rFonts w:hint="eastAsia" w:ascii="Calibri" w:hAnsi="Calibri" w:cs="宋体"/>
                <w:sz w:val="21"/>
              </w:rPr>
              <w:t>合计</w:t>
            </w:r>
          </w:p>
        </w:tc>
        <w:tc>
          <w:tcPr>
            <w:tcW w:w="521" w:type="pct"/>
            <w:vAlign w:val="center"/>
          </w:tcPr>
          <w:p w14:paraId="04272DBE">
            <w:pPr>
              <w:widowControl w:val="0"/>
              <w:spacing w:line="240" w:lineRule="auto"/>
              <w:ind w:firstLine="0" w:firstLineChars="0"/>
              <w:jc w:val="center"/>
              <w:rPr>
                <w:rFonts w:ascii="Calibri" w:hAnsi="Calibri" w:cs="宋体"/>
                <w:sz w:val="21"/>
                <w:lang w:eastAsia="zh-CN"/>
              </w:rPr>
            </w:pPr>
            <w:r>
              <w:rPr>
                <w:rFonts w:hint="eastAsia" w:ascii="Calibri" w:hAnsi="Calibri"/>
                <w:sz w:val="21"/>
                <w:lang w:eastAsia="zh-CN"/>
              </w:rPr>
              <w:t>1330</w:t>
            </w:r>
          </w:p>
        </w:tc>
        <w:tc>
          <w:tcPr>
            <w:tcW w:w="521" w:type="pct"/>
            <w:vAlign w:val="center"/>
          </w:tcPr>
          <w:p w14:paraId="6E127C95">
            <w:pPr>
              <w:widowControl w:val="0"/>
              <w:spacing w:line="240" w:lineRule="auto"/>
              <w:ind w:firstLine="0" w:firstLineChars="0"/>
              <w:jc w:val="center"/>
              <w:rPr>
                <w:rFonts w:ascii="Calibri" w:hAnsi="Calibri" w:cs="宋体"/>
                <w:sz w:val="21"/>
              </w:rPr>
            </w:pPr>
            <w:r>
              <w:rPr>
                <w:rFonts w:hint="eastAsia" w:ascii="Calibri" w:hAnsi="Calibri"/>
                <w:sz w:val="21"/>
              </w:rPr>
              <w:t>190</w:t>
            </w:r>
          </w:p>
        </w:tc>
        <w:tc>
          <w:tcPr>
            <w:tcW w:w="521" w:type="pct"/>
            <w:vAlign w:val="center"/>
          </w:tcPr>
          <w:p w14:paraId="56424090">
            <w:pPr>
              <w:widowControl w:val="0"/>
              <w:spacing w:line="240" w:lineRule="auto"/>
              <w:ind w:firstLine="0" w:firstLineChars="0"/>
              <w:jc w:val="center"/>
              <w:rPr>
                <w:rFonts w:ascii="Calibri" w:hAnsi="Calibri" w:cs="宋体"/>
                <w:sz w:val="21"/>
              </w:rPr>
            </w:pPr>
            <w:r>
              <w:rPr>
                <w:rFonts w:hint="eastAsia" w:ascii="Calibri" w:hAnsi="Calibri"/>
                <w:sz w:val="21"/>
              </w:rPr>
              <w:t>190</w:t>
            </w:r>
          </w:p>
        </w:tc>
        <w:tc>
          <w:tcPr>
            <w:tcW w:w="521" w:type="pct"/>
            <w:vAlign w:val="center"/>
          </w:tcPr>
          <w:p w14:paraId="46B3A576">
            <w:pPr>
              <w:widowControl w:val="0"/>
              <w:spacing w:line="240" w:lineRule="auto"/>
              <w:ind w:firstLine="0" w:firstLineChars="0"/>
              <w:jc w:val="center"/>
              <w:rPr>
                <w:rFonts w:ascii="Calibri" w:hAnsi="Calibri" w:cs="宋体"/>
                <w:sz w:val="21"/>
              </w:rPr>
            </w:pPr>
            <w:r>
              <w:rPr>
                <w:rFonts w:hint="eastAsia" w:ascii="Calibri" w:hAnsi="Calibri"/>
                <w:sz w:val="21"/>
              </w:rPr>
              <w:t>190</w:t>
            </w:r>
          </w:p>
        </w:tc>
        <w:tc>
          <w:tcPr>
            <w:tcW w:w="521" w:type="pct"/>
            <w:vAlign w:val="center"/>
          </w:tcPr>
          <w:p w14:paraId="74DF6ED7">
            <w:pPr>
              <w:widowControl w:val="0"/>
              <w:spacing w:line="240" w:lineRule="auto"/>
              <w:ind w:firstLine="0" w:firstLineChars="0"/>
              <w:jc w:val="center"/>
              <w:rPr>
                <w:rFonts w:ascii="Calibri" w:hAnsi="Calibri" w:cs="宋体"/>
                <w:sz w:val="21"/>
              </w:rPr>
            </w:pPr>
            <w:r>
              <w:rPr>
                <w:rFonts w:hint="eastAsia" w:ascii="Calibri" w:hAnsi="Calibri"/>
                <w:sz w:val="21"/>
              </w:rPr>
              <w:t>190</w:t>
            </w:r>
          </w:p>
        </w:tc>
        <w:tc>
          <w:tcPr>
            <w:tcW w:w="521" w:type="pct"/>
            <w:vAlign w:val="center"/>
          </w:tcPr>
          <w:p w14:paraId="3AAC192E">
            <w:pPr>
              <w:widowControl w:val="0"/>
              <w:spacing w:line="240" w:lineRule="auto"/>
              <w:ind w:firstLine="0" w:firstLineChars="0"/>
              <w:jc w:val="center"/>
              <w:rPr>
                <w:rFonts w:ascii="Calibri" w:hAnsi="Calibri" w:cs="宋体"/>
                <w:sz w:val="21"/>
              </w:rPr>
            </w:pPr>
            <w:r>
              <w:rPr>
                <w:rFonts w:hint="eastAsia" w:ascii="Calibri" w:hAnsi="Calibri"/>
                <w:sz w:val="21"/>
              </w:rPr>
              <w:t>190</w:t>
            </w:r>
          </w:p>
        </w:tc>
        <w:tc>
          <w:tcPr>
            <w:tcW w:w="521" w:type="pct"/>
            <w:vAlign w:val="center"/>
          </w:tcPr>
          <w:p w14:paraId="774EC2EA">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380</w:t>
            </w:r>
          </w:p>
        </w:tc>
      </w:tr>
      <w:tr w14:paraId="4568B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54" w:type="pct"/>
            <w:vAlign w:val="center"/>
          </w:tcPr>
          <w:p w14:paraId="2B0AEBDB">
            <w:pPr>
              <w:widowControl w:val="0"/>
              <w:spacing w:line="240" w:lineRule="auto"/>
              <w:ind w:firstLine="0" w:firstLineChars="0"/>
              <w:jc w:val="center"/>
              <w:rPr>
                <w:rFonts w:ascii="Calibri" w:hAnsi="Calibri" w:cs="宋体"/>
                <w:sz w:val="21"/>
              </w:rPr>
            </w:pPr>
            <w:r>
              <w:rPr>
                <w:rFonts w:hint="eastAsia" w:ascii="Calibri" w:hAnsi="Calibri" w:cs="宋体"/>
                <w:sz w:val="21"/>
              </w:rPr>
              <w:t>林区公路建设</w:t>
            </w:r>
          </w:p>
        </w:tc>
        <w:tc>
          <w:tcPr>
            <w:tcW w:w="521" w:type="pct"/>
            <w:vAlign w:val="center"/>
          </w:tcPr>
          <w:p w14:paraId="5D06F857">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462</w:t>
            </w:r>
          </w:p>
        </w:tc>
        <w:tc>
          <w:tcPr>
            <w:tcW w:w="521" w:type="pct"/>
            <w:vAlign w:val="center"/>
          </w:tcPr>
          <w:p w14:paraId="6F71FBE4">
            <w:pPr>
              <w:widowControl w:val="0"/>
              <w:spacing w:line="240" w:lineRule="auto"/>
              <w:ind w:firstLine="0" w:firstLineChars="0"/>
              <w:jc w:val="center"/>
              <w:rPr>
                <w:rFonts w:ascii="Calibri" w:hAnsi="Calibri" w:cs="宋体"/>
                <w:sz w:val="21"/>
              </w:rPr>
            </w:pPr>
            <w:r>
              <w:rPr>
                <w:rFonts w:hint="eastAsia" w:ascii="Calibri" w:hAnsi="Calibri" w:cs="宋体"/>
                <w:sz w:val="21"/>
              </w:rPr>
              <w:t>66</w:t>
            </w:r>
          </w:p>
        </w:tc>
        <w:tc>
          <w:tcPr>
            <w:tcW w:w="521" w:type="pct"/>
            <w:vAlign w:val="center"/>
          </w:tcPr>
          <w:p w14:paraId="02D95550">
            <w:pPr>
              <w:widowControl w:val="0"/>
              <w:spacing w:line="240" w:lineRule="auto"/>
              <w:ind w:firstLine="0" w:firstLineChars="0"/>
              <w:jc w:val="center"/>
              <w:rPr>
                <w:rFonts w:ascii="Calibri" w:hAnsi="Calibri" w:cs="宋体"/>
                <w:sz w:val="21"/>
              </w:rPr>
            </w:pPr>
            <w:r>
              <w:rPr>
                <w:rFonts w:hint="eastAsia" w:ascii="Calibri" w:hAnsi="Calibri" w:cs="宋体"/>
                <w:sz w:val="21"/>
              </w:rPr>
              <w:t>66</w:t>
            </w:r>
          </w:p>
        </w:tc>
        <w:tc>
          <w:tcPr>
            <w:tcW w:w="521" w:type="pct"/>
            <w:vAlign w:val="center"/>
          </w:tcPr>
          <w:p w14:paraId="66AA9EB9">
            <w:pPr>
              <w:widowControl w:val="0"/>
              <w:spacing w:line="240" w:lineRule="auto"/>
              <w:ind w:firstLine="0" w:firstLineChars="0"/>
              <w:jc w:val="center"/>
              <w:rPr>
                <w:rFonts w:ascii="Calibri" w:hAnsi="Calibri" w:cs="宋体"/>
                <w:sz w:val="21"/>
              </w:rPr>
            </w:pPr>
            <w:r>
              <w:rPr>
                <w:rFonts w:hint="eastAsia" w:ascii="Calibri" w:hAnsi="Calibri" w:cs="宋体"/>
                <w:sz w:val="21"/>
              </w:rPr>
              <w:t>66</w:t>
            </w:r>
          </w:p>
        </w:tc>
        <w:tc>
          <w:tcPr>
            <w:tcW w:w="521" w:type="pct"/>
            <w:vAlign w:val="center"/>
          </w:tcPr>
          <w:p w14:paraId="3A98160C">
            <w:pPr>
              <w:widowControl w:val="0"/>
              <w:spacing w:line="240" w:lineRule="auto"/>
              <w:ind w:firstLine="0" w:firstLineChars="0"/>
              <w:jc w:val="center"/>
              <w:rPr>
                <w:rFonts w:ascii="Calibri" w:hAnsi="Calibri" w:cs="宋体"/>
                <w:sz w:val="21"/>
              </w:rPr>
            </w:pPr>
            <w:r>
              <w:rPr>
                <w:rFonts w:hint="eastAsia" w:ascii="Calibri" w:hAnsi="Calibri" w:cs="宋体"/>
                <w:sz w:val="21"/>
              </w:rPr>
              <w:t>66</w:t>
            </w:r>
          </w:p>
        </w:tc>
        <w:tc>
          <w:tcPr>
            <w:tcW w:w="521" w:type="pct"/>
            <w:vAlign w:val="center"/>
          </w:tcPr>
          <w:p w14:paraId="779297FB">
            <w:pPr>
              <w:widowControl w:val="0"/>
              <w:spacing w:line="240" w:lineRule="auto"/>
              <w:ind w:firstLine="0" w:firstLineChars="0"/>
              <w:jc w:val="center"/>
              <w:rPr>
                <w:rFonts w:ascii="Calibri" w:hAnsi="Calibri" w:cs="宋体"/>
                <w:sz w:val="21"/>
              </w:rPr>
            </w:pPr>
            <w:r>
              <w:rPr>
                <w:rFonts w:hint="eastAsia" w:ascii="Calibri" w:hAnsi="Calibri" w:cs="宋体"/>
                <w:sz w:val="21"/>
              </w:rPr>
              <w:t>66</w:t>
            </w:r>
          </w:p>
        </w:tc>
        <w:tc>
          <w:tcPr>
            <w:tcW w:w="521" w:type="pct"/>
            <w:vAlign w:val="center"/>
          </w:tcPr>
          <w:p w14:paraId="4DDD7F47">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132</w:t>
            </w:r>
          </w:p>
        </w:tc>
      </w:tr>
      <w:tr w14:paraId="7FD76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54" w:type="pct"/>
            <w:vAlign w:val="center"/>
          </w:tcPr>
          <w:p w14:paraId="5CC7176A">
            <w:pPr>
              <w:widowControl w:val="0"/>
              <w:spacing w:line="240" w:lineRule="auto"/>
              <w:ind w:firstLine="0" w:firstLineChars="0"/>
              <w:jc w:val="center"/>
              <w:rPr>
                <w:rFonts w:ascii="Calibri" w:hAnsi="Calibri" w:cs="宋体"/>
                <w:sz w:val="21"/>
              </w:rPr>
            </w:pPr>
            <w:r>
              <w:rPr>
                <w:rFonts w:hint="eastAsia" w:ascii="Calibri" w:hAnsi="Calibri" w:cs="宋体"/>
                <w:sz w:val="21"/>
              </w:rPr>
              <w:t>巡护道路建设</w:t>
            </w:r>
          </w:p>
        </w:tc>
        <w:tc>
          <w:tcPr>
            <w:tcW w:w="521" w:type="pct"/>
            <w:vAlign w:val="center"/>
          </w:tcPr>
          <w:p w14:paraId="5CDA2A14">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109.2</w:t>
            </w:r>
          </w:p>
        </w:tc>
        <w:tc>
          <w:tcPr>
            <w:tcW w:w="521" w:type="pct"/>
            <w:vAlign w:val="center"/>
          </w:tcPr>
          <w:p w14:paraId="388D22AC">
            <w:pPr>
              <w:widowControl w:val="0"/>
              <w:spacing w:line="240" w:lineRule="auto"/>
              <w:ind w:firstLine="0" w:firstLineChars="0"/>
              <w:jc w:val="center"/>
              <w:rPr>
                <w:rFonts w:ascii="Calibri" w:hAnsi="Calibri" w:cs="宋体"/>
                <w:sz w:val="21"/>
              </w:rPr>
            </w:pPr>
            <w:r>
              <w:rPr>
                <w:rFonts w:hint="eastAsia" w:ascii="Calibri" w:hAnsi="Calibri" w:cs="宋体"/>
                <w:sz w:val="21"/>
              </w:rPr>
              <w:t>15.6</w:t>
            </w:r>
          </w:p>
        </w:tc>
        <w:tc>
          <w:tcPr>
            <w:tcW w:w="521" w:type="pct"/>
            <w:vAlign w:val="center"/>
          </w:tcPr>
          <w:p w14:paraId="1977FF6C">
            <w:pPr>
              <w:widowControl w:val="0"/>
              <w:spacing w:line="240" w:lineRule="auto"/>
              <w:ind w:firstLine="0" w:firstLineChars="0"/>
              <w:jc w:val="center"/>
              <w:rPr>
                <w:rFonts w:ascii="Calibri" w:hAnsi="Calibri" w:cs="宋体"/>
                <w:sz w:val="21"/>
              </w:rPr>
            </w:pPr>
            <w:r>
              <w:rPr>
                <w:rFonts w:hint="eastAsia" w:ascii="Calibri" w:hAnsi="Calibri" w:cs="宋体"/>
                <w:sz w:val="21"/>
              </w:rPr>
              <w:t>15.6</w:t>
            </w:r>
          </w:p>
        </w:tc>
        <w:tc>
          <w:tcPr>
            <w:tcW w:w="521" w:type="pct"/>
            <w:vAlign w:val="center"/>
          </w:tcPr>
          <w:p w14:paraId="2B8E8B08">
            <w:pPr>
              <w:widowControl w:val="0"/>
              <w:spacing w:line="240" w:lineRule="auto"/>
              <w:ind w:firstLine="0" w:firstLineChars="0"/>
              <w:jc w:val="center"/>
              <w:rPr>
                <w:rFonts w:ascii="Calibri" w:hAnsi="Calibri" w:cs="宋体"/>
                <w:sz w:val="21"/>
              </w:rPr>
            </w:pPr>
            <w:r>
              <w:rPr>
                <w:rFonts w:hint="eastAsia" w:ascii="Calibri" w:hAnsi="Calibri" w:cs="宋体"/>
                <w:sz w:val="21"/>
              </w:rPr>
              <w:t>15.6</w:t>
            </w:r>
          </w:p>
        </w:tc>
        <w:tc>
          <w:tcPr>
            <w:tcW w:w="521" w:type="pct"/>
            <w:vAlign w:val="center"/>
          </w:tcPr>
          <w:p w14:paraId="16787F9C">
            <w:pPr>
              <w:widowControl w:val="0"/>
              <w:spacing w:line="240" w:lineRule="auto"/>
              <w:ind w:firstLine="0" w:firstLineChars="0"/>
              <w:jc w:val="center"/>
              <w:rPr>
                <w:rFonts w:ascii="Calibri" w:hAnsi="Calibri" w:cs="宋体"/>
                <w:sz w:val="21"/>
              </w:rPr>
            </w:pPr>
            <w:r>
              <w:rPr>
                <w:rFonts w:hint="eastAsia" w:ascii="Calibri" w:hAnsi="Calibri" w:cs="宋体"/>
                <w:sz w:val="21"/>
              </w:rPr>
              <w:t>15.6</w:t>
            </w:r>
          </w:p>
        </w:tc>
        <w:tc>
          <w:tcPr>
            <w:tcW w:w="521" w:type="pct"/>
            <w:vAlign w:val="center"/>
          </w:tcPr>
          <w:p w14:paraId="27C44503">
            <w:pPr>
              <w:widowControl w:val="0"/>
              <w:spacing w:line="240" w:lineRule="auto"/>
              <w:ind w:firstLine="0" w:firstLineChars="0"/>
              <w:jc w:val="center"/>
              <w:rPr>
                <w:rFonts w:ascii="Calibri" w:hAnsi="Calibri" w:cs="宋体"/>
                <w:sz w:val="21"/>
              </w:rPr>
            </w:pPr>
            <w:r>
              <w:rPr>
                <w:rFonts w:hint="eastAsia" w:ascii="Calibri" w:hAnsi="Calibri" w:cs="宋体"/>
                <w:sz w:val="21"/>
              </w:rPr>
              <w:t>15.6</w:t>
            </w:r>
          </w:p>
        </w:tc>
        <w:tc>
          <w:tcPr>
            <w:tcW w:w="521" w:type="pct"/>
            <w:vAlign w:val="center"/>
          </w:tcPr>
          <w:p w14:paraId="2F98468D">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31.2</w:t>
            </w:r>
          </w:p>
        </w:tc>
      </w:tr>
      <w:tr w14:paraId="6F15E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54" w:type="pct"/>
            <w:vAlign w:val="center"/>
          </w:tcPr>
          <w:p w14:paraId="068FF4DC">
            <w:pPr>
              <w:widowControl w:val="0"/>
              <w:spacing w:line="240" w:lineRule="auto"/>
              <w:ind w:firstLine="0" w:firstLineChars="0"/>
              <w:jc w:val="center"/>
              <w:rPr>
                <w:rFonts w:ascii="Calibri" w:hAnsi="Calibri" w:cs="宋体"/>
                <w:sz w:val="21"/>
              </w:rPr>
            </w:pPr>
            <w:r>
              <w:rPr>
                <w:rFonts w:hint="eastAsia" w:ascii="Calibri" w:hAnsi="Calibri" w:cs="宋体"/>
                <w:sz w:val="21"/>
              </w:rPr>
              <w:t>管护用房改造</w:t>
            </w:r>
          </w:p>
        </w:tc>
        <w:tc>
          <w:tcPr>
            <w:tcW w:w="521" w:type="pct"/>
            <w:vAlign w:val="center"/>
          </w:tcPr>
          <w:p w14:paraId="5BB1420F">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688.8</w:t>
            </w:r>
          </w:p>
        </w:tc>
        <w:tc>
          <w:tcPr>
            <w:tcW w:w="521" w:type="pct"/>
            <w:vAlign w:val="center"/>
          </w:tcPr>
          <w:p w14:paraId="3A4024BF">
            <w:pPr>
              <w:widowControl w:val="0"/>
              <w:spacing w:line="240" w:lineRule="auto"/>
              <w:ind w:firstLine="0" w:firstLineChars="0"/>
              <w:jc w:val="center"/>
              <w:rPr>
                <w:rFonts w:ascii="Calibri" w:hAnsi="Calibri" w:cs="宋体"/>
                <w:sz w:val="21"/>
              </w:rPr>
            </w:pPr>
            <w:r>
              <w:rPr>
                <w:rFonts w:hint="eastAsia" w:ascii="Calibri" w:hAnsi="Calibri" w:cs="宋体"/>
                <w:sz w:val="21"/>
              </w:rPr>
              <w:t>98.4</w:t>
            </w:r>
          </w:p>
        </w:tc>
        <w:tc>
          <w:tcPr>
            <w:tcW w:w="521" w:type="pct"/>
            <w:vAlign w:val="center"/>
          </w:tcPr>
          <w:p w14:paraId="49CE916C">
            <w:pPr>
              <w:widowControl w:val="0"/>
              <w:spacing w:line="240" w:lineRule="auto"/>
              <w:ind w:firstLine="0" w:firstLineChars="0"/>
              <w:jc w:val="center"/>
              <w:rPr>
                <w:rFonts w:ascii="Calibri" w:hAnsi="Calibri" w:cs="宋体"/>
                <w:sz w:val="21"/>
              </w:rPr>
            </w:pPr>
            <w:r>
              <w:rPr>
                <w:rFonts w:hint="eastAsia" w:ascii="Calibri" w:hAnsi="Calibri" w:cs="宋体"/>
                <w:sz w:val="21"/>
              </w:rPr>
              <w:t>98.4</w:t>
            </w:r>
          </w:p>
        </w:tc>
        <w:tc>
          <w:tcPr>
            <w:tcW w:w="521" w:type="pct"/>
            <w:vAlign w:val="center"/>
          </w:tcPr>
          <w:p w14:paraId="14ADB481">
            <w:pPr>
              <w:widowControl w:val="0"/>
              <w:spacing w:line="240" w:lineRule="auto"/>
              <w:ind w:firstLine="0" w:firstLineChars="0"/>
              <w:jc w:val="center"/>
              <w:rPr>
                <w:rFonts w:ascii="Calibri" w:hAnsi="Calibri" w:cs="宋体"/>
                <w:sz w:val="21"/>
              </w:rPr>
            </w:pPr>
            <w:r>
              <w:rPr>
                <w:rFonts w:hint="eastAsia" w:ascii="Calibri" w:hAnsi="Calibri" w:cs="宋体"/>
                <w:sz w:val="21"/>
              </w:rPr>
              <w:t>98.4</w:t>
            </w:r>
          </w:p>
        </w:tc>
        <w:tc>
          <w:tcPr>
            <w:tcW w:w="521" w:type="pct"/>
            <w:vAlign w:val="center"/>
          </w:tcPr>
          <w:p w14:paraId="66F26B4A">
            <w:pPr>
              <w:widowControl w:val="0"/>
              <w:spacing w:line="240" w:lineRule="auto"/>
              <w:ind w:firstLine="0" w:firstLineChars="0"/>
              <w:jc w:val="center"/>
              <w:rPr>
                <w:rFonts w:ascii="Calibri" w:hAnsi="Calibri" w:cs="宋体"/>
                <w:sz w:val="21"/>
              </w:rPr>
            </w:pPr>
            <w:r>
              <w:rPr>
                <w:rFonts w:hint="eastAsia" w:ascii="Calibri" w:hAnsi="Calibri" w:cs="宋体"/>
                <w:sz w:val="21"/>
              </w:rPr>
              <w:t>98.4</w:t>
            </w:r>
          </w:p>
        </w:tc>
        <w:tc>
          <w:tcPr>
            <w:tcW w:w="521" w:type="pct"/>
            <w:vAlign w:val="center"/>
          </w:tcPr>
          <w:p w14:paraId="7D0AD916">
            <w:pPr>
              <w:widowControl w:val="0"/>
              <w:spacing w:line="240" w:lineRule="auto"/>
              <w:ind w:firstLine="0" w:firstLineChars="0"/>
              <w:jc w:val="center"/>
              <w:rPr>
                <w:rFonts w:ascii="Calibri" w:hAnsi="Calibri" w:cs="宋体"/>
                <w:sz w:val="21"/>
              </w:rPr>
            </w:pPr>
            <w:r>
              <w:rPr>
                <w:rFonts w:hint="eastAsia" w:ascii="Calibri" w:hAnsi="Calibri" w:cs="宋体"/>
                <w:sz w:val="21"/>
              </w:rPr>
              <w:t>98.4</w:t>
            </w:r>
          </w:p>
        </w:tc>
        <w:tc>
          <w:tcPr>
            <w:tcW w:w="521" w:type="pct"/>
            <w:vAlign w:val="center"/>
          </w:tcPr>
          <w:p w14:paraId="24370DB7">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196.8</w:t>
            </w:r>
          </w:p>
        </w:tc>
      </w:tr>
      <w:tr w14:paraId="69471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54" w:type="pct"/>
            <w:vAlign w:val="center"/>
          </w:tcPr>
          <w:p w14:paraId="376CDB6E">
            <w:pPr>
              <w:widowControl w:val="0"/>
              <w:spacing w:line="240" w:lineRule="auto"/>
              <w:ind w:firstLine="0" w:firstLineChars="0"/>
              <w:jc w:val="center"/>
              <w:rPr>
                <w:rFonts w:ascii="Calibri" w:hAnsi="Calibri" w:cs="宋体"/>
                <w:sz w:val="21"/>
              </w:rPr>
            </w:pPr>
            <w:r>
              <w:rPr>
                <w:rFonts w:hint="eastAsia" w:ascii="Calibri" w:hAnsi="Calibri" w:cs="宋体"/>
                <w:sz w:val="21"/>
              </w:rPr>
              <w:t>森林经营能力建设</w:t>
            </w:r>
          </w:p>
        </w:tc>
        <w:tc>
          <w:tcPr>
            <w:tcW w:w="521" w:type="pct"/>
            <w:vAlign w:val="center"/>
          </w:tcPr>
          <w:p w14:paraId="662AE6E5">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70</w:t>
            </w:r>
          </w:p>
        </w:tc>
        <w:tc>
          <w:tcPr>
            <w:tcW w:w="521" w:type="pct"/>
            <w:vAlign w:val="center"/>
          </w:tcPr>
          <w:p w14:paraId="16E8DA87">
            <w:pPr>
              <w:widowControl w:val="0"/>
              <w:spacing w:line="240" w:lineRule="auto"/>
              <w:ind w:firstLine="0" w:firstLineChars="0"/>
              <w:jc w:val="center"/>
              <w:rPr>
                <w:rFonts w:ascii="Calibri" w:hAnsi="Calibri" w:cs="宋体"/>
                <w:sz w:val="21"/>
              </w:rPr>
            </w:pPr>
            <w:r>
              <w:rPr>
                <w:rFonts w:hint="eastAsia" w:ascii="Calibri" w:hAnsi="Calibri" w:cs="宋体"/>
                <w:sz w:val="21"/>
              </w:rPr>
              <w:t>10</w:t>
            </w:r>
          </w:p>
        </w:tc>
        <w:tc>
          <w:tcPr>
            <w:tcW w:w="521" w:type="pct"/>
            <w:vAlign w:val="center"/>
          </w:tcPr>
          <w:p w14:paraId="7E141FC4">
            <w:pPr>
              <w:widowControl w:val="0"/>
              <w:spacing w:line="240" w:lineRule="auto"/>
              <w:ind w:firstLine="0" w:firstLineChars="0"/>
              <w:jc w:val="center"/>
              <w:rPr>
                <w:rFonts w:ascii="Calibri" w:hAnsi="Calibri" w:cs="宋体"/>
                <w:sz w:val="21"/>
              </w:rPr>
            </w:pPr>
            <w:r>
              <w:rPr>
                <w:rFonts w:hint="eastAsia" w:ascii="Calibri" w:hAnsi="Calibri" w:cs="宋体"/>
                <w:sz w:val="21"/>
              </w:rPr>
              <w:t>10</w:t>
            </w:r>
          </w:p>
        </w:tc>
        <w:tc>
          <w:tcPr>
            <w:tcW w:w="521" w:type="pct"/>
            <w:vAlign w:val="center"/>
          </w:tcPr>
          <w:p w14:paraId="6513A148">
            <w:pPr>
              <w:widowControl w:val="0"/>
              <w:spacing w:line="240" w:lineRule="auto"/>
              <w:ind w:firstLine="0" w:firstLineChars="0"/>
              <w:jc w:val="center"/>
              <w:rPr>
                <w:rFonts w:ascii="Calibri" w:hAnsi="Calibri" w:cs="宋体"/>
                <w:sz w:val="21"/>
              </w:rPr>
            </w:pPr>
            <w:r>
              <w:rPr>
                <w:rFonts w:hint="eastAsia" w:ascii="Calibri" w:hAnsi="Calibri" w:cs="宋体"/>
                <w:sz w:val="21"/>
              </w:rPr>
              <w:t>10</w:t>
            </w:r>
          </w:p>
        </w:tc>
        <w:tc>
          <w:tcPr>
            <w:tcW w:w="521" w:type="pct"/>
            <w:vAlign w:val="center"/>
          </w:tcPr>
          <w:p w14:paraId="3D1F2365">
            <w:pPr>
              <w:widowControl w:val="0"/>
              <w:spacing w:line="240" w:lineRule="auto"/>
              <w:ind w:firstLine="0" w:firstLineChars="0"/>
              <w:jc w:val="center"/>
              <w:rPr>
                <w:rFonts w:ascii="Calibri" w:hAnsi="Calibri" w:cs="宋体"/>
                <w:sz w:val="21"/>
              </w:rPr>
            </w:pPr>
            <w:r>
              <w:rPr>
                <w:rFonts w:hint="eastAsia" w:ascii="Calibri" w:hAnsi="Calibri" w:cs="宋体"/>
                <w:sz w:val="21"/>
              </w:rPr>
              <w:t>10</w:t>
            </w:r>
          </w:p>
        </w:tc>
        <w:tc>
          <w:tcPr>
            <w:tcW w:w="521" w:type="pct"/>
            <w:vAlign w:val="center"/>
          </w:tcPr>
          <w:p w14:paraId="6E9DA42B">
            <w:pPr>
              <w:widowControl w:val="0"/>
              <w:spacing w:line="240" w:lineRule="auto"/>
              <w:ind w:firstLine="0" w:firstLineChars="0"/>
              <w:jc w:val="center"/>
              <w:rPr>
                <w:rFonts w:ascii="Calibri" w:hAnsi="Calibri" w:cs="宋体"/>
                <w:sz w:val="21"/>
              </w:rPr>
            </w:pPr>
            <w:r>
              <w:rPr>
                <w:rFonts w:hint="eastAsia" w:ascii="Calibri" w:hAnsi="Calibri" w:cs="宋体"/>
                <w:sz w:val="21"/>
              </w:rPr>
              <w:t>10</w:t>
            </w:r>
          </w:p>
        </w:tc>
        <w:tc>
          <w:tcPr>
            <w:tcW w:w="521" w:type="pct"/>
            <w:vAlign w:val="center"/>
          </w:tcPr>
          <w:p w14:paraId="30AFF497">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20</w:t>
            </w:r>
          </w:p>
        </w:tc>
      </w:tr>
    </w:tbl>
    <w:p w14:paraId="6882A38F">
      <w:pPr>
        <w:ind w:firstLine="480"/>
      </w:pPr>
    </w:p>
    <w:p w14:paraId="76C98BF9">
      <w:pPr>
        <w:kinsoku/>
        <w:autoSpaceDE/>
        <w:autoSpaceDN/>
        <w:adjustRightInd/>
        <w:snapToGrid/>
        <w:spacing w:line="240" w:lineRule="auto"/>
        <w:ind w:firstLine="0" w:firstLineChars="0"/>
        <w:jc w:val="left"/>
        <w:textAlignment w:val="auto"/>
        <w:rPr>
          <w:lang w:eastAsia="zh-CN"/>
        </w:rPr>
      </w:pPr>
      <w:r>
        <w:br w:type="page"/>
      </w:r>
    </w:p>
    <w:p w14:paraId="2D0BC64B">
      <w:pPr>
        <w:pStyle w:val="4"/>
      </w:pPr>
      <w:r>
        <w:rPr>
          <w:rFonts w:hint="eastAsia"/>
        </w:rPr>
        <w:t>10.1.8森林多资源利用投资概算</w:t>
      </w:r>
    </w:p>
    <w:p w14:paraId="37C30862">
      <w:pPr>
        <w:ind w:firstLine="480"/>
        <w:rPr>
          <w:lang w:eastAsia="zh-CN"/>
        </w:rPr>
      </w:pPr>
      <w:r>
        <w:rPr>
          <w:rFonts w:hint="eastAsia"/>
          <w:lang w:eastAsia="zh-CN"/>
        </w:rPr>
        <w:t>森林多资源利用投入见第七章第二节表7-</w:t>
      </w:r>
      <w:r>
        <w:rPr>
          <w:rFonts w:hint="eastAsia"/>
          <w:lang w:val="en-US" w:eastAsia="zh-CN"/>
        </w:rPr>
        <w:t>3</w:t>
      </w:r>
      <w:r>
        <w:rPr>
          <w:rFonts w:hint="eastAsia"/>
          <w:lang w:eastAsia="zh-CN"/>
        </w:rPr>
        <w:t>，本经营期需投入2870万元。详见表10-5。</w:t>
      </w:r>
    </w:p>
    <w:p w14:paraId="502568F9">
      <w:pPr>
        <w:spacing w:line="240" w:lineRule="auto"/>
        <w:ind w:firstLine="0" w:firstLineChars="0"/>
        <w:jc w:val="center"/>
        <w:rPr>
          <w:rFonts w:eastAsia="黑体"/>
          <w:b/>
          <w:bCs/>
          <w:lang w:eastAsia="zh-CN"/>
        </w:rPr>
      </w:pPr>
      <w:r>
        <w:rPr>
          <w:rFonts w:hint="eastAsia" w:eastAsia="黑体"/>
          <w:b/>
          <w:bCs/>
          <w:lang w:eastAsia="zh-CN"/>
        </w:rPr>
        <w:t>表</w:t>
      </w:r>
      <w:r>
        <w:rPr>
          <w:rFonts w:eastAsia="黑体" w:cs="Times New Roman"/>
          <w:b/>
          <w:bCs/>
          <w:lang w:eastAsia="zh-CN"/>
        </w:rPr>
        <w:t>10-</w:t>
      </w:r>
      <w:r>
        <w:rPr>
          <w:rFonts w:hint="eastAsia" w:eastAsia="黑体" w:cs="Times New Roman"/>
          <w:b/>
          <w:bCs/>
          <w:lang w:eastAsia="zh-CN"/>
        </w:rPr>
        <w:t>5</w:t>
      </w:r>
      <w:r>
        <w:rPr>
          <w:rFonts w:hint="eastAsia" w:eastAsia="黑体"/>
          <w:b/>
          <w:bCs/>
          <w:lang w:eastAsia="zh-CN"/>
        </w:rPr>
        <w:t>森林多资源利用投入估算表</w:t>
      </w:r>
    </w:p>
    <w:p w14:paraId="4638FC56">
      <w:pPr>
        <w:spacing w:line="240" w:lineRule="auto"/>
        <w:ind w:firstLine="0" w:firstLineChars="0"/>
        <w:jc w:val="right"/>
        <w:rPr>
          <w:sz w:val="21"/>
        </w:rPr>
      </w:pPr>
      <w:r>
        <w:rPr>
          <w:rFonts w:hint="eastAsia"/>
          <w:sz w:val="21"/>
        </w:rPr>
        <w:t>单位：万元</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2"/>
        <w:gridCol w:w="928"/>
        <w:gridCol w:w="929"/>
        <w:gridCol w:w="929"/>
        <w:gridCol w:w="929"/>
        <w:gridCol w:w="929"/>
        <w:gridCol w:w="929"/>
        <w:gridCol w:w="927"/>
      </w:tblGrid>
      <w:tr w14:paraId="6426E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54" w:type="pct"/>
            <w:tcBorders>
              <w:tl2br w:val="single" w:color="auto" w:sz="4" w:space="0"/>
            </w:tcBorders>
            <w:vAlign w:val="center"/>
          </w:tcPr>
          <w:p w14:paraId="13354DF4">
            <w:pPr>
              <w:widowControl w:val="0"/>
              <w:spacing w:line="240" w:lineRule="auto"/>
              <w:ind w:firstLine="0" w:firstLineChars="0"/>
              <w:jc w:val="center"/>
              <w:rPr>
                <w:rFonts w:ascii="Calibri" w:hAnsi="Calibri" w:cs="宋体"/>
                <w:sz w:val="21"/>
              </w:rPr>
            </w:pPr>
            <w:r>
              <w:rPr>
                <w:rFonts w:hint="eastAsia" w:ascii="Calibri" w:hAnsi="Calibri" w:cs="宋体"/>
                <w:sz w:val="21"/>
              </w:rPr>
              <w:t>年度</w:t>
            </w:r>
          </w:p>
          <w:p w14:paraId="7EFC53E4">
            <w:pPr>
              <w:widowControl w:val="0"/>
              <w:spacing w:line="240" w:lineRule="auto"/>
              <w:ind w:firstLine="0" w:firstLineChars="0"/>
              <w:jc w:val="center"/>
              <w:rPr>
                <w:rFonts w:ascii="Calibri" w:hAnsi="Calibri" w:cs="宋体"/>
                <w:sz w:val="21"/>
              </w:rPr>
            </w:pPr>
            <w:r>
              <w:rPr>
                <w:rFonts w:hint="eastAsia" w:ascii="Calibri" w:hAnsi="Calibri" w:cs="宋体"/>
                <w:sz w:val="21"/>
              </w:rPr>
              <w:t>项目</w:t>
            </w:r>
          </w:p>
        </w:tc>
        <w:tc>
          <w:tcPr>
            <w:tcW w:w="521" w:type="pct"/>
            <w:vAlign w:val="center"/>
          </w:tcPr>
          <w:p w14:paraId="312B5242">
            <w:pPr>
              <w:widowControl w:val="0"/>
              <w:spacing w:line="240" w:lineRule="auto"/>
              <w:ind w:firstLine="0" w:firstLineChars="0"/>
              <w:jc w:val="center"/>
              <w:rPr>
                <w:rFonts w:ascii="Calibri" w:hAnsi="Calibri" w:cs="宋体"/>
                <w:sz w:val="21"/>
              </w:rPr>
            </w:pPr>
            <w:r>
              <w:rPr>
                <w:rFonts w:hint="eastAsia" w:ascii="Calibri" w:hAnsi="Calibri" w:cs="宋体"/>
                <w:sz w:val="21"/>
              </w:rPr>
              <w:t>合计</w:t>
            </w:r>
          </w:p>
        </w:tc>
        <w:tc>
          <w:tcPr>
            <w:tcW w:w="521" w:type="pct"/>
            <w:vAlign w:val="center"/>
          </w:tcPr>
          <w:p w14:paraId="65FF6E57">
            <w:pPr>
              <w:widowControl w:val="0"/>
              <w:spacing w:line="240" w:lineRule="auto"/>
              <w:ind w:firstLine="0" w:firstLineChars="0"/>
              <w:jc w:val="center"/>
              <w:rPr>
                <w:rFonts w:ascii="Calibri" w:hAnsi="Calibri" w:cs="宋体"/>
                <w:sz w:val="21"/>
                <w:lang w:eastAsia="zh-CN"/>
              </w:rPr>
            </w:pPr>
            <w:r>
              <w:rPr>
                <w:rFonts w:hint="eastAsia" w:ascii="Calibri" w:hAnsi="Calibri" w:cs="宋体"/>
                <w:sz w:val="21"/>
              </w:rPr>
              <w:t>202</w:t>
            </w:r>
            <w:r>
              <w:rPr>
                <w:rFonts w:hint="eastAsia" w:ascii="Calibri" w:hAnsi="Calibri" w:cs="宋体"/>
                <w:sz w:val="21"/>
                <w:lang w:eastAsia="zh-CN"/>
              </w:rPr>
              <w:t>4</w:t>
            </w:r>
          </w:p>
        </w:tc>
        <w:tc>
          <w:tcPr>
            <w:tcW w:w="521" w:type="pct"/>
            <w:vAlign w:val="center"/>
          </w:tcPr>
          <w:p w14:paraId="1338DA92">
            <w:pPr>
              <w:widowControl w:val="0"/>
              <w:spacing w:line="240" w:lineRule="auto"/>
              <w:ind w:firstLine="0" w:firstLineChars="0"/>
              <w:jc w:val="center"/>
              <w:rPr>
                <w:rFonts w:ascii="Calibri" w:hAnsi="Calibri" w:cs="宋体"/>
                <w:sz w:val="21"/>
                <w:lang w:eastAsia="zh-CN"/>
              </w:rPr>
            </w:pPr>
            <w:r>
              <w:rPr>
                <w:rFonts w:hint="eastAsia" w:ascii="Calibri" w:hAnsi="Calibri" w:cs="宋体"/>
                <w:sz w:val="21"/>
              </w:rPr>
              <w:t>202</w:t>
            </w:r>
            <w:r>
              <w:rPr>
                <w:rFonts w:hint="eastAsia" w:ascii="Calibri" w:hAnsi="Calibri" w:cs="宋体"/>
                <w:sz w:val="21"/>
                <w:lang w:eastAsia="zh-CN"/>
              </w:rPr>
              <w:t>5</w:t>
            </w:r>
          </w:p>
        </w:tc>
        <w:tc>
          <w:tcPr>
            <w:tcW w:w="521" w:type="pct"/>
            <w:vAlign w:val="center"/>
          </w:tcPr>
          <w:p w14:paraId="0725DA26">
            <w:pPr>
              <w:widowControl w:val="0"/>
              <w:spacing w:line="240" w:lineRule="auto"/>
              <w:ind w:firstLine="0" w:firstLineChars="0"/>
              <w:jc w:val="center"/>
              <w:rPr>
                <w:rFonts w:ascii="Calibri" w:hAnsi="Calibri" w:cs="宋体"/>
                <w:sz w:val="21"/>
                <w:lang w:eastAsia="zh-CN"/>
              </w:rPr>
            </w:pPr>
            <w:r>
              <w:rPr>
                <w:rFonts w:hint="eastAsia" w:ascii="Calibri" w:hAnsi="Calibri" w:cs="宋体"/>
                <w:sz w:val="21"/>
              </w:rPr>
              <w:t>202</w:t>
            </w:r>
            <w:r>
              <w:rPr>
                <w:rFonts w:hint="eastAsia" w:ascii="Calibri" w:hAnsi="Calibri" w:cs="宋体"/>
                <w:sz w:val="21"/>
                <w:lang w:eastAsia="zh-CN"/>
              </w:rPr>
              <w:t>6</w:t>
            </w:r>
          </w:p>
        </w:tc>
        <w:tc>
          <w:tcPr>
            <w:tcW w:w="521" w:type="pct"/>
            <w:vAlign w:val="center"/>
          </w:tcPr>
          <w:p w14:paraId="522EA5BE">
            <w:pPr>
              <w:widowControl w:val="0"/>
              <w:spacing w:line="240" w:lineRule="auto"/>
              <w:ind w:firstLine="0" w:firstLineChars="0"/>
              <w:jc w:val="center"/>
              <w:rPr>
                <w:rFonts w:ascii="Calibri" w:hAnsi="Calibri" w:cs="宋体"/>
                <w:sz w:val="21"/>
                <w:lang w:eastAsia="zh-CN"/>
              </w:rPr>
            </w:pPr>
            <w:r>
              <w:rPr>
                <w:rFonts w:hint="eastAsia" w:ascii="Calibri" w:hAnsi="Calibri" w:cs="宋体"/>
                <w:sz w:val="21"/>
              </w:rPr>
              <w:t>202</w:t>
            </w:r>
            <w:r>
              <w:rPr>
                <w:rFonts w:hint="eastAsia" w:ascii="Calibri" w:hAnsi="Calibri" w:cs="宋体"/>
                <w:sz w:val="21"/>
                <w:lang w:eastAsia="zh-CN"/>
              </w:rPr>
              <w:t>7</w:t>
            </w:r>
          </w:p>
        </w:tc>
        <w:tc>
          <w:tcPr>
            <w:tcW w:w="521" w:type="pct"/>
            <w:vAlign w:val="center"/>
          </w:tcPr>
          <w:p w14:paraId="62993DDE">
            <w:pPr>
              <w:widowControl w:val="0"/>
              <w:spacing w:line="240" w:lineRule="auto"/>
              <w:ind w:firstLine="0" w:firstLineChars="0"/>
              <w:jc w:val="center"/>
              <w:rPr>
                <w:rFonts w:ascii="Calibri" w:hAnsi="Calibri" w:cs="宋体"/>
                <w:sz w:val="21"/>
                <w:lang w:eastAsia="zh-CN"/>
              </w:rPr>
            </w:pPr>
            <w:r>
              <w:rPr>
                <w:rFonts w:hint="eastAsia" w:ascii="Calibri" w:hAnsi="Calibri" w:cs="宋体"/>
                <w:sz w:val="21"/>
              </w:rPr>
              <w:t>202</w:t>
            </w:r>
            <w:r>
              <w:rPr>
                <w:rFonts w:hint="eastAsia" w:ascii="Calibri" w:hAnsi="Calibri" w:cs="宋体"/>
                <w:sz w:val="21"/>
                <w:lang w:eastAsia="zh-CN"/>
              </w:rPr>
              <w:t>8</w:t>
            </w:r>
          </w:p>
        </w:tc>
        <w:tc>
          <w:tcPr>
            <w:tcW w:w="521" w:type="pct"/>
            <w:vAlign w:val="center"/>
          </w:tcPr>
          <w:p w14:paraId="2BE7514E">
            <w:pPr>
              <w:widowControl w:val="0"/>
              <w:spacing w:line="240" w:lineRule="auto"/>
              <w:ind w:firstLine="0" w:firstLineChars="0"/>
              <w:jc w:val="center"/>
              <w:rPr>
                <w:rFonts w:ascii="Calibri" w:hAnsi="Calibri" w:cs="宋体"/>
                <w:sz w:val="21"/>
              </w:rPr>
            </w:pPr>
            <w:r>
              <w:rPr>
                <w:rFonts w:hint="eastAsia" w:ascii="Calibri" w:hAnsi="Calibri" w:cs="宋体"/>
                <w:sz w:val="21"/>
              </w:rPr>
              <w:t>后期</w:t>
            </w:r>
          </w:p>
        </w:tc>
      </w:tr>
      <w:tr w14:paraId="43DF8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54" w:type="pct"/>
            <w:vAlign w:val="center"/>
          </w:tcPr>
          <w:p w14:paraId="437E26B2">
            <w:pPr>
              <w:widowControl w:val="0"/>
              <w:spacing w:line="240" w:lineRule="auto"/>
              <w:ind w:firstLine="0" w:firstLineChars="0"/>
              <w:jc w:val="center"/>
              <w:rPr>
                <w:rFonts w:ascii="Calibri" w:hAnsi="Calibri" w:cs="宋体"/>
                <w:sz w:val="21"/>
              </w:rPr>
            </w:pPr>
            <w:r>
              <w:rPr>
                <w:rFonts w:hint="eastAsia" w:ascii="Calibri" w:hAnsi="Calibri" w:cs="宋体"/>
                <w:sz w:val="21"/>
              </w:rPr>
              <w:t>合计</w:t>
            </w:r>
          </w:p>
        </w:tc>
        <w:tc>
          <w:tcPr>
            <w:tcW w:w="521" w:type="pct"/>
            <w:vAlign w:val="center"/>
          </w:tcPr>
          <w:p w14:paraId="599F539A">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2870</w:t>
            </w:r>
          </w:p>
        </w:tc>
        <w:tc>
          <w:tcPr>
            <w:tcW w:w="521" w:type="pct"/>
            <w:vAlign w:val="center"/>
          </w:tcPr>
          <w:p w14:paraId="50572C16">
            <w:pPr>
              <w:widowControl w:val="0"/>
              <w:spacing w:line="240" w:lineRule="auto"/>
              <w:ind w:firstLine="0" w:firstLineChars="0"/>
              <w:jc w:val="center"/>
              <w:rPr>
                <w:rFonts w:ascii="Calibri" w:hAnsi="Calibri" w:cs="宋体"/>
                <w:sz w:val="21"/>
              </w:rPr>
            </w:pPr>
            <w:r>
              <w:rPr>
                <w:rFonts w:hint="eastAsia" w:ascii="Calibri" w:hAnsi="Calibri" w:cs="宋体"/>
                <w:sz w:val="21"/>
              </w:rPr>
              <w:t>410</w:t>
            </w:r>
          </w:p>
        </w:tc>
        <w:tc>
          <w:tcPr>
            <w:tcW w:w="521" w:type="pct"/>
            <w:vAlign w:val="center"/>
          </w:tcPr>
          <w:p w14:paraId="3B432C79">
            <w:pPr>
              <w:widowControl w:val="0"/>
              <w:spacing w:line="240" w:lineRule="auto"/>
              <w:ind w:firstLine="0" w:firstLineChars="0"/>
              <w:jc w:val="center"/>
              <w:rPr>
                <w:rFonts w:ascii="Calibri" w:hAnsi="Calibri"/>
                <w:sz w:val="21"/>
              </w:rPr>
            </w:pPr>
            <w:r>
              <w:rPr>
                <w:rFonts w:hint="eastAsia" w:ascii="Calibri" w:hAnsi="Calibri" w:cs="宋体"/>
                <w:sz w:val="21"/>
              </w:rPr>
              <w:t>410</w:t>
            </w:r>
          </w:p>
        </w:tc>
        <w:tc>
          <w:tcPr>
            <w:tcW w:w="521" w:type="pct"/>
            <w:vAlign w:val="center"/>
          </w:tcPr>
          <w:p w14:paraId="1B0DE7B0">
            <w:pPr>
              <w:widowControl w:val="0"/>
              <w:spacing w:line="240" w:lineRule="auto"/>
              <w:ind w:firstLine="0" w:firstLineChars="0"/>
              <w:jc w:val="center"/>
              <w:rPr>
                <w:rFonts w:ascii="Calibri" w:hAnsi="Calibri"/>
                <w:sz w:val="21"/>
              </w:rPr>
            </w:pPr>
            <w:r>
              <w:rPr>
                <w:rFonts w:hint="eastAsia" w:ascii="Calibri" w:hAnsi="Calibri" w:cs="宋体"/>
                <w:sz w:val="21"/>
              </w:rPr>
              <w:t>410</w:t>
            </w:r>
          </w:p>
        </w:tc>
        <w:tc>
          <w:tcPr>
            <w:tcW w:w="521" w:type="pct"/>
            <w:vAlign w:val="center"/>
          </w:tcPr>
          <w:p w14:paraId="7F7E1A95">
            <w:pPr>
              <w:widowControl w:val="0"/>
              <w:spacing w:line="240" w:lineRule="auto"/>
              <w:ind w:firstLine="0" w:firstLineChars="0"/>
              <w:jc w:val="center"/>
              <w:rPr>
                <w:rFonts w:ascii="Calibri" w:hAnsi="Calibri"/>
                <w:sz w:val="21"/>
              </w:rPr>
            </w:pPr>
            <w:r>
              <w:rPr>
                <w:rFonts w:hint="eastAsia" w:ascii="Calibri" w:hAnsi="Calibri" w:cs="宋体"/>
                <w:sz w:val="21"/>
              </w:rPr>
              <w:t>410</w:t>
            </w:r>
          </w:p>
        </w:tc>
        <w:tc>
          <w:tcPr>
            <w:tcW w:w="521" w:type="pct"/>
            <w:vAlign w:val="center"/>
          </w:tcPr>
          <w:p w14:paraId="23CEC98E">
            <w:pPr>
              <w:widowControl w:val="0"/>
              <w:spacing w:line="240" w:lineRule="auto"/>
              <w:ind w:firstLine="0" w:firstLineChars="0"/>
              <w:jc w:val="center"/>
              <w:rPr>
                <w:rFonts w:ascii="Calibri" w:hAnsi="Calibri"/>
                <w:sz w:val="21"/>
              </w:rPr>
            </w:pPr>
            <w:r>
              <w:rPr>
                <w:rFonts w:hint="eastAsia" w:ascii="Calibri" w:hAnsi="Calibri" w:cs="宋体"/>
                <w:sz w:val="21"/>
              </w:rPr>
              <w:t>410</w:t>
            </w:r>
          </w:p>
        </w:tc>
        <w:tc>
          <w:tcPr>
            <w:tcW w:w="521" w:type="pct"/>
            <w:vAlign w:val="center"/>
          </w:tcPr>
          <w:p w14:paraId="4F171724">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820</w:t>
            </w:r>
          </w:p>
        </w:tc>
      </w:tr>
      <w:tr w14:paraId="2F371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54" w:type="pct"/>
            <w:vAlign w:val="center"/>
          </w:tcPr>
          <w:p w14:paraId="7296CFC2">
            <w:pPr>
              <w:widowControl w:val="0"/>
              <w:spacing w:line="240" w:lineRule="auto"/>
              <w:ind w:firstLine="0" w:firstLineChars="0"/>
              <w:jc w:val="center"/>
              <w:rPr>
                <w:rFonts w:ascii="Calibri" w:hAnsi="Calibri" w:cs="宋体"/>
                <w:sz w:val="21"/>
              </w:rPr>
            </w:pPr>
            <w:r>
              <w:rPr>
                <w:rFonts w:hint="eastAsia" w:ascii="Calibri" w:hAnsi="Calibri" w:cs="宋体"/>
                <w:sz w:val="21"/>
              </w:rPr>
              <w:t>林下种植</w:t>
            </w:r>
          </w:p>
        </w:tc>
        <w:tc>
          <w:tcPr>
            <w:tcW w:w="521" w:type="pct"/>
            <w:vAlign w:val="center"/>
          </w:tcPr>
          <w:p w14:paraId="1EAD3A5E">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1960</w:t>
            </w:r>
          </w:p>
        </w:tc>
        <w:tc>
          <w:tcPr>
            <w:tcW w:w="521" w:type="pct"/>
            <w:vAlign w:val="center"/>
          </w:tcPr>
          <w:p w14:paraId="76A4E968">
            <w:pPr>
              <w:widowControl w:val="0"/>
              <w:spacing w:line="240" w:lineRule="auto"/>
              <w:ind w:firstLine="0" w:firstLineChars="0"/>
              <w:jc w:val="center"/>
              <w:rPr>
                <w:rFonts w:ascii="Calibri" w:hAnsi="Calibri" w:cs="宋体"/>
                <w:sz w:val="21"/>
              </w:rPr>
            </w:pPr>
            <w:r>
              <w:rPr>
                <w:rFonts w:hint="eastAsia" w:ascii="Calibri" w:hAnsi="Calibri" w:cs="宋体"/>
                <w:sz w:val="21"/>
              </w:rPr>
              <w:t>280</w:t>
            </w:r>
          </w:p>
        </w:tc>
        <w:tc>
          <w:tcPr>
            <w:tcW w:w="521" w:type="pct"/>
            <w:vAlign w:val="center"/>
          </w:tcPr>
          <w:p w14:paraId="2F9B4301">
            <w:pPr>
              <w:widowControl w:val="0"/>
              <w:spacing w:line="240" w:lineRule="auto"/>
              <w:ind w:firstLine="0" w:firstLineChars="0"/>
              <w:jc w:val="center"/>
              <w:rPr>
                <w:rFonts w:ascii="Calibri" w:hAnsi="Calibri" w:cs="宋体"/>
                <w:sz w:val="21"/>
              </w:rPr>
            </w:pPr>
            <w:r>
              <w:rPr>
                <w:rFonts w:hint="eastAsia" w:ascii="Calibri" w:hAnsi="Calibri" w:cs="宋体"/>
                <w:sz w:val="21"/>
              </w:rPr>
              <w:t>280</w:t>
            </w:r>
          </w:p>
        </w:tc>
        <w:tc>
          <w:tcPr>
            <w:tcW w:w="521" w:type="pct"/>
            <w:vAlign w:val="center"/>
          </w:tcPr>
          <w:p w14:paraId="72663987">
            <w:pPr>
              <w:widowControl w:val="0"/>
              <w:spacing w:line="240" w:lineRule="auto"/>
              <w:ind w:firstLine="0" w:firstLineChars="0"/>
              <w:jc w:val="center"/>
              <w:rPr>
                <w:rFonts w:ascii="Calibri" w:hAnsi="Calibri" w:cs="宋体"/>
                <w:sz w:val="21"/>
              </w:rPr>
            </w:pPr>
            <w:r>
              <w:rPr>
                <w:rFonts w:hint="eastAsia" w:ascii="Calibri" w:hAnsi="Calibri" w:cs="宋体"/>
                <w:sz w:val="21"/>
              </w:rPr>
              <w:t>280</w:t>
            </w:r>
          </w:p>
        </w:tc>
        <w:tc>
          <w:tcPr>
            <w:tcW w:w="521" w:type="pct"/>
            <w:vAlign w:val="center"/>
          </w:tcPr>
          <w:p w14:paraId="56B9EAC6">
            <w:pPr>
              <w:widowControl w:val="0"/>
              <w:spacing w:line="240" w:lineRule="auto"/>
              <w:ind w:firstLine="0" w:firstLineChars="0"/>
              <w:jc w:val="center"/>
              <w:rPr>
                <w:rFonts w:ascii="Calibri" w:hAnsi="Calibri" w:cs="宋体"/>
                <w:sz w:val="21"/>
              </w:rPr>
            </w:pPr>
            <w:r>
              <w:rPr>
                <w:rFonts w:hint="eastAsia" w:ascii="Calibri" w:hAnsi="Calibri" w:cs="宋体"/>
                <w:sz w:val="21"/>
              </w:rPr>
              <w:t>280</w:t>
            </w:r>
          </w:p>
        </w:tc>
        <w:tc>
          <w:tcPr>
            <w:tcW w:w="521" w:type="pct"/>
            <w:vAlign w:val="center"/>
          </w:tcPr>
          <w:p w14:paraId="35709C26">
            <w:pPr>
              <w:widowControl w:val="0"/>
              <w:spacing w:line="240" w:lineRule="auto"/>
              <w:ind w:firstLine="0" w:firstLineChars="0"/>
              <w:jc w:val="center"/>
              <w:rPr>
                <w:rFonts w:ascii="Calibri" w:hAnsi="Calibri" w:cs="宋体"/>
                <w:sz w:val="21"/>
              </w:rPr>
            </w:pPr>
            <w:r>
              <w:rPr>
                <w:rFonts w:hint="eastAsia" w:ascii="Calibri" w:hAnsi="Calibri" w:cs="宋体"/>
                <w:sz w:val="21"/>
              </w:rPr>
              <w:t>280</w:t>
            </w:r>
          </w:p>
        </w:tc>
        <w:tc>
          <w:tcPr>
            <w:tcW w:w="521" w:type="pct"/>
            <w:vAlign w:val="center"/>
          </w:tcPr>
          <w:p w14:paraId="3C233F10">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560</w:t>
            </w:r>
          </w:p>
        </w:tc>
      </w:tr>
      <w:tr w14:paraId="15D1C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54" w:type="pct"/>
            <w:vAlign w:val="center"/>
          </w:tcPr>
          <w:p w14:paraId="6FE60199">
            <w:pPr>
              <w:widowControl w:val="0"/>
              <w:spacing w:line="240" w:lineRule="auto"/>
              <w:ind w:firstLine="0" w:firstLineChars="0"/>
              <w:jc w:val="center"/>
              <w:rPr>
                <w:rFonts w:ascii="Calibri" w:hAnsi="Calibri" w:cs="宋体"/>
                <w:sz w:val="21"/>
              </w:rPr>
            </w:pPr>
            <w:r>
              <w:rPr>
                <w:rFonts w:hint="eastAsia" w:ascii="Calibri" w:hAnsi="Calibri" w:cs="宋体"/>
                <w:sz w:val="21"/>
              </w:rPr>
              <w:t>林下养殖</w:t>
            </w:r>
          </w:p>
        </w:tc>
        <w:tc>
          <w:tcPr>
            <w:tcW w:w="521" w:type="pct"/>
            <w:vAlign w:val="center"/>
          </w:tcPr>
          <w:p w14:paraId="65D83DE5">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630</w:t>
            </w:r>
          </w:p>
        </w:tc>
        <w:tc>
          <w:tcPr>
            <w:tcW w:w="521" w:type="pct"/>
            <w:vAlign w:val="center"/>
          </w:tcPr>
          <w:p w14:paraId="33CB6903">
            <w:pPr>
              <w:widowControl w:val="0"/>
              <w:spacing w:line="240" w:lineRule="auto"/>
              <w:ind w:firstLine="0" w:firstLineChars="0"/>
              <w:jc w:val="center"/>
              <w:rPr>
                <w:rFonts w:ascii="Calibri" w:hAnsi="Calibri" w:cs="宋体"/>
                <w:sz w:val="21"/>
              </w:rPr>
            </w:pPr>
            <w:r>
              <w:rPr>
                <w:rFonts w:hint="eastAsia" w:ascii="Calibri" w:hAnsi="Calibri" w:cs="宋体"/>
                <w:sz w:val="21"/>
              </w:rPr>
              <w:t>90</w:t>
            </w:r>
          </w:p>
        </w:tc>
        <w:tc>
          <w:tcPr>
            <w:tcW w:w="521" w:type="pct"/>
            <w:vAlign w:val="center"/>
          </w:tcPr>
          <w:p w14:paraId="1D88645F">
            <w:pPr>
              <w:widowControl w:val="0"/>
              <w:spacing w:line="240" w:lineRule="auto"/>
              <w:ind w:firstLine="0" w:firstLineChars="0"/>
              <w:jc w:val="center"/>
              <w:rPr>
                <w:rFonts w:ascii="Calibri" w:hAnsi="Calibri" w:cs="宋体"/>
                <w:sz w:val="21"/>
              </w:rPr>
            </w:pPr>
            <w:r>
              <w:rPr>
                <w:rFonts w:hint="eastAsia" w:ascii="Calibri" w:hAnsi="Calibri" w:cs="宋体"/>
                <w:sz w:val="21"/>
              </w:rPr>
              <w:t>90</w:t>
            </w:r>
          </w:p>
        </w:tc>
        <w:tc>
          <w:tcPr>
            <w:tcW w:w="521" w:type="pct"/>
            <w:vAlign w:val="center"/>
          </w:tcPr>
          <w:p w14:paraId="147F408B">
            <w:pPr>
              <w:widowControl w:val="0"/>
              <w:spacing w:line="240" w:lineRule="auto"/>
              <w:ind w:firstLine="0" w:firstLineChars="0"/>
              <w:jc w:val="center"/>
              <w:rPr>
                <w:rFonts w:ascii="Calibri" w:hAnsi="Calibri" w:cs="宋体"/>
                <w:sz w:val="21"/>
              </w:rPr>
            </w:pPr>
            <w:r>
              <w:rPr>
                <w:rFonts w:hint="eastAsia" w:ascii="Calibri" w:hAnsi="Calibri" w:cs="宋体"/>
                <w:sz w:val="21"/>
              </w:rPr>
              <w:t>90</w:t>
            </w:r>
          </w:p>
        </w:tc>
        <w:tc>
          <w:tcPr>
            <w:tcW w:w="521" w:type="pct"/>
            <w:vAlign w:val="center"/>
          </w:tcPr>
          <w:p w14:paraId="70DBD887">
            <w:pPr>
              <w:widowControl w:val="0"/>
              <w:spacing w:line="240" w:lineRule="auto"/>
              <w:ind w:firstLine="0" w:firstLineChars="0"/>
              <w:jc w:val="center"/>
              <w:rPr>
                <w:rFonts w:ascii="Calibri" w:hAnsi="Calibri" w:cs="宋体"/>
                <w:sz w:val="21"/>
              </w:rPr>
            </w:pPr>
            <w:r>
              <w:rPr>
                <w:rFonts w:hint="eastAsia" w:ascii="Calibri" w:hAnsi="Calibri" w:cs="宋体"/>
                <w:sz w:val="21"/>
              </w:rPr>
              <w:t>90</w:t>
            </w:r>
          </w:p>
        </w:tc>
        <w:tc>
          <w:tcPr>
            <w:tcW w:w="521" w:type="pct"/>
            <w:vAlign w:val="center"/>
          </w:tcPr>
          <w:p w14:paraId="3D0EB08C">
            <w:pPr>
              <w:widowControl w:val="0"/>
              <w:spacing w:line="240" w:lineRule="auto"/>
              <w:ind w:firstLine="0" w:firstLineChars="0"/>
              <w:jc w:val="center"/>
              <w:rPr>
                <w:rFonts w:ascii="Calibri" w:hAnsi="Calibri" w:cs="宋体"/>
                <w:sz w:val="21"/>
              </w:rPr>
            </w:pPr>
            <w:r>
              <w:rPr>
                <w:rFonts w:hint="eastAsia" w:ascii="Calibri" w:hAnsi="Calibri" w:cs="宋体"/>
                <w:sz w:val="21"/>
              </w:rPr>
              <w:t>90</w:t>
            </w:r>
          </w:p>
        </w:tc>
        <w:tc>
          <w:tcPr>
            <w:tcW w:w="521" w:type="pct"/>
            <w:vAlign w:val="center"/>
          </w:tcPr>
          <w:p w14:paraId="7797CE49">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180</w:t>
            </w:r>
          </w:p>
        </w:tc>
      </w:tr>
      <w:tr w14:paraId="03472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54" w:type="pct"/>
            <w:vAlign w:val="center"/>
          </w:tcPr>
          <w:p w14:paraId="2BF81693">
            <w:pPr>
              <w:widowControl w:val="0"/>
              <w:spacing w:line="240" w:lineRule="auto"/>
              <w:ind w:firstLine="0" w:firstLineChars="0"/>
              <w:jc w:val="center"/>
              <w:rPr>
                <w:rFonts w:ascii="Calibri" w:hAnsi="Calibri" w:cs="宋体"/>
                <w:sz w:val="21"/>
              </w:rPr>
            </w:pPr>
            <w:r>
              <w:rPr>
                <w:rFonts w:hint="eastAsia" w:ascii="Calibri" w:hAnsi="Calibri" w:cs="宋体"/>
                <w:sz w:val="21"/>
              </w:rPr>
              <w:t>林下加工</w:t>
            </w:r>
          </w:p>
        </w:tc>
        <w:tc>
          <w:tcPr>
            <w:tcW w:w="521" w:type="pct"/>
            <w:vAlign w:val="center"/>
          </w:tcPr>
          <w:p w14:paraId="6786C4CA">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280</w:t>
            </w:r>
          </w:p>
        </w:tc>
        <w:tc>
          <w:tcPr>
            <w:tcW w:w="521" w:type="pct"/>
            <w:vAlign w:val="center"/>
          </w:tcPr>
          <w:p w14:paraId="38386CD9">
            <w:pPr>
              <w:widowControl w:val="0"/>
              <w:spacing w:line="240" w:lineRule="auto"/>
              <w:ind w:firstLine="0" w:firstLineChars="0"/>
              <w:jc w:val="center"/>
              <w:rPr>
                <w:rFonts w:ascii="Calibri" w:hAnsi="Calibri" w:cs="宋体"/>
                <w:sz w:val="21"/>
              </w:rPr>
            </w:pPr>
            <w:r>
              <w:rPr>
                <w:rFonts w:hint="eastAsia" w:ascii="Calibri" w:hAnsi="Calibri" w:cs="宋体"/>
                <w:sz w:val="21"/>
              </w:rPr>
              <w:t>40</w:t>
            </w:r>
          </w:p>
        </w:tc>
        <w:tc>
          <w:tcPr>
            <w:tcW w:w="521" w:type="pct"/>
            <w:vAlign w:val="center"/>
          </w:tcPr>
          <w:p w14:paraId="67B49726">
            <w:pPr>
              <w:widowControl w:val="0"/>
              <w:spacing w:line="240" w:lineRule="auto"/>
              <w:ind w:firstLine="0" w:firstLineChars="0"/>
              <w:jc w:val="center"/>
              <w:rPr>
                <w:rFonts w:ascii="Calibri" w:hAnsi="Calibri" w:cs="宋体"/>
                <w:sz w:val="21"/>
              </w:rPr>
            </w:pPr>
            <w:r>
              <w:rPr>
                <w:rFonts w:hint="eastAsia" w:ascii="Calibri" w:hAnsi="Calibri" w:cs="宋体"/>
                <w:sz w:val="21"/>
              </w:rPr>
              <w:t>40</w:t>
            </w:r>
          </w:p>
        </w:tc>
        <w:tc>
          <w:tcPr>
            <w:tcW w:w="521" w:type="pct"/>
            <w:vAlign w:val="center"/>
          </w:tcPr>
          <w:p w14:paraId="1617703D">
            <w:pPr>
              <w:widowControl w:val="0"/>
              <w:spacing w:line="240" w:lineRule="auto"/>
              <w:ind w:firstLine="0" w:firstLineChars="0"/>
              <w:jc w:val="center"/>
              <w:rPr>
                <w:rFonts w:ascii="Calibri" w:hAnsi="Calibri" w:cs="宋体"/>
                <w:sz w:val="21"/>
              </w:rPr>
            </w:pPr>
            <w:r>
              <w:rPr>
                <w:rFonts w:hint="eastAsia" w:ascii="Calibri" w:hAnsi="Calibri" w:cs="宋体"/>
                <w:sz w:val="21"/>
              </w:rPr>
              <w:t>40</w:t>
            </w:r>
          </w:p>
        </w:tc>
        <w:tc>
          <w:tcPr>
            <w:tcW w:w="521" w:type="pct"/>
            <w:vAlign w:val="center"/>
          </w:tcPr>
          <w:p w14:paraId="1C398910">
            <w:pPr>
              <w:widowControl w:val="0"/>
              <w:spacing w:line="240" w:lineRule="auto"/>
              <w:ind w:firstLine="0" w:firstLineChars="0"/>
              <w:jc w:val="center"/>
              <w:rPr>
                <w:rFonts w:ascii="Calibri" w:hAnsi="Calibri" w:cs="宋体"/>
                <w:sz w:val="21"/>
              </w:rPr>
            </w:pPr>
            <w:r>
              <w:rPr>
                <w:rFonts w:hint="eastAsia" w:ascii="Calibri" w:hAnsi="Calibri" w:cs="宋体"/>
                <w:sz w:val="21"/>
              </w:rPr>
              <w:t>40</w:t>
            </w:r>
          </w:p>
        </w:tc>
        <w:tc>
          <w:tcPr>
            <w:tcW w:w="521" w:type="pct"/>
            <w:vAlign w:val="center"/>
          </w:tcPr>
          <w:p w14:paraId="664BE76D">
            <w:pPr>
              <w:widowControl w:val="0"/>
              <w:spacing w:line="240" w:lineRule="auto"/>
              <w:ind w:firstLine="0" w:firstLineChars="0"/>
              <w:jc w:val="center"/>
              <w:rPr>
                <w:rFonts w:ascii="Calibri" w:hAnsi="Calibri" w:cs="宋体"/>
                <w:sz w:val="21"/>
              </w:rPr>
            </w:pPr>
            <w:r>
              <w:rPr>
                <w:rFonts w:hint="eastAsia" w:ascii="Calibri" w:hAnsi="Calibri" w:cs="宋体"/>
                <w:sz w:val="21"/>
              </w:rPr>
              <w:t>40</w:t>
            </w:r>
          </w:p>
        </w:tc>
        <w:tc>
          <w:tcPr>
            <w:tcW w:w="521" w:type="pct"/>
            <w:vAlign w:val="center"/>
          </w:tcPr>
          <w:p w14:paraId="08FA3EC8">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80</w:t>
            </w:r>
          </w:p>
        </w:tc>
      </w:tr>
    </w:tbl>
    <w:p w14:paraId="5CAE9BC8">
      <w:pPr>
        <w:pStyle w:val="4"/>
      </w:pPr>
      <w:r>
        <w:rPr>
          <w:rFonts w:hint="eastAsia"/>
        </w:rPr>
        <w:t>10.1.9森林游憩项目投资概算</w:t>
      </w:r>
    </w:p>
    <w:p w14:paraId="319B3222">
      <w:pPr>
        <w:ind w:firstLine="480"/>
        <w:rPr>
          <w:lang w:eastAsia="zh-CN"/>
        </w:rPr>
      </w:pPr>
      <w:r>
        <w:rPr>
          <w:rFonts w:hint="eastAsia"/>
          <w:lang w:eastAsia="zh-CN"/>
        </w:rPr>
        <w:t>森林多资源利用投入见第七章第三节，本经营期需投入966万元。详见表10-6。</w:t>
      </w:r>
    </w:p>
    <w:p w14:paraId="29DF111A">
      <w:pPr>
        <w:spacing w:line="240" w:lineRule="auto"/>
        <w:ind w:firstLine="0" w:firstLineChars="0"/>
        <w:jc w:val="center"/>
        <w:rPr>
          <w:rFonts w:eastAsia="黑体"/>
          <w:b/>
          <w:bCs/>
          <w:lang w:eastAsia="zh-CN"/>
        </w:rPr>
      </w:pPr>
      <w:r>
        <w:rPr>
          <w:rFonts w:hint="eastAsia" w:eastAsia="黑体"/>
          <w:b/>
          <w:bCs/>
          <w:lang w:eastAsia="zh-CN"/>
        </w:rPr>
        <w:t>表</w:t>
      </w:r>
      <w:r>
        <w:rPr>
          <w:rFonts w:eastAsia="黑体" w:cs="Times New Roman"/>
          <w:b/>
          <w:bCs/>
          <w:lang w:eastAsia="zh-CN"/>
        </w:rPr>
        <w:t>10-</w:t>
      </w:r>
      <w:r>
        <w:rPr>
          <w:rFonts w:hint="eastAsia" w:eastAsia="黑体" w:cs="Times New Roman"/>
          <w:b/>
          <w:bCs/>
          <w:lang w:eastAsia="zh-CN"/>
        </w:rPr>
        <w:t>6</w:t>
      </w:r>
      <w:r>
        <w:rPr>
          <w:rFonts w:hint="eastAsia" w:eastAsia="黑体"/>
          <w:b/>
          <w:bCs/>
          <w:lang w:eastAsia="zh-CN"/>
        </w:rPr>
        <w:t>森林游憩项目投入估算表</w:t>
      </w:r>
    </w:p>
    <w:p w14:paraId="6D9FE89C">
      <w:pPr>
        <w:spacing w:line="240" w:lineRule="auto"/>
        <w:ind w:firstLine="0" w:firstLineChars="0"/>
        <w:jc w:val="right"/>
        <w:rPr>
          <w:sz w:val="21"/>
        </w:rPr>
      </w:pPr>
      <w:r>
        <w:rPr>
          <w:rFonts w:hint="eastAsia"/>
          <w:sz w:val="21"/>
        </w:rPr>
        <w:t>单位：万元</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8"/>
        <w:gridCol w:w="982"/>
        <w:gridCol w:w="984"/>
        <w:gridCol w:w="939"/>
        <w:gridCol w:w="939"/>
        <w:gridCol w:w="939"/>
        <w:gridCol w:w="940"/>
        <w:gridCol w:w="937"/>
      </w:tblGrid>
      <w:tr w14:paraId="7ACB9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1" w:type="pct"/>
            <w:tcBorders>
              <w:tl2br w:val="single" w:color="auto" w:sz="4" w:space="0"/>
            </w:tcBorders>
            <w:vAlign w:val="center"/>
          </w:tcPr>
          <w:p w14:paraId="2AABA488">
            <w:pPr>
              <w:widowControl w:val="0"/>
              <w:spacing w:line="240" w:lineRule="auto"/>
              <w:ind w:firstLine="0" w:firstLineChars="0"/>
              <w:jc w:val="center"/>
              <w:rPr>
                <w:rFonts w:ascii="Calibri" w:hAnsi="Calibri" w:cs="宋体"/>
                <w:sz w:val="21"/>
              </w:rPr>
            </w:pPr>
            <w:r>
              <w:rPr>
                <w:rFonts w:hint="eastAsia" w:ascii="Calibri" w:hAnsi="Calibri" w:cs="宋体"/>
                <w:sz w:val="21"/>
              </w:rPr>
              <w:t>年度</w:t>
            </w:r>
          </w:p>
          <w:p w14:paraId="15D3B2A0">
            <w:pPr>
              <w:widowControl w:val="0"/>
              <w:spacing w:line="240" w:lineRule="auto"/>
              <w:ind w:firstLine="0" w:firstLineChars="0"/>
              <w:jc w:val="center"/>
              <w:rPr>
                <w:rFonts w:ascii="Calibri" w:hAnsi="Calibri" w:cs="宋体"/>
                <w:sz w:val="21"/>
              </w:rPr>
            </w:pPr>
            <w:r>
              <w:rPr>
                <w:rFonts w:hint="eastAsia" w:ascii="Calibri" w:hAnsi="Calibri" w:cs="宋体"/>
                <w:sz w:val="21"/>
              </w:rPr>
              <w:t>项目</w:t>
            </w:r>
          </w:p>
        </w:tc>
        <w:tc>
          <w:tcPr>
            <w:tcW w:w="551" w:type="pct"/>
            <w:vAlign w:val="center"/>
          </w:tcPr>
          <w:p w14:paraId="757866F5">
            <w:pPr>
              <w:widowControl w:val="0"/>
              <w:spacing w:line="240" w:lineRule="auto"/>
              <w:ind w:firstLine="0" w:firstLineChars="0"/>
              <w:jc w:val="center"/>
              <w:rPr>
                <w:rFonts w:ascii="Calibri" w:hAnsi="Calibri" w:cs="宋体"/>
                <w:sz w:val="21"/>
              </w:rPr>
            </w:pPr>
            <w:r>
              <w:rPr>
                <w:rFonts w:hint="eastAsia" w:ascii="Calibri" w:hAnsi="Calibri" w:cs="宋体"/>
                <w:sz w:val="21"/>
              </w:rPr>
              <w:t>合计</w:t>
            </w:r>
          </w:p>
        </w:tc>
        <w:tc>
          <w:tcPr>
            <w:tcW w:w="552" w:type="pct"/>
            <w:vAlign w:val="center"/>
          </w:tcPr>
          <w:p w14:paraId="2712C61B">
            <w:pPr>
              <w:widowControl w:val="0"/>
              <w:spacing w:line="240" w:lineRule="auto"/>
              <w:ind w:firstLine="0" w:firstLineChars="0"/>
              <w:jc w:val="center"/>
              <w:rPr>
                <w:rFonts w:ascii="Calibri" w:hAnsi="Calibri" w:cs="宋体"/>
                <w:sz w:val="21"/>
                <w:lang w:eastAsia="zh-CN"/>
              </w:rPr>
            </w:pPr>
            <w:r>
              <w:rPr>
                <w:rFonts w:hint="eastAsia" w:ascii="Calibri" w:hAnsi="Calibri" w:cs="宋体"/>
                <w:sz w:val="21"/>
              </w:rPr>
              <w:t>202</w:t>
            </w:r>
            <w:r>
              <w:rPr>
                <w:rFonts w:hint="eastAsia" w:ascii="Calibri" w:hAnsi="Calibri" w:cs="宋体"/>
                <w:sz w:val="21"/>
                <w:lang w:eastAsia="zh-CN"/>
              </w:rPr>
              <w:t>4</w:t>
            </w:r>
          </w:p>
        </w:tc>
        <w:tc>
          <w:tcPr>
            <w:tcW w:w="527" w:type="pct"/>
            <w:vAlign w:val="center"/>
          </w:tcPr>
          <w:p w14:paraId="1646D274">
            <w:pPr>
              <w:widowControl w:val="0"/>
              <w:spacing w:line="240" w:lineRule="auto"/>
              <w:ind w:firstLine="0" w:firstLineChars="0"/>
              <w:jc w:val="center"/>
              <w:rPr>
                <w:rFonts w:ascii="Calibri" w:hAnsi="Calibri" w:cs="宋体"/>
                <w:sz w:val="21"/>
                <w:lang w:eastAsia="zh-CN"/>
              </w:rPr>
            </w:pPr>
            <w:r>
              <w:rPr>
                <w:rFonts w:hint="eastAsia" w:ascii="Calibri" w:hAnsi="Calibri" w:cs="宋体"/>
                <w:sz w:val="21"/>
              </w:rPr>
              <w:t>202</w:t>
            </w:r>
            <w:r>
              <w:rPr>
                <w:rFonts w:hint="eastAsia" w:ascii="Calibri" w:hAnsi="Calibri" w:cs="宋体"/>
                <w:sz w:val="21"/>
                <w:lang w:eastAsia="zh-CN"/>
              </w:rPr>
              <w:t>5</w:t>
            </w:r>
          </w:p>
        </w:tc>
        <w:tc>
          <w:tcPr>
            <w:tcW w:w="527" w:type="pct"/>
            <w:vAlign w:val="center"/>
          </w:tcPr>
          <w:p w14:paraId="36045B0C">
            <w:pPr>
              <w:widowControl w:val="0"/>
              <w:spacing w:line="240" w:lineRule="auto"/>
              <w:ind w:firstLine="0" w:firstLineChars="0"/>
              <w:jc w:val="center"/>
              <w:rPr>
                <w:rFonts w:ascii="Calibri" w:hAnsi="Calibri" w:cs="宋体"/>
                <w:sz w:val="21"/>
                <w:lang w:eastAsia="zh-CN"/>
              </w:rPr>
            </w:pPr>
            <w:r>
              <w:rPr>
                <w:rFonts w:hint="eastAsia" w:ascii="Calibri" w:hAnsi="Calibri" w:cs="宋体"/>
                <w:sz w:val="21"/>
              </w:rPr>
              <w:t>202</w:t>
            </w:r>
            <w:r>
              <w:rPr>
                <w:rFonts w:hint="eastAsia" w:ascii="Calibri" w:hAnsi="Calibri" w:cs="宋体"/>
                <w:sz w:val="21"/>
                <w:lang w:eastAsia="zh-CN"/>
              </w:rPr>
              <w:t>6</w:t>
            </w:r>
          </w:p>
        </w:tc>
        <w:tc>
          <w:tcPr>
            <w:tcW w:w="527" w:type="pct"/>
            <w:vAlign w:val="center"/>
          </w:tcPr>
          <w:p w14:paraId="6025A9F5">
            <w:pPr>
              <w:widowControl w:val="0"/>
              <w:spacing w:line="240" w:lineRule="auto"/>
              <w:ind w:firstLine="0" w:firstLineChars="0"/>
              <w:jc w:val="center"/>
              <w:rPr>
                <w:rFonts w:ascii="Calibri" w:hAnsi="Calibri" w:cs="宋体"/>
                <w:sz w:val="21"/>
                <w:lang w:eastAsia="zh-CN"/>
              </w:rPr>
            </w:pPr>
            <w:r>
              <w:rPr>
                <w:rFonts w:hint="eastAsia" w:ascii="Calibri" w:hAnsi="Calibri" w:cs="宋体"/>
                <w:sz w:val="21"/>
              </w:rPr>
              <w:t>202</w:t>
            </w:r>
            <w:r>
              <w:rPr>
                <w:rFonts w:hint="eastAsia" w:ascii="Calibri" w:hAnsi="Calibri" w:cs="宋体"/>
                <w:sz w:val="21"/>
                <w:lang w:eastAsia="zh-CN"/>
              </w:rPr>
              <w:t>7</w:t>
            </w:r>
          </w:p>
        </w:tc>
        <w:tc>
          <w:tcPr>
            <w:tcW w:w="527" w:type="pct"/>
            <w:vAlign w:val="center"/>
          </w:tcPr>
          <w:p w14:paraId="1FF60A9A">
            <w:pPr>
              <w:widowControl w:val="0"/>
              <w:spacing w:line="240" w:lineRule="auto"/>
              <w:ind w:firstLine="0" w:firstLineChars="0"/>
              <w:jc w:val="center"/>
              <w:rPr>
                <w:rFonts w:ascii="Calibri" w:hAnsi="Calibri" w:cs="宋体"/>
                <w:sz w:val="21"/>
                <w:lang w:eastAsia="zh-CN"/>
              </w:rPr>
            </w:pPr>
            <w:r>
              <w:rPr>
                <w:rFonts w:hint="eastAsia" w:ascii="Calibri" w:hAnsi="Calibri" w:cs="宋体"/>
                <w:sz w:val="21"/>
              </w:rPr>
              <w:t>202</w:t>
            </w:r>
            <w:r>
              <w:rPr>
                <w:rFonts w:hint="eastAsia" w:ascii="Calibri" w:hAnsi="Calibri" w:cs="宋体"/>
                <w:sz w:val="21"/>
                <w:lang w:eastAsia="zh-CN"/>
              </w:rPr>
              <w:t>8</w:t>
            </w:r>
          </w:p>
        </w:tc>
        <w:tc>
          <w:tcPr>
            <w:tcW w:w="525" w:type="pct"/>
            <w:vAlign w:val="center"/>
          </w:tcPr>
          <w:p w14:paraId="3D016D51">
            <w:pPr>
              <w:widowControl w:val="0"/>
              <w:spacing w:line="240" w:lineRule="auto"/>
              <w:ind w:firstLine="0" w:firstLineChars="0"/>
              <w:jc w:val="center"/>
              <w:rPr>
                <w:rFonts w:ascii="Calibri" w:hAnsi="Calibri" w:cs="宋体"/>
                <w:sz w:val="21"/>
              </w:rPr>
            </w:pPr>
            <w:r>
              <w:rPr>
                <w:rFonts w:hint="eastAsia" w:ascii="Calibri" w:hAnsi="Calibri" w:cs="宋体"/>
                <w:sz w:val="21"/>
              </w:rPr>
              <w:t>后期</w:t>
            </w:r>
          </w:p>
        </w:tc>
      </w:tr>
      <w:tr w14:paraId="41FB8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1" w:type="pct"/>
            <w:vAlign w:val="center"/>
          </w:tcPr>
          <w:p w14:paraId="70A690FC">
            <w:pPr>
              <w:widowControl w:val="0"/>
              <w:spacing w:line="240" w:lineRule="auto"/>
              <w:ind w:firstLine="0" w:firstLineChars="0"/>
              <w:jc w:val="center"/>
              <w:rPr>
                <w:rFonts w:ascii="Calibri" w:hAnsi="Calibri" w:cs="宋体"/>
                <w:sz w:val="21"/>
              </w:rPr>
            </w:pPr>
            <w:r>
              <w:rPr>
                <w:rFonts w:hint="eastAsia" w:ascii="Calibri" w:hAnsi="Calibri" w:cs="宋体"/>
                <w:sz w:val="21"/>
              </w:rPr>
              <w:t>合计</w:t>
            </w:r>
          </w:p>
        </w:tc>
        <w:tc>
          <w:tcPr>
            <w:tcW w:w="551" w:type="pct"/>
            <w:vAlign w:val="center"/>
          </w:tcPr>
          <w:p w14:paraId="4114F554">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966</w:t>
            </w:r>
          </w:p>
        </w:tc>
        <w:tc>
          <w:tcPr>
            <w:tcW w:w="552" w:type="pct"/>
            <w:vAlign w:val="center"/>
          </w:tcPr>
          <w:p w14:paraId="5C147300">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138</w:t>
            </w:r>
          </w:p>
        </w:tc>
        <w:tc>
          <w:tcPr>
            <w:tcW w:w="527" w:type="pct"/>
            <w:vAlign w:val="center"/>
          </w:tcPr>
          <w:p w14:paraId="178CBEE3">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138</w:t>
            </w:r>
          </w:p>
        </w:tc>
        <w:tc>
          <w:tcPr>
            <w:tcW w:w="527" w:type="pct"/>
            <w:vAlign w:val="center"/>
          </w:tcPr>
          <w:p w14:paraId="0D83D5EC">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138</w:t>
            </w:r>
          </w:p>
        </w:tc>
        <w:tc>
          <w:tcPr>
            <w:tcW w:w="527" w:type="pct"/>
            <w:vAlign w:val="center"/>
          </w:tcPr>
          <w:p w14:paraId="15B26ED7">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138</w:t>
            </w:r>
          </w:p>
        </w:tc>
        <w:tc>
          <w:tcPr>
            <w:tcW w:w="527" w:type="pct"/>
            <w:vAlign w:val="center"/>
          </w:tcPr>
          <w:p w14:paraId="7952F91B">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138</w:t>
            </w:r>
          </w:p>
        </w:tc>
        <w:tc>
          <w:tcPr>
            <w:tcW w:w="525" w:type="pct"/>
            <w:vAlign w:val="center"/>
          </w:tcPr>
          <w:p w14:paraId="7F2B7A30">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276</w:t>
            </w:r>
          </w:p>
        </w:tc>
      </w:tr>
      <w:tr w14:paraId="38D55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1" w:type="pct"/>
            <w:vAlign w:val="center"/>
          </w:tcPr>
          <w:p w14:paraId="6A716B40">
            <w:pPr>
              <w:widowControl w:val="0"/>
              <w:spacing w:line="240" w:lineRule="auto"/>
              <w:ind w:firstLine="0" w:firstLineChars="0"/>
              <w:jc w:val="center"/>
              <w:rPr>
                <w:rFonts w:ascii="Calibri" w:hAnsi="Calibri" w:cs="宋体"/>
                <w:sz w:val="21"/>
              </w:rPr>
            </w:pPr>
            <w:r>
              <w:rPr>
                <w:rFonts w:hint="eastAsia" w:ascii="Calibri" w:hAnsi="Calibri" w:cs="宋体"/>
                <w:sz w:val="21"/>
              </w:rPr>
              <w:t>游客服务中心</w:t>
            </w:r>
          </w:p>
        </w:tc>
        <w:tc>
          <w:tcPr>
            <w:tcW w:w="551" w:type="pct"/>
            <w:vAlign w:val="center"/>
          </w:tcPr>
          <w:p w14:paraId="1C2C7615">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553</w:t>
            </w:r>
          </w:p>
        </w:tc>
        <w:tc>
          <w:tcPr>
            <w:tcW w:w="552" w:type="pct"/>
            <w:vAlign w:val="center"/>
          </w:tcPr>
          <w:p w14:paraId="70BAB275">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79</w:t>
            </w:r>
          </w:p>
        </w:tc>
        <w:tc>
          <w:tcPr>
            <w:tcW w:w="527" w:type="pct"/>
            <w:vAlign w:val="center"/>
          </w:tcPr>
          <w:p w14:paraId="455D2080">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79</w:t>
            </w:r>
          </w:p>
        </w:tc>
        <w:tc>
          <w:tcPr>
            <w:tcW w:w="527" w:type="pct"/>
            <w:vAlign w:val="center"/>
          </w:tcPr>
          <w:p w14:paraId="20B49ADB">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79</w:t>
            </w:r>
          </w:p>
        </w:tc>
        <w:tc>
          <w:tcPr>
            <w:tcW w:w="527" w:type="pct"/>
            <w:vAlign w:val="center"/>
          </w:tcPr>
          <w:p w14:paraId="4BA57A8E">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79</w:t>
            </w:r>
          </w:p>
        </w:tc>
        <w:tc>
          <w:tcPr>
            <w:tcW w:w="527" w:type="pct"/>
            <w:vAlign w:val="center"/>
          </w:tcPr>
          <w:p w14:paraId="265B7FDD">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79</w:t>
            </w:r>
          </w:p>
        </w:tc>
        <w:tc>
          <w:tcPr>
            <w:tcW w:w="525" w:type="pct"/>
            <w:vAlign w:val="center"/>
          </w:tcPr>
          <w:p w14:paraId="1F4518CE">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158</w:t>
            </w:r>
          </w:p>
        </w:tc>
      </w:tr>
      <w:tr w14:paraId="04830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1" w:type="pct"/>
            <w:vAlign w:val="center"/>
          </w:tcPr>
          <w:p w14:paraId="6A76A663">
            <w:pPr>
              <w:widowControl w:val="0"/>
              <w:spacing w:line="240" w:lineRule="auto"/>
              <w:ind w:firstLine="0" w:firstLineChars="0"/>
              <w:jc w:val="center"/>
              <w:rPr>
                <w:rFonts w:ascii="Calibri" w:hAnsi="Calibri" w:cs="宋体"/>
                <w:sz w:val="21"/>
              </w:rPr>
            </w:pPr>
            <w:r>
              <w:rPr>
                <w:rFonts w:hint="eastAsia" w:ascii="Calibri" w:hAnsi="Calibri" w:cs="宋体"/>
                <w:sz w:val="21"/>
              </w:rPr>
              <w:t>游客休息亭</w:t>
            </w:r>
          </w:p>
        </w:tc>
        <w:tc>
          <w:tcPr>
            <w:tcW w:w="551" w:type="pct"/>
            <w:vAlign w:val="center"/>
          </w:tcPr>
          <w:p w14:paraId="64DA0CF0">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56</w:t>
            </w:r>
          </w:p>
        </w:tc>
        <w:tc>
          <w:tcPr>
            <w:tcW w:w="552" w:type="pct"/>
            <w:vAlign w:val="center"/>
          </w:tcPr>
          <w:p w14:paraId="1C2F3F63">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8</w:t>
            </w:r>
          </w:p>
        </w:tc>
        <w:tc>
          <w:tcPr>
            <w:tcW w:w="527" w:type="pct"/>
            <w:vAlign w:val="center"/>
          </w:tcPr>
          <w:p w14:paraId="5B9F7787">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8</w:t>
            </w:r>
          </w:p>
        </w:tc>
        <w:tc>
          <w:tcPr>
            <w:tcW w:w="527" w:type="pct"/>
            <w:vAlign w:val="center"/>
          </w:tcPr>
          <w:p w14:paraId="0FB96996">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8</w:t>
            </w:r>
          </w:p>
        </w:tc>
        <w:tc>
          <w:tcPr>
            <w:tcW w:w="527" w:type="pct"/>
            <w:vAlign w:val="center"/>
          </w:tcPr>
          <w:p w14:paraId="5714566A">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8</w:t>
            </w:r>
          </w:p>
        </w:tc>
        <w:tc>
          <w:tcPr>
            <w:tcW w:w="527" w:type="pct"/>
            <w:vAlign w:val="center"/>
          </w:tcPr>
          <w:p w14:paraId="4243FFD1">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8</w:t>
            </w:r>
          </w:p>
        </w:tc>
        <w:tc>
          <w:tcPr>
            <w:tcW w:w="525" w:type="pct"/>
            <w:vAlign w:val="center"/>
          </w:tcPr>
          <w:p w14:paraId="45B9D090">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16</w:t>
            </w:r>
          </w:p>
        </w:tc>
      </w:tr>
      <w:tr w14:paraId="6599C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1" w:type="pct"/>
            <w:vAlign w:val="center"/>
          </w:tcPr>
          <w:p w14:paraId="31348624">
            <w:pPr>
              <w:widowControl w:val="0"/>
              <w:spacing w:line="240" w:lineRule="auto"/>
              <w:ind w:firstLine="0" w:firstLineChars="0"/>
              <w:jc w:val="center"/>
              <w:rPr>
                <w:rFonts w:ascii="Calibri" w:hAnsi="Calibri" w:cs="宋体"/>
                <w:sz w:val="21"/>
              </w:rPr>
            </w:pPr>
            <w:r>
              <w:rPr>
                <w:rFonts w:hint="eastAsia" w:ascii="Calibri" w:hAnsi="Calibri" w:cs="宋体"/>
                <w:sz w:val="21"/>
              </w:rPr>
              <w:t>游道改造建设</w:t>
            </w:r>
          </w:p>
        </w:tc>
        <w:tc>
          <w:tcPr>
            <w:tcW w:w="551" w:type="pct"/>
            <w:vAlign w:val="center"/>
          </w:tcPr>
          <w:p w14:paraId="470AEA4B">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217</w:t>
            </w:r>
          </w:p>
        </w:tc>
        <w:tc>
          <w:tcPr>
            <w:tcW w:w="552" w:type="pct"/>
            <w:vAlign w:val="center"/>
          </w:tcPr>
          <w:p w14:paraId="08CB2993">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31</w:t>
            </w:r>
          </w:p>
        </w:tc>
        <w:tc>
          <w:tcPr>
            <w:tcW w:w="527" w:type="pct"/>
            <w:vAlign w:val="center"/>
          </w:tcPr>
          <w:p w14:paraId="75069636">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31</w:t>
            </w:r>
          </w:p>
        </w:tc>
        <w:tc>
          <w:tcPr>
            <w:tcW w:w="527" w:type="pct"/>
            <w:vAlign w:val="center"/>
          </w:tcPr>
          <w:p w14:paraId="18BD7D19">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31</w:t>
            </w:r>
          </w:p>
        </w:tc>
        <w:tc>
          <w:tcPr>
            <w:tcW w:w="527" w:type="pct"/>
            <w:vAlign w:val="center"/>
          </w:tcPr>
          <w:p w14:paraId="3874D5B7">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31</w:t>
            </w:r>
          </w:p>
        </w:tc>
        <w:tc>
          <w:tcPr>
            <w:tcW w:w="527" w:type="pct"/>
            <w:vAlign w:val="center"/>
          </w:tcPr>
          <w:p w14:paraId="753798B5">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31</w:t>
            </w:r>
          </w:p>
        </w:tc>
        <w:tc>
          <w:tcPr>
            <w:tcW w:w="525" w:type="pct"/>
            <w:vAlign w:val="center"/>
          </w:tcPr>
          <w:p w14:paraId="70EA3FAD">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62</w:t>
            </w:r>
          </w:p>
        </w:tc>
      </w:tr>
      <w:tr w14:paraId="19F2F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1" w:type="pct"/>
            <w:vAlign w:val="center"/>
          </w:tcPr>
          <w:p w14:paraId="5873589B">
            <w:pPr>
              <w:widowControl w:val="0"/>
              <w:spacing w:line="240" w:lineRule="auto"/>
              <w:ind w:firstLine="0" w:firstLineChars="0"/>
              <w:jc w:val="center"/>
              <w:rPr>
                <w:rFonts w:ascii="Calibri" w:hAnsi="Calibri" w:cs="宋体"/>
                <w:sz w:val="21"/>
              </w:rPr>
            </w:pPr>
            <w:r>
              <w:rPr>
                <w:rFonts w:hint="eastAsia" w:ascii="Calibri" w:hAnsi="Calibri" w:cs="宋体"/>
                <w:sz w:val="21"/>
              </w:rPr>
              <w:t>景区管理设施</w:t>
            </w:r>
          </w:p>
        </w:tc>
        <w:tc>
          <w:tcPr>
            <w:tcW w:w="551" w:type="pct"/>
            <w:vAlign w:val="center"/>
          </w:tcPr>
          <w:p w14:paraId="5C1B2373">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140</w:t>
            </w:r>
          </w:p>
        </w:tc>
        <w:tc>
          <w:tcPr>
            <w:tcW w:w="552" w:type="pct"/>
            <w:vAlign w:val="center"/>
          </w:tcPr>
          <w:p w14:paraId="182BD742">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20</w:t>
            </w:r>
          </w:p>
        </w:tc>
        <w:tc>
          <w:tcPr>
            <w:tcW w:w="527" w:type="pct"/>
            <w:vAlign w:val="center"/>
          </w:tcPr>
          <w:p w14:paraId="64EDC8B4">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20</w:t>
            </w:r>
          </w:p>
        </w:tc>
        <w:tc>
          <w:tcPr>
            <w:tcW w:w="527" w:type="pct"/>
            <w:vAlign w:val="center"/>
          </w:tcPr>
          <w:p w14:paraId="11399768">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20</w:t>
            </w:r>
          </w:p>
        </w:tc>
        <w:tc>
          <w:tcPr>
            <w:tcW w:w="527" w:type="pct"/>
            <w:vAlign w:val="center"/>
          </w:tcPr>
          <w:p w14:paraId="6972277A">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20</w:t>
            </w:r>
          </w:p>
        </w:tc>
        <w:tc>
          <w:tcPr>
            <w:tcW w:w="527" w:type="pct"/>
            <w:vAlign w:val="center"/>
          </w:tcPr>
          <w:p w14:paraId="5B616416">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20</w:t>
            </w:r>
          </w:p>
        </w:tc>
        <w:tc>
          <w:tcPr>
            <w:tcW w:w="525" w:type="pct"/>
            <w:vAlign w:val="center"/>
          </w:tcPr>
          <w:p w14:paraId="424987FE">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rPr>
              <w:t>40</w:t>
            </w:r>
          </w:p>
        </w:tc>
      </w:tr>
    </w:tbl>
    <w:p w14:paraId="195EA373">
      <w:pPr>
        <w:pStyle w:val="4"/>
      </w:pPr>
      <w:r>
        <w:rPr>
          <w:rFonts w:hint="eastAsia"/>
        </w:rPr>
        <w:t>10.1.10投资概算汇总</w:t>
      </w:r>
    </w:p>
    <w:p w14:paraId="5EB13B15">
      <w:pPr>
        <w:ind w:firstLine="480"/>
        <w:rPr>
          <w:lang w:eastAsia="zh-CN"/>
        </w:rPr>
      </w:pPr>
      <w:r>
        <w:rPr>
          <w:rFonts w:hint="eastAsia"/>
          <w:lang w:eastAsia="zh-CN"/>
        </w:rPr>
        <w:t>据上述概算，经营期内共需要投入10045.42万元。</w:t>
      </w:r>
    </w:p>
    <w:p w14:paraId="50347955">
      <w:pPr>
        <w:pStyle w:val="3"/>
        <w:rPr>
          <w:lang w:eastAsia="zh-CN"/>
        </w:rPr>
      </w:pPr>
      <w:bookmarkStart w:id="141" w:name="_Toc9289"/>
      <w:r>
        <w:rPr>
          <w:rFonts w:hint="eastAsia"/>
          <w:lang w:eastAsia="zh-CN"/>
        </w:rPr>
        <w:t>10.2资金来源</w:t>
      </w:r>
      <w:bookmarkEnd w:id="141"/>
    </w:p>
    <w:p w14:paraId="081F9084">
      <w:pPr>
        <w:pStyle w:val="4"/>
      </w:pPr>
      <w:r>
        <w:rPr>
          <w:rFonts w:hint="eastAsia"/>
        </w:rPr>
        <w:t>10.2.1进度安排</w:t>
      </w:r>
    </w:p>
    <w:p w14:paraId="3DF7DB3D">
      <w:pPr>
        <w:ind w:firstLine="480"/>
        <w:rPr>
          <w:lang w:eastAsia="zh-CN"/>
        </w:rPr>
      </w:pPr>
      <w:r>
        <w:rPr>
          <w:rFonts w:hint="eastAsia"/>
          <w:lang w:eastAsia="zh-CN"/>
        </w:rPr>
        <w:t>具体建设投入进度安排见表10-1、10-2、10-3、10-4、10-5、10-6。</w:t>
      </w:r>
    </w:p>
    <w:p w14:paraId="68A29158">
      <w:pPr>
        <w:kinsoku/>
        <w:autoSpaceDE/>
        <w:autoSpaceDN/>
        <w:adjustRightInd/>
        <w:snapToGrid/>
        <w:spacing w:line="240" w:lineRule="auto"/>
        <w:ind w:firstLine="0" w:firstLineChars="0"/>
        <w:jc w:val="left"/>
        <w:textAlignment w:val="auto"/>
        <w:rPr>
          <w:rFonts w:eastAsia="华文中宋" w:cs="Times New Roman"/>
          <w:b/>
          <w:bCs/>
          <w:snapToGrid/>
          <w:color w:val="000000" w:themeColor="text1"/>
          <w:kern w:val="2"/>
          <w:sz w:val="30"/>
          <w:szCs w:val="30"/>
          <w:lang w:eastAsia="zh-CN"/>
          <w14:textFill>
            <w14:solidFill>
              <w14:schemeClr w14:val="tx1"/>
            </w14:solidFill>
          </w14:textFill>
        </w:rPr>
      </w:pPr>
      <w:r>
        <w:rPr>
          <w:lang w:eastAsia="zh-CN"/>
        </w:rPr>
        <w:br w:type="page"/>
      </w:r>
    </w:p>
    <w:p w14:paraId="3FAEC32C">
      <w:pPr>
        <w:pStyle w:val="4"/>
      </w:pPr>
      <w:r>
        <w:rPr>
          <w:rFonts w:hint="eastAsia"/>
        </w:rPr>
        <w:t>10.2.2资金筹措</w:t>
      </w:r>
    </w:p>
    <w:p w14:paraId="2E823F89">
      <w:pPr>
        <w:ind w:firstLine="480"/>
        <w:rPr>
          <w:lang w:eastAsia="zh-CN"/>
        </w:rPr>
      </w:pPr>
      <w:r>
        <w:rPr>
          <w:rFonts w:hint="eastAsia"/>
          <w:lang w:eastAsia="zh-CN"/>
        </w:rPr>
        <w:t>林场为公益一类的科级事业单位，因此，森林经营资金来源于财政预算，此外，按国家现有惠林政策，还有一些明确的国家、地方对林业建设项目的投资或补贴，对国家级公益林生态效益的补偿资金和国有天然林停伐补助。</w:t>
      </w:r>
    </w:p>
    <w:p w14:paraId="55CC285C">
      <w:pPr>
        <w:ind w:firstLine="480"/>
        <w:rPr>
          <w:lang w:eastAsia="zh-CN"/>
        </w:rPr>
      </w:pPr>
      <w:r>
        <w:rPr>
          <w:rFonts w:hint="eastAsia"/>
          <w:lang w:eastAsia="zh-CN"/>
        </w:rPr>
        <w:t>国家惠林政策扶持除林场森林经营收益外，主要的资金来源有国家和地方各级财政对中幼林抚育的补贴，对重要营造林工程的扶持资金，对森林经营基础设施设备建设的扶持或补助等。</w:t>
      </w:r>
    </w:p>
    <w:p w14:paraId="1435371A">
      <w:pPr>
        <w:ind w:firstLine="480"/>
        <w:rPr>
          <w:lang w:eastAsia="zh-CN"/>
        </w:rPr>
      </w:pPr>
      <w:r>
        <w:rPr>
          <w:rFonts w:hint="eastAsia"/>
          <w:lang w:eastAsia="zh-CN"/>
        </w:rPr>
        <w:t>林场在经营活动共需投入</w:t>
      </w:r>
      <w:r>
        <w:rPr>
          <w:rFonts w:hint="eastAsia"/>
          <w:lang w:eastAsia="zh-CN" w:bidi="ar"/>
        </w:rPr>
        <w:t>10045.42</w:t>
      </w:r>
      <w:r>
        <w:rPr>
          <w:rFonts w:hint="eastAsia"/>
          <w:lang w:eastAsia="zh-CN"/>
        </w:rPr>
        <w:t>万元，其中申请国家财政扶持共</w:t>
      </w:r>
      <w:r>
        <w:rPr>
          <w:rFonts w:hint="eastAsia"/>
          <w:lang w:val="en-US" w:eastAsia="zh-CN"/>
        </w:rPr>
        <w:t>8230</w:t>
      </w:r>
      <w:r>
        <w:rPr>
          <w:rFonts w:hint="eastAsia"/>
          <w:lang w:eastAsia="zh-CN"/>
        </w:rPr>
        <w:t>万元，占</w:t>
      </w:r>
      <w:r>
        <w:rPr>
          <w:rFonts w:hint="eastAsia"/>
          <w:lang w:val="en-US" w:eastAsia="zh-CN"/>
        </w:rPr>
        <w:t>81.93</w:t>
      </w:r>
      <w:r>
        <w:rPr>
          <w:rFonts w:hint="eastAsia"/>
          <w:lang w:eastAsia="zh-CN"/>
        </w:rPr>
        <w:t>%；林场自筹</w:t>
      </w:r>
      <w:r>
        <w:rPr>
          <w:rFonts w:hint="eastAsia"/>
          <w:lang w:val="en-US" w:eastAsia="zh-CN"/>
        </w:rPr>
        <w:t>1815.1</w:t>
      </w:r>
      <w:r>
        <w:rPr>
          <w:rFonts w:hint="eastAsia"/>
          <w:lang w:eastAsia="zh-CN"/>
        </w:rPr>
        <w:t>万元，占</w:t>
      </w:r>
      <w:r>
        <w:rPr>
          <w:rFonts w:hint="eastAsia"/>
          <w:lang w:val="en-US" w:eastAsia="zh-CN"/>
        </w:rPr>
        <w:t>18.07</w:t>
      </w:r>
      <w:r>
        <w:rPr>
          <w:rFonts w:hint="eastAsia"/>
          <w:lang w:eastAsia="zh-CN"/>
        </w:rPr>
        <w:t>%。具体建设投入资金来源安排见表10-8。</w:t>
      </w:r>
    </w:p>
    <w:p w14:paraId="588FA694">
      <w:pPr>
        <w:spacing w:line="240" w:lineRule="auto"/>
        <w:ind w:firstLine="0" w:firstLineChars="0"/>
        <w:jc w:val="center"/>
        <w:rPr>
          <w:rFonts w:eastAsia="黑体"/>
          <w:b/>
          <w:bCs/>
          <w:lang w:eastAsia="zh-CN"/>
        </w:rPr>
      </w:pPr>
      <w:r>
        <w:rPr>
          <w:rFonts w:hint="eastAsia" w:eastAsia="黑体"/>
          <w:b/>
          <w:bCs/>
          <w:lang w:eastAsia="zh-CN"/>
        </w:rPr>
        <w:t>表</w:t>
      </w:r>
      <w:r>
        <w:rPr>
          <w:rFonts w:eastAsia="黑体" w:cs="Times New Roman"/>
          <w:b/>
          <w:bCs/>
          <w:lang w:eastAsia="zh-CN"/>
        </w:rPr>
        <w:t>10-8</w:t>
      </w:r>
      <w:r>
        <w:rPr>
          <w:rFonts w:hint="eastAsia" w:eastAsia="黑体"/>
          <w:b/>
          <w:bCs/>
          <w:lang w:eastAsia="zh-CN"/>
        </w:rPr>
        <w:t>投资概算汇总表</w:t>
      </w:r>
    </w:p>
    <w:p w14:paraId="19F65635">
      <w:pPr>
        <w:spacing w:line="240" w:lineRule="auto"/>
        <w:ind w:firstLine="0" w:firstLineChars="0"/>
        <w:jc w:val="right"/>
        <w:rPr>
          <w:sz w:val="21"/>
        </w:rPr>
      </w:pPr>
      <w:r>
        <w:rPr>
          <w:rFonts w:hint="eastAsia"/>
          <w:sz w:val="21"/>
        </w:rPr>
        <w:t>单位：万元</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83"/>
        <w:gridCol w:w="2103"/>
        <w:gridCol w:w="1913"/>
        <w:gridCol w:w="1913"/>
      </w:tblGrid>
      <w:tr w14:paraId="1AD32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74" w:type="pct"/>
            <w:vAlign w:val="center"/>
          </w:tcPr>
          <w:p w14:paraId="1A55EBF3">
            <w:pPr>
              <w:widowControl w:val="0"/>
              <w:spacing w:line="240" w:lineRule="auto"/>
              <w:ind w:firstLine="0" w:firstLineChars="0"/>
              <w:jc w:val="center"/>
              <w:rPr>
                <w:rFonts w:ascii="Calibri" w:hAnsi="Calibri" w:cs="宋体"/>
                <w:sz w:val="21"/>
              </w:rPr>
            </w:pPr>
            <w:r>
              <w:rPr>
                <w:rFonts w:hint="eastAsia" w:ascii="Calibri" w:hAnsi="Calibri" w:cs="宋体"/>
                <w:sz w:val="21"/>
              </w:rPr>
              <w:t>项目</w:t>
            </w:r>
          </w:p>
        </w:tc>
        <w:tc>
          <w:tcPr>
            <w:tcW w:w="1180" w:type="pct"/>
            <w:vAlign w:val="center"/>
          </w:tcPr>
          <w:p w14:paraId="6D4981B2">
            <w:pPr>
              <w:widowControl w:val="0"/>
              <w:spacing w:line="240" w:lineRule="auto"/>
              <w:ind w:firstLine="0" w:firstLineChars="0"/>
              <w:jc w:val="center"/>
              <w:rPr>
                <w:rFonts w:ascii="Calibri" w:hAnsi="Calibri" w:cs="宋体"/>
                <w:sz w:val="21"/>
              </w:rPr>
            </w:pPr>
            <w:r>
              <w:rPr>
                <w:rFonts w:hint="eastAsia" w:ascii="Calibri" w:hAnsi="Calibri" w:cs="宋体"/>
                <w:sz w:val="21"/>
              </w:rPr>
              <w:t>总投入</w:t>
            </w:r>
          </w:p>
        </w:tc>
        <w:tc>
          <w:tcPr>
            <w:tcW w:w="1073" w:type="pct"/>
            <w:vAlign w:val="center"/>
          </w:tcPr>
          <w:p w14:paraId="38018140">
            <w:pPr>
              <w:widowControl w:val="0"/>
              <w:spacing w:line="240" w:lineRule="auto"/>
              <w:ind w:firstLine="0" w:firstLineChars="0"/>
              <w:jc w:val="center"/>
              <w:rPr>
                <w:rFonts w:ascii="Calibri" w:hAnsi="Calibri" w:cs="宋体"/>
                <w:sz w:val="21"/>
              </w:rPr>
            </w:pPr>
            <w:r>
              <w:rPr>
                <w:rFonts w:hint="eastAsia" w:ascii="Calibri" w:hAnsi="Calibri" w:cs="宋体"/>
                <w:sz w:val="21"/>
              </w:rPr>
              <w:t>国家补助</w:t>
            </w:r>
          </w:p>
        </w:tc>
        <w:tc>
          <w:tcPr>
            <w:tcW w:w="1073" w:type="pct"/>
            <w:vAlign w:val="center"/>
          </w:tcPr>
          <w:p w14:paraId="2CC84A32">
            <w:pPr>
              <w:widowControl w:val="0"/>
              <w:spacing w:line="240" w:lineRule="auto"/>
              <w:ind w:firstLine="0" w:firstLineChars="0"/>
              <w:jc w:val="center"/>
              <w:rPr>
                <w:rFonts w:ascii="Calibri" w:hAnsi="Calibri" w:cs="宋体"/>
                <w:sz w:val="21"/>
              </w:rPr>
            </w:pPr>
            <w:r>
              <w:rPr>
                <w:rFonts w:hint="eastAsia" w:ascii="Calibri" w:hAnsi="Calibri" w:cs="宋体"/>
                <w:sz w:val="21"/>
              </w:rPr>
              <w:t>实际投入</w:t>
            </w:r>
          </w:p>
        </w:tc>
      </w:tr>
      <w:tr w14:paraId="30943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74" w:type="pct"/>
            <w:vAlign w:val="center"/>
          </w:tcPr>
          <w:p w14:paraId="309C559F">
            <w:pPr>
              <w:widowControl w:val="0"/>
              <w:spacing w:line="240" w:lineRule="auto"/>
              <w:ind w:firstLine="0" w:firstLineChars="0"/>
              <w:jc w:val="center"/>
              <w:rPr>
                <w:rFonts w:ascii="Calibri" w:hAnsi="Calibri" w:cs="宋体"/>
                <w:sz w:val="21"/>
              </w:rPr>
            </w:pPr>
            <w:r>
              <w:rPr>
                <w:rFonts w:hint="eastAsia" w:ascii="Calibri" w:hAnsi="Calibri" w:cs="宋体"/>
                <w:sz w:val="21"/>
              </w:rPr>
              <w:t>合计</w:t>
            </w:r>
          </w:p>
        </w:tc>
        <w:tc>
          <w:tcPr>
            <w:tcW w:w="1180" w:type="pct"/>
            <w:vAlign w:val="center"/>
          </w:tcPr>
          <w:p w14:paraId="788D6F81">
            <w:pPr>
              <w:widowControl w:val="0"/>
              <w:spacing w:line="240" w:lineRule="auto"/>
              <w:ind w:firstLine="0" w:firstLineChars="0"/>
              <w:jc w:val="center"/>
              <w:rPr>
                <w:rFonts w:ascii="Calibri" w:hAnsi="Calibri" w:cs="宋体"/>
                <w:sz w:val="21"/>
                <w:lang w:eastAsia="zh-CN"/>
              </w:rPr>
            </w:pPr>
            <w:r>
              <w:rPr>
                <w:rFonts w:hint="eastAsia" w:ascii="Calibri" w:hAnsi="Calibri" w:cs="宋体"/>
                <w:sz w:val="21"/>
                <w:lang w:eastAsia="zh-CN" w:bidi="ar"/>
              </w:rPr>
              <w:t>10045.42</w:t>
            </w:r>
          </w:p>
        </w:tc>
        <w:tc>
          <w:tcPr>
            <w:tcW w:w="1073" w:type="pct"/>
            <w:vAlign w:val="center"/>
          </w:tcPr>
          <w:p w14:paraId="64FB9149">
            <w:pPr>
              <w:widowControl w:val="0"/>
              <w:spacing w:line="240" w:lineRule="auto"/>
              <w:ind w:firstLine="0" w:firstLineChars="0"/>
              <w:jc w:val="center"/>
              <w:rPr>
                <w:rFonts w:hint="default" w:ascii="Calibri" w:hAnsi="Calibri" w:eastAsia="宋体" w:cs="宋体"/>
                <w:sz w:val="21"/>
                <w:lang w:val="en-US" w:eastAsia="zh-CN"/>
              </w:rPr>
            </w:pPr>
            <w:r>
              <w:rPr>
                <w:rFonts w:hint="eastAsia" w:ascii="Calibri" w:hAnsi="Calibri" w:cs="宋体"/>
                <w:sz w:val="21"/>
                <w:lang w:val="en-US" w:eastAsia="zh-CN"/>
              </w:rPr>
              <w:t>8230</w:t>
            </w:r>
          </w:p>
        </w:tc>
        <w:tc>
          <w:tcPr>
            <w:tcW w:w="1073" w:type="pct"/>
            <w:vAlign w:val="center"/>
          </w:tcPr>
          <w:p w14:paraId="22018D3D">
            <w:pPr>
              <w:widowControl w:val="0"/>
              <w:spacing w:line="240" w:lineRule="auto"/>
              <w:ind w:firstLine="0" w:firstLineChars="0"/>
              <w:jc w:val="center"/>
              <w:rPr>
                <w:rFonts w:hint="default" w:ascii="Calibri" w:hAnsi="Calibri" w:eastAsia="宋体" w:cs="宋体"/>
                <w:sz w:val="21"/>
                <w:lang w:val="en-US" w:eastAsia="zh-CN"/>
              </w:rPr>
            </w:pPr>
            <w:r>
              <w:rPr>
                <w:rFonts w:hint="eastAsia" w:ascii="Calibri" w:hAnsi="Calibri"/>
                <w:sz w:val="21"/>
                <w:lang w:val="en-US" w:eastAsia="zh-CN"/>
              </w:rPr>
              <w:t>1815.1</w:t>
            </w:r>
          </w:p>
        </w:tc>
      </w:tr>
      <w:tr w14:paraId="65699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74" w:type="pct"/>
            <w:vAlign w:val="center"/>
          </w:tcPr>
          <w:p w14:paraId="400EF82F">
            <w:pPr>
              <w:widowControl w:val="0"/>
              <w:spacing w:line="240" w:lineRule="auto"/>
              <w:ind w:firstLine="0" w:firstLineChars="0"/>
              <w:jc w:val="center"/>
              <w:rPr>
                <w:rFonts w:ascii="Calibri" w:hAnsi="Calibri" w:cs="宋体"/>
                <w:sz w:val="21"/>
              </w:rPr>
            </w:pPr>
            <w:r>
              <w:rPr>
                <w:rFonts w:hint="eastAsia" w:ascii="Calibri" w:hAnsi="Calibri" w:cs="宋体"/>
                <w:sz w:val="21"/>
              </w:rPr>
              <w:t>森林采伐</w:t>
            </w:r>
          </w:p>
        </w:tc>
        <w:tc>
          <w:tcPr>
            <w:tcW w:w="1180" w:type="pct"/>
            <w:vAlign w:val="center"/>
          </w:tcPr>
          <w:p w14:paraId="1953EB9C">
            <w:pPr>
              <w:widowControl w:val="0"/>
              <w:spacing w:line="240" w:lineRule="auto"/>
              <w:ind w:firstLine="0" w:firstLineChars="0"/>
              <w:jc w:val="center"/>
              <w:rPr>
                <w:rFonts w:hint="default" w:ascii="Calibri" w:hAnsi="Calibri" w:eastAsia="宋体" w:cs="宋体"/>
                <w:sz w:val="21"/>
                <w:lang w:val="en-US" w:eastAsia="zh-CN"/>
              </w:rPr>
            </w:pPr>
            <w:r>
              <w:rPr>
                <w:rFonts w:hint="eastAsia" w:ascii="Calibri" w:hAnsi="Calibri" w:cs="宋体"/>
                <w:sz w:val="21"/>
                <w:lang w:val="en-US" w:eastAsia="zh-CN" w:bidi="ar"/>
              </w:rPr>
              <w:t>1310</w:t>
            </w:r>
          </w:p>
        </w:tc>
        <w:tc>
          <w:tcPr>
            <w:tcW w:w="1073" w:type="pct"/>
            <w:vAlign w:val="center"/>
          </w:tcPr>
          <w:p w14:paraId="43826C8E">
            <w:pPr>
              <w:widowControl w:val="0"/>
              <w:spacing w:line="240" w:lineRule="auto"/>
              <w:ind w:firstLine="0" w:firstLineChars="0"/>
              <w:jc w:val="center"/>
              <w:rPr>
                <w:rFonts w:ascii="Calibri" w:hAnsi="Calibri" w:cs="宋体"/>
                <w:sz w:val="21"/>
              </w:rPr>
            </w:pPr>
            <w:r>
              <w:rPr>
                <w:rFonts w:hint="eastAsia" w:ascii="Calibri" w:hAnsi="Calibri" w:cs="宋体"/>
                <w:sz w:val="21"/>
              </w:rPr>
              <w:t>1000</w:t>
            </w:r>
          </w:p>
        </w:tc>
        <w:tc>
          <w:tcPr>
            <w:tcW w:w="1073" w:type="pct"/>
            <w:vAlign w:val="center"/>
          </w:tcPr>
          <w:p w14:paraId="7D8B55DB">
            <w:pPr>
              <w:widowControl w:val="0"/>
              <w:spacing w:line="240" w:lineRule="auto"/>
              <w:ind w:firstLine="0" w:firstLineChars="0"/>
              <w:jc w:val="center"/>
              <w:rPr>
                <w:rFonts w:hint="default" w:ascii="Calibri" w:hAnsi="Calibri" w:eastAsia="宋体" w:cs="宋体"/>
                <w:sz w:val="21"/>
                <w:lang w:val="en-US" w:eastAsia="zh-CN"/>
              </w:rPr>
            </w:pPr>
            <w:r>
              <w:rPr>
                <w:rFonts w:hint="eastAsia" w:ascii="Calibri" w:hAnsi="Calibri" w:cs="宋体"/>
                <w:sz w:val="21"/>
                <w:lang w:val="en-US" w:eastAsia="zh-CN"/>
              </w:rPr>
              <w:t>310</w:t>
            </w:r>
          </w:p>
        </w:tc>
      </w:tr>
      <w:tr w14:paraId="076C9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74" w:type="pct"/>
            <w:vAlign w:val="center"/>
          </w:tcPr>
          <w:p w14:paraId="1FC59993">
            <w:pPr>
              <w:widowControl w:val="0"/>
              <w:spacing w:line="240" w:lineRule="auto"/>
              <w:ind w:firstLine="0" w:firstLineChars="0"/>
              <w:jc w:val="center"/>
              <w:rPr>
                <w:rFonts w:ascii="Calibri" w:hAnsi="Calibri" w:cs="宋体"/>
                <w:sz w:val="21"/>
              </w:rPr>
            </w:pPr>
            <w:r>
              <w:rPr>
                <w:rFonts w:hint="eastAsia" w:ascii="Calibri" w:hAnsi="Calibri" w:cs="宋体"/>
                <w:sz w:val="21"/>
              </w:rPr>
              <w:t>森林培育</w:t>
            </w:r>
          </w:p>
        </w:tc>
        <w:tc>
          <w:tcPr>
            <w:tcW w:w="1180" w:type="pct"/>
            <w:vAlign w:val="center"/>
          </w:tcPr>
          <w:p w14:paraId="7AA1721E">
            <w:pPr>
              <w:widowControl w:val="0"/>
              <w:spacing w:line="240" w:lineRule="auto"/>
              <w:ind w:firstLine="0" w:firstLineChars="0"/>
              <w:jc w:val="center"/>
              <w:rPr>
                <w:rFonts w:hint="default" w:ascii="Calibri" w:hAnsi="Calibri" w:eastAsia="宋体" w:cs="宋体"/>
                <w:sz w:val="21"/>
                <w:lang w:val="en-US" w:eastAsia="zh-CN"/>
              </w:rPr>
            </w:pPr>
            <w:r>
              <w:rPr>
                <w:rFonts w:hint="eastAsia" w:ascii="Calibri" w:hAnsi="Calibri" w:cs="宋体"/>
                <w:sz w:val="21"/>
                <w:lang w:val="en-US" w:eastAsia="zh-CN" w:bidi="ar"/>
              </w:rPr>
              <w:t>2859.45</w:t>
            </w:r>
          </w:p>
        </w:tc>
        <w:tc>
          <w:tcPr>
            <w:tcW w:w="1073" w:type="pct"/>
            <w:vAlign w:val="center"/>
          </w:tcPr>
          <w:p w14:paraId="1EA3E150">
            <w:pPr>
              <w:widowControl w:val="0"/>
              <w:spacing w:line="240" w:lineRule="auto"/>
              <w:ind w:firstLine="0" w:firstLineChars="0"/>
              <w:jc w:val="center"/>
              <w:rPr>
                <w:rFonts w:hint="default" w:ascii="Calibri" w:hAnsi="Calibri" w:eastAsia="宋体" w:cs="宋体"/>
                <w:sz w:val="21"/>
                <w:lang w:val="en-US" w:eastAsia="zh-CN"/>
              </w:rPr>
            </w:pPr>
            <w:r>
              <w:rPr>
                <w:rFonts w:hint="eastAsia" w:ascii="Calibri" w:hAnsi="Calibri" w:cs="宋体"/>
                <w:sz w:val="21"/>
                <w:lang w:val="en-US" w:eastAsia="zh-CN"/>
              </w:rPr>
              <w:t>2600</w:t>
            </w:r>
          </w:p>
        </w:tc>
        <w:tc>
          <w:tcPr>
            <w:tcW w:w="1073" w:type="pct"/>
            <w:vAlign w:val="center"/>
          </w:tcPr>
          <w:p w14:paraId="100769A5">
            <w:pPr>
              <w:widowControl w:val="0"/>
              <w:spacing w:line="240" w:lineRule="auto"/>
              <w:ind w:firstLine="0" w:firstLineChars="0"/>
              <w:jc w:val="center"/>
              <w:rPr>
                <w:rFonts w:hint="default" w:ascii="Calibri" w:hAnsi="Calibri" w:eastAsia="宋体" w:cs="宋体"/>
                <w:sz w:val="21"/>
                <w:lang w:val="en-US" w:eastAsia="zh-CN"/>
              </w:rPr>
            </w:pPr>
            <w:r>
              <w:rPr>
                <w:rFonts w:hint="eastAsia" w:ascii="Calibri" w:hAnsi="Calibri" w:cs="宋体"/>
                <w:sz w:val="21"/>
                <w:lang w:val="en-US" w:eastAsia="zh-CN"/>
              </w:rPr>
              <w:t>259.45</w:t>
            </w:r>
          </w:p>
        </w:tc>
      </w:tr>
      <w:tr w14:paraId="2607D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74" w:type="pct"/>
            <w:vAlign w:val="center"/>
          </w:tcPr>
          <w:p w14:paraId="6D30EDE9">
            <w:pPr>
              <w:widowControl w:val="0"/>
              <w:spacing w:line="240" w:lineRule="auto"/>
              <w:ind w:firstLine="0" w:firstLineChars="0"/>
              <w:jc w:val="center"/>
              <w:rPr>
                <w:rFonts w:ascii="Calibri" w:hAnsi="Calibri" w:cs="宋体"/>
                <w:sz w:val="21"/>
              </w:rPr>
            </w:pPr>
            <w:r>
              <w:rPr>
                <w:rFonts w:hint="eastAsia" w:ascii="Calibri" w:hAnsi="Calibri" w:cs="宋体"/>
                <w:sz w:val="21"/>
              </w:rPr>
              <w:t>森林健康与保护</w:t>
            </w:r>
          </w:p>
        </w:tc>
        <w:tc>
          <w:tcPr>
            <w:tcW w:w="1180" w:type="pct"/>
            <w:vAlign w:val="center"/>
          </w:tcPr>
          <w:p w14:paraId="0923E4C1">
            <w:pPr>
              <w:widowControl w:val="0"/>
              <w:spacing w:line="240" w:lineRule="auto"/>
              <w:ind w:firstLine="0" w:firstLineChars="0"/>
              <w:jc w:val="center"/>
              <w:rPr>
                <w:rFonts w:hint="default" w:ascii="Calibri" w:hAnsi="Calibri" w:eastAsia="宋体" w:cs="宋体"/>
                <w:sz w:val="21"/>
                <w:lang w:val="en-US" w:eastAsia="zh-CN"/>
              </w:rPr>
            </w:pPr>
            <w:r>
              <w:rPr>
                <w:rFonts w:hint="eastAsia" w:ascii="Calibri" w:hAnsi="Calibri" w:cs="宋体"/>
                <w:sz w:val="21"/>
                <w:lang w:val="en-US" w:eastAsia="zh-CN" w:bidi="ar"/>
              </w:rPr>
              <w:t>709.65</w:t>
            </w:r>
          </w:p>
        </w:tc>
        <w:tc>
          <w:tcPr>
            <w:tcW w:w="1073" w:type="pct"/>
            <w:vAlign w:val="center"/>
          </w:tcPr>
          <w:p w14:paraId="410B832D">
            <w:pPr>
              <w:widowControl w:val="0"/>
              <w:spacing w:line="240" w:lineRule="auto"/>
              <w:ind w:firstLine="0" w:firstLineChars="0"/>
              <w:jc w:val="center"/>
              <w:rPr>
                <w:rFonts w:ascii="Calibri" w:hAnsi="Calibri" w:cs="宋体"/>
                <w:sz w:val="21"/>
              </w:rPr>
            </w:pPr>
            <w:r>
              <w:rPr>
                <w:rFonts w:hint="eastAsia" w:ascii="Calibri" w:hAnsi="Calibri" w:cs="宋体"/>
                <w:sz w:val="21"/>
              </w:rPr>
              <w:t>500</w:t>
            </w:r>
          </w:p>
        </w:tc>
        <w:tc>
          <w:tcPr>
            <w:tcW w:w="1073" w:type="pct"/>
            <w:vAlign w:val="center"/>
          </w:tcPr>
          <w:p w14:paraId="71B41EA0">
            <w:pPr>
              <w:widowControl w:val="0"/>
              <w:spacing w:line="240" w:lineRule="auto"/>
              <w:ind w:firstLine="0" w:firstLineChars="0"/>
              <w:jc w:val="center"/>
              <w:rPr>
                <w:rFonts w:hint="default" w:ascii="Calibri" w:hAnsi="Calibri" w:eastAsia="宋体" w:cs="宋体"/>
                <w:sz w:val="21"/>
                <w:lang w:val="en-US" w:eastAsia="zh-CN"/>
              </w:rPr>
            </w:pPr>
            <w:r>
              <w:rPr>
                <w:rFonts w:hint="eastAsia" w:ascii="Calibri" w:hAnsi="Calibri" w:cs="宋体"/>
                <w:sz w:val="21"/>
                <w:lang w:val="en-US" w:eastAsia="zh-CN"/>
              </w:rPr>
              <w:t>209.65</w:t>
            </w:r>
          </w:p>
        </w:tc>
      </w:tr>
      <w:tr w14:paraId="36699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74" w:type="pct"/>
            <w:vAlign w:val="center"/>
          </w:tcPr>
          <w:p w14:paraId="152A9FCD">
            <w:pPr>
              <w:widowControl w:val="0"/>
              <w:spacing w:line="240" w:lineRule="auto"/>
              <w:ind w:firstLine="0" w:firstLineChars="0"/>
              <w:jc w:val="center"/>
              <w:rPr>
                <w:rFonts w:ascii="Calibri" w:hAnsi="Calibri" w:cs="宋体"/>
                <w:sz w:val="21"/>
              </w:rPr>
            </w:pPr>
            <w:r>
              <w:rPr>
                <w:rFonts w:hint="eastAsia" w:ascii="Calibri" w:hAnsi="Calibri" w:cs="宋体"/>
                <w:sz w:val="21"/>
              </w:rPr>
              <w:t>营林设施和经营能力</w:t>
            </w:r>
          </w:p>
        </w:tc>
        <w:tc>
          <w:tcPr>
            <w:tcW w:w="1180" w:type="pct"/>
            <w:vAlign w:val="center"/>
          </w:tcPr>
          <w:p w14:paraId="1F414A99">
            <w:pPr>
              <w:widowControl w:val="0"/>
              <w:spacing w:line="240" w:lineRule="auto"/>
              <w:ind w:firstLine="0" w:firstLineChars="0"/>
              <w:jc w:val="center"/>
              <w:rPr>
                <w:rFonts w:hint="default" w:ascii="Calibri" w:hAnsi="Calibri" w:eastAsia="宋体" w:cs="宋体"/>
                <w:sz w:val="21"/>
                <w:lang w:val="en-US" w:eastAsia="zh-CN"/>
              </w:rPr>
            </w:pPr>
            <w:r>
              <w:rPr>
                <w:rFonts w:hint="eastAsia" w:ascii="Calibri" w:hAnsi="Calibri"/>
                <w:sz w:val="21"/>
                <w:lang w:val="en-US" w:eastAsia="zh-CN"/>
              </w:rPr>
              <w:t>1330</w:t>
            </w:r>
          </w:p>
        </w:tc>
        <w:tc>
          <w:tcPr>
            <w:tcW w:w="1073" w:type="pct"/>
            <w:vAlign w:val="center"/>
          </w:tcPr>
          <w:p w14:paraId="26D7A23B">
            <w:pPr>
              <w:widowControl w:val="0"/>
              <w:spacing w:line="240" w:lineRule="auto"/>
              <w:ind w:firstLine="0" w:firstLineChars="0"/>
              <w:jc w:val="center"/>
              <w:rPr>
                <w:rFonts w:hint="default" w:ascii="Calibri" w:hAnsi="Calibri" w:eastAsia="宋体" w:cs="宋体"/>
                <w:sz w:val="21"/>
                <w:lang w:val="en-US" w:eastAsia="zh-CN"/>
              </w:rPr>
            </w:pPr>
            <w:r>
              <w:rPr>
                <w:rFonts w:hint="eastAsia" w:ascii="Calibri" w:hAnsi="Calibri" w:cs="宋体"/>
                <w:sz w:val="21"/>
                <w:lang w:val="en-US" w:eastAsia="zh-CN"/>
              </w:rPr>
              <w:t>1330</w:t>
            </w:r>
          </w:p>
        </w:tc>
        <w:tc>
          <w:tcPr>
            <w:tcW w:w="1073" w:type="pct"/>
            <w:vAlign w:val="center"/>
          </w:tcPr>
          <w:p w14:paraId="39777252">
            <w:pPr>
              <w:widowControl w:val="0"/>
              <w:spacing w:line="240" w:lineRule="auto"/>
              <w:ind w:firstLine="0" w:firstLineChars="0"/>
              <w:jc w:val="center"/>
              <w:rPr>
                <w:rFonts w:ascii="Calibri" w:hAnsi="Calibri" w:cs="宋体"/>
                <w:sz w:val="21"/>
              </w:rPr>
            </w:pPr>
          </w:p>
        </w:tc>
      </w:tr>
      <w:tr w14:paraId="73088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74" w:type="pct"/>
            <w:vAlign w:val="center"/>
          </w:tcPr>
          <w:p w14:paraId="0C25D73F">
            <w:pPr>
              <w:widowControl w:val="0"/>
              <w:spacing w:line="240" w:lineRule="auto"/>
              <w:ind w:firstLine="0" w:firstLineChars="0"/>
              <w:jc w:val="center"/>
              <w:rPr>
                <w:rFonts w:ascii="Calibri" w:hAnsi="Calibri" w:cs="宋体"/>
                <w:sz w:val="21"/>
              </w:rPr>
            </w:pPr>
            <w:r>
              <w:rPr>
                <w:rFonts w:hint="eastAsia" w:ascii="Calibri" w:hAnsi="Calibri" w:cs="宋体"/>
                <w:sz w:val="21"/>
              </w:rPr>
              <w:t>森林多资源利用</w:t>
            </w:r>
          </w:p>
        </w:tc>
        <w:tc>
          <w:tcPr>
            <w:tcW w:w="1180" w:type="pct"/>
            <w:vAlign w:val="center"/>
          </w:tcPr>
          <w:p w14:paraId="22BF5073">
            <w:pPr>
              <w:widowControl w:val="0"/>
              <w:spacing w:line="240" w:lineRule="auto"/>
              <w:ind w:firstLine="0" w:firstLineChars="0"/>
              <w:jc w:val="center"/>
              <w:rPr>
                <w:rFonts w:hint="default" w:ascii="Calibri" w:hAnsi="Calibri" w:eastAsia="宋体" w:cs="宋体"/>
                <w:sz w:val="21"/>
                <w:lang w:val="en-US" w:eastAsia="zh-CN"/>
              </w:rPr>
            </w:pPr>
            <w:r>
              <w:rPr>
                <w:rFonts w:hint="eastAsia" w:ascii="Calibri" w:hAnsi="Calibri" w:cs="宋体"/>
                <w:sz w:val="21"/>
                <w:lang w:val="en-US" w:eastAsia="zh-CN"/>
              </w:rPr>
              <w:t>2870</w:t>
            </w:r>
          </w:p>
        </w:tc>
        <w:tc>
          <w:tcPr>
            <w:tcW w:w="1073" w:type="pct"/>
            <w:vAlign w:val="center"/>
          </w:tcPr>
          <w:p w14:paraId="207E06F9">
            <w:pPr>
              <w:widowControl w:val="0"/>
              <w:spacing w:line="240" w:lineRule="auto"/>
              <w:ind w:firstLine="0" w:firstLineChars="0"/>
              <w:jc w:val="center"/>
              <w:rPr>
                <w:rFonts w:ascii="Calibri" w:hAnsi="Calibri" w:cs="宋体"/>
                <w:sz w:val="21"/>
              </w:rPr>
            </w:pPr>
            <w:r>
              <w:rPr>
                <w:rFonts w:hint="eastAsia" w:ascii="Calibri" w:hAnsi="Calibri" w:cs="宋体"/>
                <w:sz w:val="21"/>
              </w:rPr>
              <w:t>2000</w:t>
            </w:r>
          </w:p>
        </w:tc>
        <w:tc>
          <w:tcPr>
            <w:tcW w:w="1073" w:type="pct"/>
            <w:vAlign w:val="center"/>
          </w:tcPr>
          <w:p w14:paraId="1DDE44F8">
            <w:pPr>
              <w:widowControl w:val="0"/>
              <w:spacing w:line="240" w:lineRule="auto"/>
              <w:ind w:firstLine="0" w:firstLineChars="0"/>
              <w:jc w:val="center"/>
              <w:rPr>
                <w:rFonts w:hint="default" w:ascii="Calibri" w:hAnsi="Calibri" w:eastAsia="宋体" w:cs="宋体"/>
                <w:sz w:val="21"/>
                <w:lang w:val="en-US" w:eastAsia="zh-CN"/>
              </w:rPr>
            </w:pPr>
            <w:r>
              <w:rPr>
                <w:rFonts w:hint="eastAsia" w:ascii="Calibri" w:hAnsi="Calibri" w:cs="宋体"/>
                <w:sz w:val="21"/>
                <w:lang w:val="en-US" w:eastAsia="zh-CN"/>
              </w:rPr>
              <w:t>870</w:t>
            </w:r>
          </w:p>
        </w:tc>
      </w:tr>
      <w:tr w14:paraId="26261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74" w:type="pct"/>
            <w:vAlign w:val="center"/>
          </w:tcPr>
          <w:p w14:paraId="2A5544C2">
            <w:pPr>
              <w:widowControl w:val="0"/>
              <w:spacing w:line="240" w:lineRule="auto"/>
              <w:ind w:firstLine="0" w:firstLineChars="0"/>
              <w:jc w:val="center"/>
              <w:rPr>
                <w:rFonts w:ascii="Calibri" w:hAnsi="Calibri" w:cs="宋体"/>
                <w:sz w:val="21"/>
              </w:rPr>
            </w:pPr>
            <w:r>
              <w:rPr>
                <w:rFonts w:hint="eastAsia" w:ascii="Calibri" w:hAnsi="Calibri" w:cs="宋体"/>
                <w:sz w:val="21"/>
              </w:rPr>
              <w:t>森林游憩</w:t>
            </w:r>
          </w:p>
        </w:tc>
        <w:tc>
          <w:tcPr>
            <w:tcW w:w="1180" w:type="pct"/>
            <w:vAlign w:val="center"/>
          </w:tcPr>
          <w:p w14:paraId="243B80D9">
            <w:pPr>
              <w:widowControl w:val="0"/>
              <w:spacing w:line="240" w:lineRule="auto"/>
              <w:ind w:firstLine="0" w:firstLineChars="0"/>
              <w:jc w:val="center"/>
              <w:rPr>
                <w:rFonts w:hint="default" w:ascii="Calibri" w:hAnsi="Calibri" w:eastAsia="宋体" w:cs="宋体"/>
                <w:sz w:val="21"/>
                <w:lang w:val="en-US" w:eastAsia="zh-CN"/>
              </w:rPr>
            </w:pPr>
            <w:r>
              <w:rPr>
                <w:rFonts w:hint="eastAsia" w:ascii="Calibri" w:hAnsi="Calibri" w:cs="宋体"/>
                <w:sz w:val="21"/>
                <w:lang w:val="en-US" w:eastAsia="zh-CN"/>
              </w:rPr>
              <w:t>966</w:t>
            </w:r>
          </w:p>
        </w:tc>
        <w:tc>
          <w:tcPr>
            <w:tcW w:w="1073" w:type="pct"/>
            <w:vAlign w:val="center"/>
          </w:tcPr>
          <w:p w14:paraId="19CACB6B">
            <w:pPr>
              <w:widowControl w:val="0"/>
              <w:spacing w:line="240" w:lineRule="auto"/>
              <w:ind w:firstLine="0" w:firstLineChars="0"/>
              <w:jc w:val="center"/>
              <w:rPr>
                <w:rFonts w:ascii="Calibri" w:hAnsi="Calibri" w:cs="宋体"/>
                <w:sz w:val="21"/>
              </w:rPr>
            </w:pPr>
            <w:r>
              <w:rPr>
                <w:rFonts w:hint="eastAsia" w:ascii="Calibri" w:hAnsi="Calibri" w:cs="宋体"/>
                <w:sz w:val="21"/>
              </w:rPr>
              <w:t>800</w:t>
            </w:r>
          </w:p>
        </w:tc>
        <w:tc>
          <w:tcPr>
            <w:tcW w:w="1073" w:type="pct"/>
            <w:vAlign w:val="center"/>
          </w:tcPr>
          <w:p w14:paraId="13EA7F65">
            <w:pPr>
              <w:widowControl w:val="0"/>
              <w:spacing w:line="240" w:lineRule="auto"/>
              <w:ind w:firstLine="0" w:firstLineChars="0"/>
              <w:jc w:val="center"/>
              <w:rPr>
                <w:rFonts w:hint="default" w:ascii="Calibri" w:hAnsi="Calibri" w:eastAsia="宋体" w:cs="宋体"/>
                <w:sz w:val="21"/>
                <w:lang w:val="en-US" w:eastAsia="zh-CN"/>
              </w:rPr>
            </w:pPr>
            <w:r>
              <w:rPr>
                <w:rFonts w:hint="eastAsia" w:ascii="Calibri" w:hAnsi="Calibri" w:cs="宋体"/>
                <w:sz w:val="21"/>
                <w:lang w:val="en-US" w:eastAsia="zh-CN"/>
              </w:rPr>
              <w:t>166</w:t>
            </w:r>
          </w:p>
        </w:tc>
      </w:tr>
    </w:tbl>
    <w:p w14:paraId="1D4170DA">
      <w:pPr>
        <w:pStyle w:val="3"/>
        <w:rPr>
          <w:lang w:eastAsia="zh-CN"/>
        </w:rPr>
      </w:pPr>
      <w:bookmarkStart w:id="142" w:name="_Toc31096"/>
      <w:r>
        <w:rPr>
          <w:lang w:eastAsia="zh-CN"/>
        </w:rPr>
        <w:t>10.2资金来源</w:t>
      </w:r>
      <w:bookmarkEnd w:id="142"/>
    </w:p>
    <w:p w14:paraId="72931749">
      <w:pPr>
        <w:ind w:firstLine="480"/>
        <w:rPr>
          <w:lang w:eastAsia="zh-CN"/>
        </w:rPr>
      </w:pPr>
      <w:r>
        <w:rPr>
          <w:lang w:eastAsia="zh-CN"/>
        </w:rPr>
        <w:t>双牌县阳明山国有林场是公益性的国有林场，林场为事业单位，森林经营资金主要来源于林场经营活动的经营收益，此外，按国家现有惠林政策，还有一些明确的国家、地方对林业建设项目的投资或补贴，对国家级公益林生态效益的补偿资金，以及</w:t>
      </w:r>
      <w:r>
        <w:rPr>
          <w:rFonts w:hint="eastAsia"/>
          <w:lang w:eastAsia="zh-CN"/>
        </w:rPr>
        <w:t>其他</w:t>
      </w:r>
      <w:r>
        <w:rPr>
          <w:lang w:eastAsia="zh-CN"/>
        </w:rPr>
        <w:t>的自筹资金。</w:t>
      </w:r>
    </w:p>
    <w:p w14:paraId="2DAB0659">
      <w:pPr>
        <w:spacing w:before="51"/>
        <w:ind w:firstLine="480"/>
        <w:rPr>
          <w:rFonts w:cs="Times New Roman"/>
          <w:szCs w:val="24"/>
          <w:lang w:eastAsia="zh-CN"/>
        </w:rPr>
        <w:sectPr>
          <w:footerReference r:id="rId42" w:type="default"/>
          <w:pgSz w:w="11905" w:h="16843"/>
          <w:pgMar w:top="1440" w:right="1406" w:bottom="1440" w:left="1803" w:header="873" w:footer="1276" w:gutter="0"/>
          <w:cols w:space="0" w:num="1"/>
          <w:rtlGutter w:val="0"/>
          <w:docGrid w:linePitch="326" w:charSpace="0"/>
        </w:sectPr>
      </w:pPr>
    </w:p>
    <w:p w14:paraId="35159F6C">
      <w:pPr>
        <w:pStyle w:val="2"/>
        <w:spacing w:before="120" w:after="120"/>
      </w:pPr>
      <w:bookmarkStart w:id="143" w:name="bookmark108"/>
      <w:bookmarkEnd w:id="143"/>
      <w:bookmarkStart w:id="144" w:name="bookmark106"/>
      <w:bookmarkEnd w:id="144"/>
      <w:bookmarkStart w:id="145" w:name="_Toc24293"/>
      <w:r>
        <w:t>第十一章</w:t>
      </w:r>
      <w:r>
        <w:rPr>
          <w:rFonts w:hint="eastAsia"/>
          <w:lang w:eastAsia="zh-CN"/>
        </w:rPr>
        <w:t xml:space="preserve"> </w:t>
      </w:r>
      <w:r>
        <w:t>效益分析及展望</w:t>
      </w:r>
      <w:bookmarkEnd w:id="145"/>
    </w:p>
    <w:p w14:paraId="1C6B38AF">
      <w:pPr>
        <w:pStyle w:val="3"/>
        <w:rPr>
          <w:lang w:eastAsia="zh-CN"/>
        </w:rPr>
      </w:pPr>
      <w:bookmarkStart w:id="146" w:name="bookmark110"/>
      <w:bookmarkEnd w:id="146"/>
      <w:bookmarkStart w:id="147" w:name="_Toc144"/>
      <w:r>
        <w:rPr>
          <w:lang w:eastAsia="zh-CN"/>
        </w:rPr>
        <w:t>11.</w:t>
      </w:r>
      <w:r>
        <w:rPr>
          <w:rFonts w:hint="eastAsia"/>
          <w:lang w:val="en-US" w:eastAsia="zh-CN"/>
        </w:rPr>
        <w:t>1</w:t>
      </w:r>
      <w:r>
        <w:rPr>
          <w:lang w:eastAsia="zh-CN"/>
        </w:rPr>
        <w:t>生态效益分析</w:t>
      </w:r>
      <w:bookmarkEnd w:id="147"/>
    </w:p>
    <w:p w14:paraId="586A602C">
      <w:pPr>
        <w:pStyle w:val="4"/>
      </w:pPr>
      <w:r>
        <w:t>11.</w:t>
      </w:r>
      <w:r>
        <w:rPr>
          <w:rFonts w:hint="eastAsia"/>
          <w:lang w:val="en-US" w:eastAsia="zh-CN"/>
        </w:rPr>
        <w:t>1</w:t>
      </w:r>
      <w:r>
        <w:t>.1涵养水源</w:t>
      </w:r>
    </w:p>
    <w:p w14:paraId="03F86695">
      <w:pPr>
        <w:ind w:firstLine="480"/>
        <w:rPr>
          <w:lang w:eastAsia="zh-CN"/>
        </w:rPr>
      </w:pPr>
      <w:r>
        <w:rPr>
          <w:lang w:eastAsia="zh-CN"/>
        </w:rPr>
        <w:t>通过《方案》实施，全场有林地面积达</w:t>
      </w:r>
      <w:r>
        <w:rPr>
          <w:rFonts w:hint="eastAsia"/>
          <w:lang w:eastAsia="zh-CN"/>
        </w:rPr>
        <w:t>11037.01</w:t>
      </w:r>
      <w:r>
        <w:rPr>
          <w:lang w:eastAsia="zh-CN"/>
        </w:rPr>
        <w:t>hm</w:t>
      </w:r>
      <w:r>
        <w:rPr>
          <w:vertAlign w:val="superscript"/>
          <w:lang w:eastAsia="zh-CN"/>
        </w:rPr>
        <w:t>2</w:t>
      </w:r>
      <w:r>
        <w:rPr>
          <w:lang w:eastAsia="zh-CN"/>
        </w:rPr>
        <w:t>，森林乔、灌、草复层林冠基本形成，郁闭度可达0.6以上，在此条件下，森林对降水涵养作用发挥较为显著，含水系数可达0.5－0.7以上。由此计算，全场森林可涵养水源14.5万m</w:t>
      </w:r>
      <w:r>
        <w:rPr>
          <w:vertAlign w:val="superscript"/>
          <w:lang w:eastAsia="zh-CN"/>
        </w:rPr>
        <w:t>3</w:t>
      </w:r>
      <w:r>
        <w:rPr>
          <w:lang w:eastAsia="zh-CN"/>
        </w:rPr>
        <w:t>。</w:t>
      </w:r>
    </w:p>
    <w:p w14:paraId="6B841980">
      <w:pPr>
        <w:pStyle w:val="4"/>
      </w:pPr>
      <w:r>
        <w:t>11.</w:t>
      </w:r>
      <w:r>
        <w:rPr>
          <w:rFonts w:hint="eastAsia"/>
          <w:lang w:val="en-US" w:eastAsia="zh-CN"/>
        </w:rPr>
        <w:t>1</w:t>
      </w:r>
      <w:r>
        <w:t>.2保持水土</w:t>
      </w:r>
    </w:p>
    <w:p w14:paraId="45D32641">
      <w:pPr>
        <w:ind w:firstLine="480"/>
        <w:rPr>
          <w:lang w:eastAsia="zh-CN"/>
        </w:rPr>
      </w:pPr>
      <w:r>
        <w:rPr>
          <w:lang w:eastAsia="zh-CN"/>
        </w:rPr>
        <w:t>森林通过对降水截持、削弱雨点动能、增加地表粗糙率、调节径流、控制土壤侵蚀和改善水质等方面发挥着积极的生态作用，是维持国家生态环境的重要生态屏障。森林土壤是森林水文效应的最后一个层次，也是水分转化和转移的重要介质。森林土壤的储水能力很强，研究表明乔木土壤蓄水量大于灌木和草地，阔叶林土壤蓄水量大于针叶林。</w:t>
      </w:r>
    </w:p>
    <w:p w14:paraId="506F7509">
      <w:pPr>
        <w:ind w:firstLine="480"/>
        <w:rPr>
          <w:lang w:eastAsia="zh-CN"/>
        </w:rPr>
      </w:pPr>
      <w:r>
        <w:rPr>
          <w:lang w:eastAsia="zh-CN"/>
        </w:rPr>
        <w:t>林场林分郁闭度大多数保持在0.60以上，枯枝落叶层基本在3cm以上，通过科学造林，保持高森林覆盖率，促进中幼龄林向近成熟林自然生长，对林分较差的小班进行低效林改造，提高森林质量，林场森林可以发挥出较强的水土保持功能。</w:t>
      </w:r>
    </w:p>
    <w:p w14:paraId="5EE9C9E9">
      <w:pPr>
        <w:pStyle w:val="4"/>
      </w:pPr>
      <w:r>
        <w:t>11.</w:t>
      </w:r>
      <w:r>
        <w:rPr>
          <w:rFonts w:hint="eastAsia"/>
          <w:lang w:val="en-US" w:eastAsia="zh-CN"/>
        </w:rPr>
        <w:t>1</w:t>
      </w:r>
      <w:r>
        <w:t>.3保障农田灌溉用水和水能资源的正常运转</w:t>
      </w:r>
    </w:p>
    <w:p w14:paraId="49F3E236">
      <w:pPr>
        <w:ind w:firstLine="480"/>
        <w:rPr>
          <w:lang w:eastAsia="zh-CN"/>
        </w:rPr>
      </w:pPr>
      <w:r>
        <w:rPr>
          <w:lang w:eastAsia="zh-CN"/>
        </w:rPr>
        <w:t>森林有效地涵养了水源，可调节水的小循环，从而增加了溪河水常处流量，保持了溪河水流量的稳定性，有效地保证了农业生产灌溉用水水源和</w:t>
      </w:r>
      <w:r>
        <w:rPr>
          <w:rFonts w:hint="eastAsia"/>
          <w:lang w:eastAsia="zh-CN"/>
        </w:rPr>
        <w:t>水力发电</w:t>
      </w:r>
      <w:r>
        <w:rPr>
          <w:lang w:eastAsia="zh-CN"/>
        </w:rPr>
        <w:t>水源流量。</w:t>
      </w:r>
    </w:p>
    <w:p w14:paraId="4846CB27">
      <w:pPr>
        <w:pStyle w:val="4"/>
      </w:pPr>
      <w:r>
        <w:t>11.</w:t>
      </w:r>
      <w:r>
        <w:rPr>
          <w:rFonts w:hint="eastAsia"/>
          <w:lang w:val="en-US" w:eastAsia="zh-CN"/>
        </w:rPr>
        <w:t>1</w:t>
      </w:r>
      <w:r>
        <w:t>.4净化空气，美化环境</w:t>
      </w:r>
    </w:p>
    <w:p w14:paraId="5EEC6DEF">
      <w:pPr>
        <w:ind w:firstLine="480"/>
        <w:rPr>
          <w:lang w:eastAsia="zh-CN"/>
        </w:rPr>
      </w:pPr>
      <w:r>
        <w:rPr>
          <w:lang w:eastAsia="zh-CN"/>
        </w:rPr>
        <w:t>据测算，一亩森林每天能吸收67kg二氧化碳，呼出49kg氧气，足够65人呼吸。一亩森林一年可吸附各种灰尘22－60t，一亩树木一个月可吸收毒气二氧化硫4kg，葱绿的森林给人以美的享受，成为优美环境缺一不可的组成部分。</w:t>
      </w:r>
    </w:p>
    <w:p w14:paraId="2F4250B4">
      <w:pPr>
        <w:ind w:firstLine="480"/>
        <w:rPr>
          <w:lang w:eastAsia="zh-CN"/>
        </w:rPr>
      </w:pPr>
      <w:r>
        <w:rPr>
          <w:lang w:eastAsia="zh-CN"/>
        </w:rPr>
        <w:t>综上所述，森林的生态经济效益是森林本身价值的5－20倍，因此，兴林一方，确保多方平安。</w:t>
      </w:r>
    </w:p>
    <w:p w14:paraId="1E1ECBEE">
      <w:pPr>
        <w:pStyle w:val="3"/>
        <w:rPr>
          <w:lang w:eastAsia="zh-CN"/>
        </w:rPr>
      </w:pPr>
      <w:bookmarkStart w:id="148" w:name="bookmark112"/>
      <w:bookmarkEnd w:id="148"/>
      <w:bookmarkStart w:id="149" w:name="_Toc25413"/>
      <w:r>
        <w:rPr>
          <w:lang w:eastAsia="zh-CN"/>
        </w:rPr>
        <w:t>11.</w:t>
      </w:r>
      <w:r>
        <w:rPr>
          <w:rFonts w:hint="eastAsia"/>
          <w:lang w:val="en-US" w:eastAsia="zh-CN"/>
        </w:rPr>
        <w:t>2</w:t>
      </w:r>
      <w:r>
        <w:rPr>
          <w:lang w:eastAsia="zh-CN"/>
        </w:rPr>
        <w:t>社会效益分析</w:t>
      </w:r>
      <w:bookmarkEnd w:id="149"/>
    </w:p>
    <w:p w14:paraId="1E822854">
      <w:pPr>
        <w:ind w:firstLine="480"/>
        <w:rPr>
          <w:lang w:eastAsia="zh-CN"/>
        </w:rPr>
      </w:pPr>
      <w:r>
        <w:rPr>
          <w:lang w:eastAsia="zh-CN"/>
        </w:rPr>
        <w:t>森林经营方案实施周期的十年是一段相当长的时间，期间造林、抚育等森林经营活动以及林场基础设施建设等都需要大量的劳动力，林场职工岗位增加。随着作业量增大和兼职护林人员的短缺，林场还可以吸纳周边地区富余劳动力，促进富余劳动力再就业，适当缓解林场和周边镇区农村劳动力过剩的问题，并通过林场技术革新提高劳动生产率。</w:t>
      </w:r>
    </w:p>
    <w:p w14:paraId="0251E135">
      <w:pPr>
        <w:ind w:firstLine="480"/>
        <w:rPr>
          <w:lang w:eastAsia="zh-CN"/>
        </w:rPr>
      </w:pPr>
      <w:r>
        <w:rPr>
          <w:lang w:eastAsia="zh-CN"/>
        </w:rPr>
        <w:t>双牌县阳明山国有林场在本森林经营周期采取多种方式的造林和抚育措施，营造出阔叶</w:t>
      </w:r>
      <w:r>
        <w:rPr>
          <w:rFonts w:hint="eastAsia"/>
          <w:lang w:eastAsia="zh-CN"/>
        </w:rPr>
        <w:t>混交林</w:t>
      </w:r>
      <w:r>
        <w:rPr>
          <w:lang w:eastAsia="zh-CN"/>
        </w:rPr>
        <w:t>、针阔混交林等高质量林分，在大径级阔叶树种保护抚育、种苗选育技术和林木管护方式等方面获取了经验，对于现代造林技术的应用起到了实践和推广作用。在珍贵树种培育和林业特色经济发展上，对国有林场探索自身特色林业发展道路具有先导意义和示范作用。</w:t>
      </w:r>
    </w:p>
    <w:p w14:paraId="1A3954B2">
      <w:pPr>
        <w:pStyle w:val="3"/>
        <w:rPr>
          <w:lang w:eastAsia="zh-CN"/>
        </w:rPr>
      </w:pPr>
      <w:bookmarkStart w:id="150" w:name="bookmark114"/>
      <w:bookmarkEnd w:id="150"/>
      <w:bookmarkStart w:id="151" w:name="_Toc7642"/>
      <w:r>
        <w:rPr>
          <w:lang w:eastAsia="zh-CN"/>
        </w:rPr>
        <w:t>11.</w:t>
      </w:r>
      <w:r>
        <w:rPr>
          <w:rFonts w:hint="eastAsia"/>
          <w:lang w:val="en-US" w:eastAsia="zh-CN"/>
        </w:rPr>
        <w:t>3</w:t>
      </w:r>
      <w:r>
        <w:rPr>
          <w:lang w:eastAsia="zh-CN"/>
        </w:rPr>
        <w:t>森林资源展望分析</w:t>
      </w:r>
      <w:bookmarkEnd w:id="151"/>
    </w:p>
    <w:p w14:paraId="2472EB1D">
      <w:pPr>
        <w:ind w:firstLine="480"/>
        <w:rPr>
          <w:lang w:eastAsia="zh-CN"/>
        </w:rPr>
      </w:pPr>
      <w:r>
        <w:rPr>
          <w:lang w:eastAsia="zh-CN"/>
        </w:rPr>
        <w:t>通过将2065.16hm</w:t>
      </w:r>
      <w:r>
        <w:rPr>
          <w:vertAlign w:val="superscript"/>
          <w:lang w:eastAsia="zh-CN"/>
        </w:rPr>
        <w:t>2</w:t>
      </w:r>
      <w:r>
        <w:rPr>
          <w:lang w:eastAsia="zh-CN"/>
        </w:rPr>
        <w:t>的杉木人工林改造为复层异龄混交林，林场的林种、树种结构将更加理想、森林质量和森林旅游产品质量将显著提高。预计到经营期末，林场林地面积保持在14970hm</w:t>
      </w:r>
      <w:r>
        <w:rPr>
          <w:vertAlign w:val="superscript"/>
          <w:lang w:eastAsia="zh-CN"/>
        </w:rPr>
        <w:t>2</w:t>
      </w:r>
      <w:r>
        <w:rPr>
          <w:lang w:eastAsia="zh-CN"/>
        </w:rPr>
        <w:t>以上，蓄积总量保持在</w:t>
      </w:r>
      <w:r>
        <w:rPr>
          <w:rFonts w:hint="eastAsia"/>
          <w:lang w:eastAsia="zh-CN"/>
        </w:rPr>
        <w:t>781642</w:t>
      </w:r>
      <w:r>
        <w:rPr>
          <w:lang w:eastAsia="zh-CN"/>
        </w:rPr>
        <w:t>.0m3以上，森林覆盖率与林木绿化率提升至97.53%、97.56以上。</w:t>
      </w:r>
    </w:p>
    <w:p w14:paraId="19229E43">
      <w:pPr>
        <w:spacing w:line="327" w:lineRule="auto"/>
        <w:ind w:firstLine="560"/>
        <w:rPr>
          <w:rFonts w:eastAsia="仿宋" w:cs="Times New Roman"/>
          <w:sz w:val="28"/>
          <w:szCs w:val="28"/>
          <w:lang w:eastAsia="zh-CN"/>
        </w:rPr>
        <w:sectPr>
          <w:footerReference r:id="rId43" w:type="default"/>
          <w:pgSz w:w="11905" w:h="16843"/>
          <w:pgMar w:top="1440" w:right="1406" w:bottom="1440" w:left="1803" w:header="873" w:footer="1276" w:gutter="0"/>
          <w:cols w:space="0" w:num="1"/>
          <w:rtlGutter w:val="0"/>
          <w:docGrid w:linePitch="326" w:charSpace="0"/>
        </w:sectPr>
      </w:pPr>
    </w:p>
    <w:p w14:paraId="445B3145">
      <w:pPr>
        <w:pStyle w:val="2"/>
        <w:spacing w:before="120" w:after="120"/>
        <w:rPr>
          <w:lang w:eastAsia="zh-CN"/>
        </w:rPr>
      </w:pPr>
      <w:bookmarkStart w:id="152" w:name="bookmark116"/>
      <w:bookmarkEnd w:id="152"/>
      <w:bookmarkStart w:id="153" w:name="bookmark118"/>
      <w:bookmarkEnd w:id="153"/>
      <w:bookmarkStart w:id="154" w:name="_Toc21037"/>
      <w:r>
        <w:rPr>
          <w:lang w:eastAsia="zh-CN"/>
        </w:rPr>
        <w:t>第十二章</w:t>
      </w:r>
      <w:r>
        <w:rPr>
          <w:rFonts w:hint="eastAsia"/>
          <w:lang w:eastAsia="zh-CN"/>
        </w:rPr>
        <w:t xml:space="preserve"> </w:t>
      </w:r>
      <w:r>
        <w:rPr>
          <w:lang w:eastAsia="zh-CN"/>
        </w:rPr>
        <w:t>保障措施</w:t>
      </w:r>
      <w:bookmarkEnd w:id="154"/>
    </w:p>
    <w:p w14:paraId="797DEF97">
      <w:pPr>
        <w:pStyle w:val="3"/>
        <w:rPr>
          <w:lang w:eastAsia="zh-CN"/>
        </w:rPr>
      </w:pPr>
      <w:bookmarkStart w:id="155" w:name="_Toc9330"/>
      <w:r>
        <w:rPr>
          <w:lang w:eastAsia="zh-CN"/>
        </w:rPr>
        <w:t>12.1组织保障</w:t>
      </w:r>
      <w:bookmarkEnd w:id="155"/>
    </w:p>
    <w:p w14:paraId="6F5D77A7">
      <w:pPr>
        <w:ind w:firstLine="480"/>
        <w:rPr>
          <w:lang w:eastAsia="zh-CN"/>
        </w:rPr>
      </w:pPr>
      <w:r>
        <w:rPr>
          <w:lang w:eastAsia="zh-CN"/>
        </w:rPr>
        <w:t>深刻认识加强森林经营工作的重要意义，</w:t>
      </w:r>
      <w:r>
        <w:rPr>
          <w:rFonts w:hint="eastAsia"/>
          <w:lang w:eastAsia="zh-CN"/>
        </w:rPr>
        <w:t>增强</w:t>
      </w:r>
      <w:r>
        <w:rPr>
          <w:lang w:eastAsia="zh-CN"/>
        </w:rPr>
        <w:t>责任主体意识，依法把森林质量精准提升工程纳入国民经济和社会发展规划，实行责任目标考核制，把森林资源总量增长、质量提高作为约束性指标纳入领导任期目标责任。国有林场的主管部门要积极贯彻落实森林经营方案编制工作、执行责任和落实森林经营活动。做到责任有主体，投入有渠道，任务有保障，确保总体目标的顺利完成。林场各部门团结协作，发挥好部门管理职能作用，依据森林经营方案，将森林经营目标、任务、责任落实到各经营小班，在省级先进技术的指导下开展全周期森林经营活动。</w:t>
      </w:r>
    </w:p>
    <w:p w14:paraId="6FC42EFC">
      <w:pPr>
        <w:ind w:firstLine="480"/>
        <w:rPr>
          <w:rFonts w:cs="Times New Roman"/>
          <w:szCs w:val="24"/>
          <w:lang w:eastAsia="zh-CN"/>
        </w:rPr>
      </w:pPr>
      <w:r>
        <w:rPr>
          <w:rFonts w:cs="Times New Roman"/>
          <w:szCs w:val="24"/>
          <w:lang w:eastAsia="zh-CN"/>
        </w:rPr>
        <w:t>大力推行人才强林战略，加强森林经营专业技术队伍建设，落实基层人才政策，加强</w:t>
      </w:r>
      <w:r>
        <w:rPr>
          <w:rFonts w:hint="eastAsia" w:cs="Times New Roman"/>
          <w:szCs w:val="24"/>
          <w:lang w:eastAsia="zh-CN"/>
        </w:rPr>
        <w:t>紧缺型人才</w:t>
      </w:r>
      <w:r>
        <w:rPr>
          <w:rFonts w:cs="Times New Roman"/>
          <w:szCs w:val="24"/>
          <w:lang w:eastAsia="zh-CN"/>
        </w:rPr>
        <w:t>专业引进和综合型人才引进，以及利用网络继续教育平台，开设针对性的培训课程，加大基层森林经营专业人才培养力度。强化国有林场的林业机构组织建设，建立职能定位明确、管理科学规范、政策保障的现代国有林场管理机制，稳定基层森林经营管理队伍。分级分批次开展森林抚育、造林更新等技术培训，推行岗位技能培训、资格考核和持证上岗制，着力培养森林经营规划、设计、施工、监理队伍，推动森林经营向专业化、规模化转变。</w:t>
      </w:r>
    </w:p>
    <w:p w14:paraId="544B7A59">
      <w:pPr>
        <w:pStyle w:val="3"/>
        <w:rPr>
          <w:lang w:eastAsia="zh-CN"/>
        </w:rPr>
      </w:pPr>
      <w:bookmarkStart w:id="156" w:name="bookmark120"/>
      <w:bookmarkEnd w:id="156"/>
      <w:bookmarkStart w:id="157" w:name="_Toc19860"/>
      <w:r>
        <w:rPr>
          <w:lang w:eastAsia="zh-CN"/>
        </w:rPr>
        <w:t>12.2资金保障</w:t>
      </w:r>
      <w:bookmarkEnd w:id="157"/>
    </w:p>
    <w:p w14:paraId="6EA18B76">
      <w:pPr>
        <w:ind w:firstLine="480"/>
        <w:rPr>
          <w:lang w:eastAsia="zh-CN"/>
        </w:rPr>
      </w:pPr>
      <w:r>
        <w:rPr>
          <w:lang w:eastAsia="zh-CN"/>
        </w:rPr>
        <w:t>政府应继续加大对林业生态建设的投入，要把森林经营和重大林业基础设施建设纳入各级政府的财政预算，并建立以公共财政为主的多渠道投资方式，根据林业的生态公益性特征，林业投入与财政收入同步增长。林场将根据林场森林资源培育和保护管理的实际需求，多方筹措资金，进一步加大投入力度，尤其是加大森林资源经营管理的投入，使林场的经营水平走在全国前列。</w:t>
      </w:r>
    </w:p>
    <w:p w14:paraId="4670139F">
      <w:pPr>
        <w:ind w:firstLine="480"/>
        <w:rPr>
          <w:lang w:eastAsia="zh-CN"/>
        </w:rPr>
      </w:pPr>
      <w:r>
        <w:rPr>
          <w:lang w:eastAsia="zh-CN"/>
        </w:rPr>
        <w:t>将国有林区基础设施建设纳入同级政府建设规划，加快基础设施建设，加大资金投入，改善林区生产条件，降低森林经营成本。利用财政资金推进森林经营数表体系建设，改进数据观测采集、存储分析和传输仪器设备。利用现代信息技术，建立森林经营档案管理制度，建设完善统一的基础数据库和业务运行系统，实现造林、更新造林、森林抚育</w:t>
      </w:r>
      <w:r>
        <w:rPr>
          <w:rFonts w:hint="eastAsia"/>
          <w:lang w:eastAsia="zh-CN"/>
        </w:rPr>
        <w:t>等</w:t>
      </w:r>
      <w:r>
        <w:rPr>
          <w:lang w:eastAsia="zh-CN"/>
        </w:rPr>
        <w:t>经营活动的智慧化管理。</w:t>
      </w:r>
    </w:p>
    <w:p w14:paraId="54AD8803">
      <w:pPr>
        <w:pStyle w:val="3"/>
        <w:rPr>
          <w:lang w:eastAsia="zh-CN"/>
        </w:rPr>
      </w:pPr>
      <w:bookmarkStart w:id="158" w:name="bookmark122"/>
      <w:bookmarkEnd w:id="158"/>
      <w:bookmarkStart w:id="159" w:name="_Toc26955"/>
      <w:r>
        <w:rPr>
          <w:lang w:eastAsia="zh-CN"/>
        </w:rPr>
        <w:t>12.3科技保障</w:t>
      </w:r>
      <w:bookmarkEnd w:id="159"/>
    </w:p>
    <w:p w14:paraId="2047BF59">
      <w:pPr>
        <w:ind w:firstLine="480"/>
        <w:rPr>
          <w:lang w:eastAsia="zh-CN"/>
        </w:rPr>
      </w:pPr>
      <w:r>
        <w:rPr>
          <w:lang w:eastAsia="zh-CN"/>
        </w:rPr>
        <w:t>强化森林多功能森林经营理论与技术的指导作用，强化困难立地造林、次生林经营、混交林培育、林地立地质量评价、森林经营作业法、经营成效监测评价、主要树种生长收获表等基础理论、实用技术研究与创新，加快解决突出的技术问题。大力推进林业科技推广应用，树立全周期森林经营设计理念，建立完整的森林经营作业体系，切实提升森林经营科技水平。在林场建立一批科学试验示范区，加强碳汇林建设，发挥示范带动效应，探索符合林场森林经营类型的经营技术模式。</w:t>
      </w:r>
    </w:p>
    <w:p w14:paraId="7B846E27">
      <w:pPr>
        <w:ind w:firstLine="480"/>
        <w:rPr>
          <w:rFonts w:eastAsia="仿宋"/>
          <w:sz w:val="28"/>
          <w:szCs w:val="28"/>
          <w:lang w:eastAsia="zh-CN"/>
        </w:rPr>
      </w:pPr>
      <w:r>
        <w:rPr>
          <w:lang w:eastAsia="zh-CN"/>
        </w:rPr>
        <w:t>注重教育平台体系建设，充分利用广播、电视、报纸、网络、微信等多种媒体，广泛开展形式多样的宣传活动，加大社会公众宣传，增强公众保护与发展森林的责任意识，进一步营造全社会爱林、护林、营林，建设生态文明的浓厚氛围。抓好政策解读，让社会各界和森林经营主体了解中央和地方各级政府支持森林经营的政策内容与具体要求。大力宣传报道森林经营典型经验、成功做法，以榜样激励、带动森林经营。</w:t>
      </w:r>
    </w:p>
    <w:p w14:paraId="2282D08C">
      <w:pPr>
        <w:pStyle w:val="3"/>
        <w:rPr>
          <w:lang w:eastAsia="zh-CN"/>
        </w:rPr>
      </w:pPr>
      <w:bookmarkStart w:id="160" w:name="bookmark124"/>
      <w:bookmarkEnd w:id="160"/>
      <w:bookmarkStart w:id="161" w:name="_Toc11264"/>
      <w:r>
        <w:rPr>
          <w:lang w:eastAsia="zh-CN"/>
        </w:rPr>
        <w:t>12.4环境保障</w:t>
      </w:r>
      <w:bookmarkEnd w:id="161"/>
    </w:p>
    <w:p w14:paraId="0F874070">
      <w:pPr>
        <w:ind w:firstLine="480"/>
        <w:rPr>
          <w:lang w:eastAsia="zh-CN"/>
        </w:rPr>
      </w:pPr>
      <w:r>
        <w:rPr>
          <w:lang w:eastAsia="zh-CN"/>
        </w:rPr>
        <w:t>林场根据森林经营方案相关实施内容，制定对应的水土保持措施、生</w:t>
      </w:r>
      <w:r>
        <w:rPr>
          <w:rFonts w:hint="eastAsia"/>
          <w:lang w:eastAsia="zh-CN"/>
        </w:rPr>
        <w:t>物多</w:t>
      </w:r>
      <w:r>
        <w:rPr>
          <w:lang w:eastAsia="zh-CN"/>
        </w:rPr>
        <w:t>样性保护措施、生态环境保护措施、特色景观保护措施，使方案的实行对生</w:t>
      </w:r>
      <w:r>
        <w:rPr>
          <w:rFonts w:hint="eastAsia"/>
          <w:lang w:eastAsia="zh-CN"/>
        </w:rPr>
        <w:t>态环</w:t>
      </w:r>
      <w:r>
        <w:rPr>
          <w:lang w:eastAsia="zh-CN"/>
        </w:rPr>
        <w:t>境造成的不利影响减少到最低限度。</w:t>
      </w:r>
    </w:p>
    <w:p w14:paraId="52BFB74B">
      <w:pPr>
        <w:pStyle w:val="3"/>
        <w:rPr>
          <w:lang w:eastAsia="zh-CN"/>
        </w:rPr>
      </w:pPr>
      <w:bookmarkStart w:id="162" w:name="bookmark126"/>
      <w:bookmarkEnd w:id="162"/>
      <w:bookmarkStart w:id="163" w:name="_Toc20678"/>
      <w:r>
        <w:rPr>
          <w:lang w:eastAsia="zh-CN"/>
        </w:rPr>
        <w:t>12.5法律保障</w:t>
      </w:r>
      <w:bookmarkEnd w:id="163"/>
    </w:p>
    <w:p w14:paraId="1FE79157">
      <w:pPr>
        <w:ind w:firstLine="480"/>
        <w:rPr>
          <w:lang w:eastAsia="zh-CN"/>
        </w:rPr>
      </w:pPr>
      <w:r>
        <w:rPr>
          <w:lang w:eastAsia="zh-CN"/>
        </w:rPr>
        <w:t>《中华人民共和国森林法》《中华人民共和国野生动物保护法》《中华人民共和国土地法》《中华人民共和国森林法实施条例》《湖南省林业条例》等相关法律法规是经营方案实施的法律保障。</w:t>
      </w:r>
    </w:p>
    <w:p w14:paraId="66DFB283">
      <w:pPr>
        <w:spacing w:line="332" w:lineRule="auto"/>
        <w:ind w:firstLine="560"/>
        <w:rPr>
          <w:rFonts w:eastAsia="仿宋" w:cs="Times New Roman"/>
          <w:sz w:val="28"/>
          <w:szCs w:val="28"/>
          <w:lang w:eastAsia="zh-CN"/>
        </w:rPr>
        <w:sectPr>
          <w:footerReference r:id="rId44" w:type="default"/>
          <w:pgSz w:w="11905" w:h="16843"/>
          <w:pgMar w:top="1440" w:right="1406" w:bottom="1440" w:left="1803" w:header="873" w:footer="1276" w:gutter="0"/>
          <w:cols w:space="0" w:num="1"/>
          <w:rtlGutter w:val="0"/>
          <w:docGrid w:linePitch="326" w:charSpace="0"/>
        </w:sectPr>
      </w:pPr>
    </w:p>
    <w:p w14:paraId="772A5B3D">
      <w:pPr>
        <w:pStyle w:val="7"/>
        <w:spacing w:line="240" w:lineRule="auto"/>
        <w:ind w:firstLine="0" w:firstLineChars="0"/>
        <w:jc w:val="center"/>
        <w:rPr>
          <w:rFonts w:hint="eastAsia" w:eastAsia="黑体" w:cs="Times New Roman"/>
          <w:b/>
          <w:szCs w:val="24"/>
          <w:lang w:eastAsia="zh-CN"/>
        </w:rPr>
      </w:pPr>
      <w:r>
        <w:rPr>
          <w:rFonts w:eastAsia="黑体" w:cs="Times New Roman"/>
          <w:b/>
          <w:szCs w:val="24"/>
          <w:lang w:eastAsia="zh-CN"/>
        </w:rPr>
        <w:t>附表1</w:t>
      </w:r>
      <w:r>
        <w:rPr>
          <w:rFonts w:hint="eastAsia" w:eastAsia="黑体" w:cs="Times New Roman"/>
          <w:b/>
          <w:szCs w:val="24"/>
          <w:lang w:eastAsia="zh-CN"/>
        </w:rPr>
        <w:t>各类土地面积统计表</w:t>
      </w:r>
    </w:p>
    <w:p w14:paraId="71DDA0F3">
      <w:pPr>
        <w:pStyle w:val="7"/>
        <w:spacing w:line="240" w:lineRule="auto"/>
        <w:ind w:firstLine="0" w:firstLineChars="0"/>
        <w:jc w:val="right"/>
        <w:rPr>
          <w:rFonts w:hint="eastAsia" w:eastAsia="黑体" w:cs="Times New Roman"/>
          <w:b/>
          <w:szCs w:val="24"/>
          <w:lang w:eastAsia="zh-CN"/>
        </w:rPr>
      </w:pPr>
      <w:r>
        <w:rPr>
          <w:rFonts w:hint="eastAsia" w:cs="Times New Roman"/>
          <w:bCs/>
          <w:sz w:val="21"/>
          <w:lang w:eastAsia="zh-CN"/>
        </w:rPr>
        <w:t>单位：hm</w:t>
      </w:r>
      <w:r>
        <w:rPr>
          <w:rFonts w:hint="eastAsia" w:cs="Times New Roman"/>
          <w:bCs/>
          <w:sz w:val="21"/>
          <w:vertAlign w:val="superscript"/>
          <w:lang w:eastAsia="zh-CN"/>
        </w:rPr>
        <w:t>2</w:t>
      </w:r>
      <w:r>
        <w:rPr>
          <w:rFonts w:hint="eastAsia" w:cs="Times New Roman"/>
          <w:bCs/>
          <w:sz w:val="21"/>
          <w:lang w:eastAsia="zh-CN"/>
        </w:rPr>
        <w:t>、%</w:t>
      </w:r>
    </w:p>
    <w:tbl>
      <w:tblPr>
        <w:tblStyle w:val="17"/>
        <w:tblW w:w="4995"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10"/>
        <w:gridCol w:w="1010"/>
        <w:gridCol w:w="1010"/>
        <w:gridCol w:w="1012"/>
        <w:gridCol w:w="1012"/>
        <w:gridCol w:w="1012"/>
        <w:gridCol w:w="1012"/>
        <w:gridCol w:w="1012"/>
        <w:gridCol w:w="1012"/>
        <w:gridCol w:w="1012"/>
        <w:gridCol w:w="1012"/>
        <w:gridCol w:w="1013"/>
        <w:gridCol w:w="1013"/>
        <w:gridCol w:w="1013"/>
      </w:tblGrid>
      <w:tr w14:paraId="4845DB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35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8BCAF4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林场</w:t>
            </w:r>
          </w:p>
        </w:tc>
        <w:tc>
          <w:tcPr>
            <w:tcW w:w="356" w:type="pct"/>
            <w:tcBorders>
              <w:top w:val="single" w:color="000000" w:sz="8" w:space="0"/>
              <w:left w:val="nil"/>
              <w:bottom w:val="single" w:color="000000" w:sz="8" w:space="0"/>
              <w:right w:val="single" w:color="000000" w:sz="8" w:space="0"/>
            </w:tcBorders>
            <w:shd w:val="clear" w:color="auto" w:fill="auto"/>
            <w:vAlign w:val="center"/>
          </w:tcPr>
          <w:p w14:paraId="442EA82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总面积</w:t>
            </w:r>
          </w:p>
        </w:tc>
        <w:tc>
          <w:tcPr>
            <w:tcW w:w="356" w:type="pct"/>
            <w:tcBorders>
              <w:top w:val="single" w:color="000000" w:sz="8" w:space="0"/>
              <w:left w:val="nil"/>
              <w:bottom w:val="single" w:color="000000" w:sz="8" w:space="0"/>
              <w:right w:val="single" w:color="000000" w:sz="8" w:space="0"/>
            </w:tcBorders>
            <w:shd w:val="clear" w:color="auto" w:fill="auto"/>
            <w:vAlign w:val="center"/>
          </w:tcPr>
          <w:p w14:paraId="25C5C57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林地使用权</w:t>
            </w:r>
          </w:p>
        </w:tc>
        <w:tc>
          <w:tcPr>
            <w:tcW w:w="357" w:type="pct"/>
            <w:tcBorders>
              <w:top w:val="single" w:color="000000" w:sz="8" w:space="0"/>
              <w:left w:val="nil"/>
              <w:bottom w:val="single" w:color="000000" w:sz="8" w:space="0"/>
              <w:right w:val="single" w:color="000000" w:sz="8" w:space="0"/>
            </w:tcBorders>
            <w:shd w:val="clear" w:color="auto" w:fill="auto"/>
            <w:vAlign w:val="center"/>
          </w:tcPr>
          <w:p w14:paraId="1B7D1612">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single" w:color="000000" w:sz="8" w:space="0"/>
              <w:left w:val="nil"/>
              <w:bottom w:val="single" w:color="000000" w:sz="8" w:space="0"/>
              <w:right w:val="single" w:color="000000" w:sz="8" w:space="0"/>
            </w:tcBorders>
            <w:shd w:val="clear" w:color="auto" w:fill="auto"/>
            <w:vAlign w:val="center"/>
          </w:tcPr>
          <w:p w14:paraId="3CF0DCC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合计</w:t>
            </w:r>
          </w:p>
        </w:tc>
        <w:tc>
          <w:tcPr>
            <w:tcW w:w="357" w:type="pct"/>
            <w:tcBorders>
              <w:top w:val="single" w:color="000000" w:sz="8" w:space="0"/>
              <w:left w:val="nil"/>
              <w:bottom w:val="single" w:color="000000" w:sz="8" w:space="0"/>
              <w:right w:val="single" w:color="000000" w:sz="8" w:space="0"/>
            </w:tcBorders>
            <w:shd w:val="clear" w:color="auto" w:fill="auto"/>
            <w:vAlign w:val="center"/>
          </w:tcPr>
          <w:p w14:paraId="1F4E434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乔木林地</w:t>
            </w:r>
          </w:p>
        </w:tc>
        <w:tc>
          <w:tcPr>
            <w:tcW w:w="357" w:type="pct"/>
            <w:tcBorders>
              <w:top w:val="single" w:color="000000" w:sz="8" w:space="0"/>
              <w:left w:val="nil"/>
              <w:bottom w:val="single" w:color="000000" w:sz="8" w:space="0"/>
              <w:right w:val="single" w:color="000000" w:sz="8" w:space="0"/>
            </w:tcBorders>
            <w:shd w:val="clear" w:color="auto" w:fill="auto"/>
            <w:vAlign w:val="center"/>
          </w:tcPr>
          <w:p w14:paraId="7BDE9F8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竹林地</w:t>
            </w:r>
          </w:p>
        </w:tc>
        <w:tc>
          <w:tcPr>
            <w:tcW w:w="357" w:type="pct"/>
            <w:tcBorders>
              <w:top w:val="single" w:color="000000" w:sz="8" w:space="0"/>
              <w:left w:val="nil"/>
              <w:bottom w:val="single" w:color="000000" w:sz="8" w:space="0"/>
              <w:right w:val="single" w:color="000000" w:sz="8" w:space="0"/>
            </w:tcBorders>
            <w:shd w:val="clear" w:color="auto" w:fill="auto"/>
            <w:vAlign w:val="center"/>
          </w:tcPr>
          <w:p w14:paraId="1B284EA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灌木林地</w:t>
            </w:r>
          </w:p>
        </w:tc>
        <w:tc>
          <w:tcPr>
            <w:tcW w:w="357" w:type="pct"/>
            <w:tcBorders>
              <w:top w:val="single" w:color="000000" w:sz="8" w:space="0"/>
              <w:left w:val="nil"/>
              <w:bottom w:val="single" w:color="000000" w:sz="8" w:space="0"/>
              <w:right w:val="single" w:color="000000" w:sz="8" w:space="0"/>
            </w:tcBorders>
            <w:shd w:val="clear" w:color="auto" w:fill="auto"/>
            <w:vAlign w:val="center"/>
          </w:tcPr>
          <w:p w14:paraId="4A28693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未成林造林地</w:t>
            </w:r>
          </w:p>
        </w:tc>
        <w:tc>
          <w:tcPr>
            <w:tcW w:w="357" w:type="pct"/>
            <w:tcBorders>
              <w:top w:val="single" w:color="000000" w:sz="8" w:space="0"/>
              <w:left w:val="nil"/>
              <w:bottom w:val="single" w:color="000000" w:sz="8" w:space="0"/>
              <w:right w:val="single" w:color="000000" w:sz="8" w:space="0"/>
            </w:tcBorders>
            <w:shd w:val="clear" w:color="auto" w:fill="auto"/>
            <w:vAlign w:val="center"/>
          </w:tcPr>
          <w:p w14:paraId="1F66011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无立木林地</w:t>
            </w:r>
          </w:p>
        </w:tc>
        <w:tc>
          <w:tcPr>
            <w:tcW w:w="357" w:type="pct"/>
            <w:tcBorders>
              <w:top w:val="single" w:color="000000" w:sz="8" w:space="0"/>
              <w:left w:val="nil"/>
              <w:bottom w:val="single" w:color="000000" w:sz="8" w:space="0"/>
              <w:right w:val="single" w:color="000000" w:sz="8" w:space="0"/>
            </w:tcBorders>
            <w:shd w:val="clear" w:color="auto" w:fill="auto"/>
            <w:vAlign w:val="center"/>
          </w:tcPr>
          <w:p w14:paraId="515AD26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疏林地</w:t>
            </w:r>
          </w:p>
        </w:tc>
        <w:tc>
          <w:tcPr>
            <w:tcW w:w="357" w:type="pct"/>
            <w:tcBorders>
              <w:top w:val="single" w:color="000000" w:sz="8" w:space="0"/>
              <w:left w:val="nil"/>
              <w:bottom w:val="single" w:color="000000" w:sz="8" w:space="0"/>
              <w:right w:val="single" w:color="000000" w:sz="8" w:space="0"/>
            </w:tcBorders>
            <w:shd w:val="clear" w:color="auto" w:fill="auto"/>
            <w:vAlign w:val="center"/>
          </w:tcPr>
          <w:p w14:paraId="43CC516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非林地</w:t>
            </w:r>
          </w:p>
        </w:tc>
        <w:tc>
          <w:tcPr>
            <w:tcW w:w="357" w:type="pct"/>
            <w:tcBorders>
              <w:top w:val="single" w:color="000000" w:sz="8" w:space="0"/>
              <w:left w:val="nil"/>
              <w:bottom w:val="single" w:color="000000" w:sz="8" w:space="0"/>
              <w:right w:val="single" w:color="000000" w:sz="8" w:space="0"/>
            </w:tcBorders>
            <w:shd w:val="clear" w:color="auto" w:fill="auto"/>
            <w:vAlign w:val="center"/>
          </w:tcPr>
          <w:p w14:paraId="01C12C1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森林覆盖率</w:t>
            </w:r>
          </w:p>
        </w:tc>
        <w:tc>
          <w:tcPr>
            <w:tcW w:w="357" w:type="pct"/>
            <w:tcBorders>
              <w:top w:val="single" w:color="000000" w:sz="8" w:space="0"/>
              <w:left w:val="nil"/>
              <w:bottom w:val="single" w:color="000000" w:sz="8" w:space="0"/>
              <w:right w:val="single" w:color="000000" w:sz="8" w:space="0"/>
            </w:tcBorders>
            <w:shd w:val="clear" w:color="auto" w:fill="auto"/>
            <w:vAlign w:val="center"/>
          </w:tcPr>
          <w:p w14:paraId="1895574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林木绿化率</w:t>
            </w:r>
          </w:p>
        </w:tc>
      </w:tr>
      <w:tr w14:paraId="45321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56" w:type="pct"/>
            <w:vMerge w:val="restart"/>
            <w:tcBorders>
              <w:top w:val="nil"/>
              <w:left w:val="single" w:color="000000" w:sz="8" w:space="0"/>
              <w:bottom w:val="single" w:color="000000" w:sz="8" w:space="0"/>
              <w:right w:val="single" w:color="000000" w:sz="8" w:space="0"/>
            </w:tcBorders>
            <w:shd w:val="clear" w:color="auto" w:fill="auto"/>
            <w:vAlign w:val="center"/>
          </w:tcPr>
          <w:p w14:paraId="3C4A7CD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阳明山国有林场</w:t>
            </w:r>
          </w:p>
        </w:tc>
        <w:tc>
          <w:tcPr>
            <w:tcW w:w="356" w:type="pct"/>
            <w:vMerge w:val="restart"/>
            <w:tcBorders>
              <w:top w:val="nil"/>
              <w:left w:val="nil"/>
              <w:bottom w:val="single" w:color="000000" w:sz="8" w:space="0"/>
              <w:right w:val="single" w:color="000000" w:sz="8" w:space="0"/>
            </w:tcBorders>
            <w:shd w:val="clear" w:color="auto" w:fill="auto"/>
            <w:vAlign w:val="center"/>
          </w:tcPr>
          <w:p w14:paraId="3D42752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11458.53</w:t>
            </w:r>
          </w:p>
        </w:tc>
        <w:tc>
          <w:tcPr>
            <w:tcW w:w="356" w:type="pct"/>
            <w:tcBorders>
              <w:top w:val="nil"/>
              <w:left w:val="nil"/>
              <w:bottom w:val="single" w:color="000000" w:sz="8" w:space="0"/>
              <w:right w:val="single" w:color="000000" w:sz="8" w:space="0"/>
            </w:tcBorders>
            <w:shd w:val="clear" w:color="auto" w:fill="auto"/>
            <w:vAlign w:val="center"/>
          </w:tcPr>
          <w:p w14:paraId="1058774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合计</w:t>
            </w:r>
          </w:p>
        </w:tc>
        <w:tc>
          <w:tcPr>
            <w:tcW w:w="357" w:type="pct"/>
            <w:tcBorders>
              <w:top w:val="nil"/>
              <w:left w:val="nil"/>
              <w:bottom w:val="single" w:color="000000" w:sz="8" w:space="0"/>
              <w:right w:val="single" w:color="000000" w:sz="8" w:space="0"/>
            </w:tcBorders>
            <w:shd w:val="clear" w:color="auto" w:fill="auto"/>
            <w:vAlign w:val="center"/>
          </w:tcPr>
          <w:p w14:paraId="7801AAF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合计</w:t>
            </w:r>
          </w:p>
        </w:tc>
        <w:tc>
          <w:tcPr>
            <w:tcW w:w="357" w:type="pct"/>
            <w:tcBorders>
              <w:top w:val="nil"/>
              <w:left w:val="nil"/>
              <w:bottom w:val="single" w:color="000000" w:sz="8" w:space="0"/>
              <w:right w:val="single" w:color="000000" w:sz="8" w:space="0"/>
            </w:tcBorders>
            <w:shd w:val="clear" w:color="auto" w:fill="auto"/>
            <w:vAlign w:val="center"/>
          </w:tcPr>
          <w:p w14:paraId="3416AA7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snapToGrid w:val="0"/>
                <w:color w:val="000000"/>
                <w:kern w:val="0"/>
                <w:sz w:val="21"/>
                <w:szCs w:val="21"/>
                <w:u w:val="none"/>
                <w:lang w:val="en-US" w:eastAsia="zh-CN" w:bidi="ar"/>
              </w:rPr>
              <w:t>11458.53</w:t>
            </w:r>
          </w:p>
        </w:tc>
        <w:tc>
          <w:tcPr>
            <w:tcW w:w="357" w:type="pct"/>
            <w:tcBorders>
              <w:top w:val="nil"/>
              <w:left w:val="nil"/>
              <w:bottom w:val="single" w:color="000000" w:sz="8" w:space="0"/>
              <w:right w:val="single" w:color="000000" w:sz="8" w:space="0"/>
            </w:tcBorders>
            <w:shd w:val="clear" w:color="auto" w:fill="auto"/>
            <w:vAlign w:val="center"/>
          </w:tcPr>
          <w:p w14:paraId="0DD8869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6976.37</w:t>
            </w:r>
          </w:p>
        </w:tc>
        <w:tc>
          <w:tcPr>
            <w:tcW w:w="357" w:type="pct"/>
            <w:tcBorders>
              <w:top w:val="nil"/>
              <w:left w:val="nil"/>
              <w:bottom w:val="single" w:color="000000" w:sz="8" w:space="0"/>
              <w:right w:val="single" w:color="000000" w:sz="8" w:space="0"/>
            </w:tcBorders>
            <w:shd w:val="clear" w:color="auto" w:fill="auto"/>
            <w:vAlign w:val="center"/>
          </w:tcPr>
          <w:p w14:paraId="27E63E1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3928.99</w:t>
            </w:r>
          </w:p>
        </w:tc>
        <w:tc>
          <w:tcPr>
            <w:tcW w:w="357" w:type="pct"/>
            <w:tcBorders>
              <w:top w:val="nil"/>
              <w:left w:val="nil"/>
              <w:bottom w:val="single" w:color="000000" w:sz="8" w:space="0"/>
              <w:right w:val="single" w:color="000000" w:sz="8" w:space="0"/>
            </w:tcBorders>
            <w:shd w:val="clear" w:color="auto" w:fill="auto"/>
            <w:vAlign w:val="center"/>
          </w:tcPr>
          <w:p w14:paraId="4764690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131.66</w:t>
            </w:r>
          </w:p>
        </w:tc>
        <w:tc>
          <w:tcPr>
            <w:tcW w:w="357" w:type="pct"/>
            <w:tcBorders>
              <w:top w:val="nil"/>
              <w:left w:val="nil"/>
              <w:bottom w:val="single" w:color="000000" w:sz="8" w:space="0"/>
              <w:right w:val="single" w:color="000000" w:sz="8" w:space="0"/>
            </w:tcBorders>
            <w:shd w:val="clear" w:color="auto" w:fill="auto"/>
            <w:vAlign w:val="center"/>
          </w:tcPr>
          <w:p w14:paraId="2F669DE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6.39</w:t>
            </w:r>
          </w:p>
        </w:tc>
        <w:tc>
          <w:tcPr>
            <w:tcW w:w="357" w:type="pct"/>
            <w:tcBorders>
              <w:top w:val="nil"/>
              <w:left w:val="nil"/>
              <w:bottom w:val="single" w:color="000000" w:sz="8" w:space="0"/>
              <w:right w:val="single" w:color="000000" w:sz="8" w:space="0"/>
            </w:tcBorders>
            <w:shd w:val="clear" w:color="auto" w:fill="auto"/>
            <w:vAlign w:val="center"/>
          </w:tcPr>
          <w:p w14:paraId="389581BC">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1EDFF441">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00D7783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414.37</w:t>
            </w:r>
          </w:p>
        </w:tc>
        <w:tc>
          <w:tcPr>
            <w:tcW w:w="357" w:type="pct"/>
            <w:tcBorders>
              <w:top w:val="nil"/>
              <w:left w:val="nil"/>
              <w:bottom w:val="single" w:color="000000" w:sz="8" w:space="0"/>
              <w:right w:val="single" w:color="000000" w:sz="8" w:space="0"/>
            </w:tcBorders>
            <w:shd w:val="clear" w:color="auto" w:fill="auto"/>
            <w:vAlign w:val="center"/>
          </w:tcPr>
          <w:p w14:paraId="5329C46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98.16</w:t>
            </w:r>
          </w:p>
        </w:tc>
        <w:tc>
          <w:tcPr>
            <w:tcW w:w="357" w:type="pct"/>
            <w:tcBorders>
              <w:top w:val="nil"/>
              <w:left w:val="nil"/>
              <w:bottom w:val="single" w:color="000000" w:sz="8" w:space="0"/>
              <w:right w:val="single" w:color="000000" w:sz="8" w:space="0"/>
            </w:tcBorders>
            <w:shd w:val="clear" w:color="auto" w:fill="auto"/>
            <w:vAlign w:val="center"/>
          </w:tcPr>
          <w:p w14:paraId="6D61C14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98.16</w:t>
            </w:r>
          </w:p>
        </w:tc>
      </w:tr>
      <w:tr w14:paraId="66603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56" w:type="pct"/>
            <w:vMerge w:val="continue"/>
            <w:tcBorders>
              <w:top w:val="nil"/>
              <w:left w:val="single" w:color="000000" w:sz="8" w:space="0"/>
              <w:bottom w:val="single" w:color="000000" w:sz="8" w:space="0"/>
              <w:right w:val="single" w:color="000000" w:sz="8" w:space="0"/>
            </w:tcBorders>
            <w:shd w:val="clear" w:color="auto" w:fill="auto"/>
            <w:vAlign w:val="center"/>
          </w:tcPr>
          <w:p w14:paraId="0F12C7A5">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i w:val="0"/>
                <w:iCs w:val="0"/>
                <w:color w:val="000000"/>
                <w:sz w:val="21"/>
                <w:szCs w:val="21"/>
                <w:u w:val="none"/>
              </w:rPr>
            </w:pPr>
          </w:p>
        </w:tc>
        <w:tc>
          <w:tcPr>
            <w:tcW w:w="356" w:type="pct"/>
            <w:vMerge w:val="continue"/>
            <w:tcBorders>
              <w:top w:val="nil"/>
              <w:left w:val="nil"/>
              <w:bottom w:val="single" w:color="000000" w:sz="8" w:space="0"/>
              <w:right w:val="single" w:color="000000" w:sz="8" w:space="0"/>
            </w:tcBorders>
            <w:shd w:val="clear" w:color="auto" w:fill="auto"/>
            <w:vAlign w:val="center"/>
          </w:tcPr>
          <w:p w14:paraId="19DD0EE0">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6" w:type="pct"/>
            <w:vMerge w:val="restart"/>
            <w:tcBorders>
              <w:top w:val="nil"/>
              <w:left w:val="nil"/>
              <w:bottom w:val="nil"/>
              <w:right w:val="single" w:color="000000" w:sz="8" w:space="0"/>
            </w:tcBorders>
            <w:shd w:val="clear" w:color="auto" w:fill="auto"/>
            <w:vAlign w:val="center"/>
          </w:tcPr>
          <w:p w14:paraId="0B06EC0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合计</w:t>
            </w:r>
          </w:p>
        </w:tc>
        <w:tc>
          <w:tcPr>
            <w:tcW w:w="357" w:type="pct"/>
            <w:tcBorders>
              <w:top w:val="nil"/>
              <w:left w:val="nil"/>
              <w:bottom w:val="single" w:color="000000" w:sz="8" w:space="0"/>
              <w:right w:val="single" w:color="000000" w:sz="8" w:space="0"/>
            </w:tcBorders>
            <w:shd w:val="clear" w:color="auto" w:fill="auto"/>
            <w:vAlign w:val="center"/>
          </w:tcPr>
          <w:p w14:paraId="0FE769E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小计</w:t>
            </w:r>
          </w:p>
        </w:tc>
        <w:tc>
          <w:tcPr>
            <w:tcW w:w="357" w:type="pct"/>
            <w:tcBorders>
              <w:top w:val="nil"/>
              <w:left w:val="nil"/>
              <w:bottom w:val="single" w:color="000000" w:sz="8" w:space="0"/>
              <w:right w:val="single" w:color="000000" w:sz="8" w:space="0"/>
            </w:tcBorders>
            <w:shd w:val="clear" w:color="auto" w:fill="auto"/>
            <w:vAlign w:val="center"/>
          </w:tcPr>
          <w:p w14:paraId="4816978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11043.4</w:t>
            </w:r>
          </w:p>
        </w:tc>
        <w:tc>
          <w:tcPr>
            <w:tcW w:w="357" w:type="pct"/>
            <w:tcBorders>
              <w:top w:val="nil"/>
              <w:left w:val="nil"/>
              <w:bottom w:val="single" w:color="000000" w:sz="8" w:space="0"/>
              <w:right w:val="single" w:color="000000" w:sz="8" w:space="0"/>
            </w:tcBorders>
            <w:shd w:val="clear" w:color="auto" w:fill="auto"/>
            <w:vAlign w:val="center"/>
          </w:tcPr>
          <w:p w14:paraId="1C00A82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6976.37</w:t>
            </w:r>
          </w:p>
        </w:tc>
        <w:tc>
          <w:tcPr>
            <w:tcW w:w="357" w:type="pct"/>
            <w:tcBorders>
              <w:top w:val="nil"/>
              <w:left w:val="nil"/>
              <w:bottom w:val="single" w:color="000000" w:sz="8" w:space="0"/>
              <w:right w:val="single" w:color="000000" w:sz="8" w:space="0"/>
            </w:tcBorders>
            <w:shd w:val="clear" w:color="auto" w:fill="auto"/>
            <w:vAlign w:val="center"/>
          </w:tcPr>
          <w:p w14:paraId="024DF4B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3928.99</w:t>
            </w:r>
          </w:p>
        </w:tc>
        <w:tc>
          <w:tcPr>
            <w:tcW w:w="357" w:type="pct"/>
            <w:tcBorders>
              <w:top w:val="nil"/>
              <w:left w:val="nil"/>
              <w:bottom w:val="single" w:color="000000" w:sz="8" w:space="0"/>
              <w:right w:val="single" w:color="000000" w:sz="8" w:space="0"/>
            </w:tcBorders>
            <w:shd w:val="clear" w:color="auto" w:fill="auto"/>
            <w:vAlign w:val="center"/>
          </w:tcPr>
          <w:p w14:paraId="3A4DF7D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131.66</w:t>
            </w:r>
          </w:p>
        </w:tc>
        <w:tc>
          <w:tcPr>
            <w:tcW w:w="357" w:type="pct"/>
            <w:tcBorders>
              <w:top w:val="nil"/>
              <w:left w:val="nil"/>
              <w:bottom w:val="single" w:color="000000" w:sz="8" w:space="0"/>
              <w:right w:val="single" w:color="000000" w:sz="8" w:space="0"/>
            </w:tcBorders>
            <w:shd w:val="clear" w:color="auto" w:fill="auto"/>
            <w:vAlign w:val="center"/>
          </w:tcPr>
          <w:p w14:paraId="759F15C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6.39</w:t>
            </w:r>
          </w:p>
        </w:tc>
        <w:tc>
          <w:tcPr>
            <w:tcW w:w="357" w:type="pct"/>
            <w:tcBorders>
              <w:top w:val="nil"/>
              <w:left w:val="nil"/>
              <w:bottom w:val="single" w:color="000000" w:sz="8" w:space="0"/>
              <w:right w:val="single" w:color="000000" w:sz="8" w:space="0"/>
            </w:tcBorders>
            <w:shd w:val="clear" w:color="auto" w:fill="auto"/>
            <w:vAlign w:val="center"/>
          </w:tcPr>
          <w:p w14:paraId="47211EC1">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6FCA5235">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1297EA48">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0EE22BA2">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07A26F7D">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r>
      <w:tr w14:paraId="5AF8D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56" w:type="pct"/>
            <w:vMerge w:val="continue"/>
            <w:tcBorders>
              <w:top w:val="nil"/>
              <w:left w:val="single" w:color="000000" w:sz="8" w:space="0"/>
              <w:bottom w:val="single" w:color="000000" w:sz="8" w:space="0"/>
              <w:right w:val="single" w:color="000000" w:sz="8" w:space="0"/>
            </w:tcBorders>
            <w:shd w:val="clear" w:color="auto" w:fill="auto"/>
            <w:vAlign w:val="center"/>
          </w:tcPr>
          <w:p w14:paraId="2E6B36AE">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i w:val="0"/>
                <w:iCs w:val="0"/>
                <w:color w:val="000000"/>
                <w:sz w:val="21"/>
                <w:szCs w:val="21"/>
                <w:u w:val="none"/>
              </w:rPr>
            </w:pPr>
          </w:p>
        </w:tc>
        <w:tc>
          <w:tcPr>
            <w:tcW w:w="356" w:type="pct"/>
            <w:vMerge w:val="continue"/>
            <w:tcBorders>
              <w:top w:val="nil"/>
              <w:left w:val="nil"/>
              <w:bottom w:val="single" w:color="000000" w:sz="8" w:space="0"/>
              <w:right w:val="single" w:color="000000" w:sz="8" w:space="0"/>
            </w:tcBorders>
            <w:shd w:val="clear" w:color="auto" w:fill="auto"/>
            <w:vAlign w:val="center"/>
          </w:tcPr>
          <w:p w14:paraId="5FA9A487">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6" w:type="pct"/>
            <w:vMerge w:val="continue"/>
            <w:tcBorders>
              <w:top w:val="nil"/>
              <w:left w:val="nil"/>
              <w:bottom w:val="nil"/>
              <w:right w:val="single" w:color="000000" w:sz="8" w:space="0"/>
            </w:tcBorders>
            <w:shd w:val="clear" w:color="auto" w:fill="auto"/>
            <w:vAlign w:val="center"/>
          </w:tcPr>
          <w:p w14:paraId="54AF9012">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26F7EFB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公益林</w:t>
            </w:r>
          </w:p>
        </w:tc>
        <w:tc>
          <w:tcPr>
            <w:tcW w:w="357" w:type="pct"/>
            <w:tcBorders>
              <w:top w:val="nil"/>
              <w:left w:val="nil"/>
              <w:bottom w:val="single" w:color="000000" w:sz="8" w:space="0"/>
              <w:right w:val="single" w:color="000000" w:sz="8" w:space="0"/>
            </w:tcBorders>
            <w:shd w:val="clear" w:color="auto" w:fill="auto"/>
            <w:vAlign w:val="center"/>
          </w:tcPr>
          <w:p w14:paraId="3A60D68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11043.4</w:t>
            </w:r>
          </w:p>
        </w:tc>
        <w:tc>
          <w:tcPr>
            <w:tcW w:w="357" w:type="pct"/>
            <w:tcBorders>
              <w:top w:val="nil"/>
              <w:left w:val="nil"/>
              <w:bottom w:val="single" w:color="000000" w:sz="8" w:space="0"/>
              <w:right w:val="single" w:color="000000" w:sz="8" w:space="0"/>
            </w:tcBorders>
            <w:shd w:val="clear" w:color="auto" w:fill="auto"/>
            <w:vAlign w:val="center"/>
          </w:tcPr>
          <w:p w14:paraId="2B6C67E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6976.37</w:t>
            </w:r>
          </w:p>
        </w:tc>
        <w:tc>
          <w:tcPr>
            <w:tcW w:w="357" w:type="pct"/>
            <w:tcBorders>
              <w:top w:val="nil"/>
              <w:left w:val="nil"/>
              <w:bottom w:val="single" w:color="000000" w:sz="8" w:space="0"/>
              <w:right w:val="single" w:color="000000" w:sz="8" w:space="0"/>
            </w:tcBorders>
            <w:shd w:val="clear" w:color="auto" w:fill="auto"/>
            <w:vAlign w:val="center"/>
          </w:tcPr>
          <w:p w14:paraId="3D27A6F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3928.99</w:t>
            </w:r>
          </w:p>
        </w:tc>
        <w:tc>
          <w:tcPr>
            <w:tcW w:w="357" w:type="pct"/>
            <w:tcBorders>
              <w:top w:val="nil"/>
              <w:left w:val="nil"/>
              <w:bottom w:val="single" w:color="000000" w:sz="8" w:space="0"/>
              <w:right w:val="single" w:color="000000" w:sz="8" w:space="0"/>
            </w:tcBorders>
            <w:shd w:val="clear" w:color="auto" w:fill="auto"/>
            <w:vAlign w:val="center"/>
          </w:tcPr>
          <w:p w14:paraId="320E410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131.66</w:t>
            </w:r>
          </w:p>
        </w:tc>
        <w:tc>
          <w:tcPr>
            <w:tcW w:w="357" w:type="pct"/>
            <w:tcBorders>
              <w:top w:val="nil"/>
              <w:left w:val="nil"/>
              <w:bottom w:val="single" w:color="000000" w:sz="8" w:space="0"/>
              <w:right w:val="single" w:color="000000" w:sz="8" w:space="0"/>
            </w:tcBorders>
            <w:shd w:val="clear" w:color="auto" w:fill="auto"/>
            <w:vAlign w:val="center"/>
          </w:tcPr>
          <w:p w14:paraId="2720A0E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6.39</w:t>
            </w:r>
          </w:p>
        </w:tc>
        <w:tc>
          <w:tcPr>
            <w:tcW w:w="357" w:type="pct"/>
            <w:tcBorders>
              <w:top w:val="nil"/>
              <w:left w:val="nil"/>
              <w:bottom w:val="single" w:color="000000" w:sz="8" w:space="0"/>
              <w:right w:val="single" w:color="000000" w:sz="8" w:space="0"/>
            </w:tcBorders>
            <w:shd w:val="clear" w:color="auto" w:fill="auto"/>
            <w:vAlign w:val="center"/>
          </w:tcPr>
          <w:p w14:paraId="6A7CD29C">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3CD7C682">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129E7982">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26DB46A7">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30709FE8">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r>
      <w:tr w14:paraId="512F7A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56" w:type="pct"/>
            <w:vMerge w:val="continue"/>
            <w:tcBorders>
              <w:top w:val="nil"/>
              <w:left w:val="single" w:color="000000" w:sz="8" w:space="0"/>
              <w:bottom w:val="single" w:color="000000" w:sz="8" w:space="0"/>
              <w:right w:val="single" w:color="000000" w:sz="8" w:space="0"/>
            </w:tcBorders>
            <w:shd w:val="clear" w:color="auto" w:fill="auto"/>
            <w:vAlign w:val="center"/>
          </w:tcPr>
          <w:p w14:paraId="50E873B2">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i w:val="0"/>
                <w:iCs w:val="0"/>
                <w:color w:val="000000"/>
                <w:sz w:val="21"/>
                <w:szCs w:val="21"/>
                <w:u w:val="none"/>
              </w:rPr>
            </w:pPr>
          </w:p>
        </w:tc>
        <w:tc>
          <w:tcPr>
            <w:tcW w:w="356" w:type="pct"/>
            <w:vMerge w:val="continue"/>
            <w:tcBorders>
              <w:top w:val="nil"/>
              <w:left w:val="nil"/>
              <w:bottom w:val="single" w:color="000000" w:sz="8" w:space="0"/>
              <w:right w:val="single" w:color="000000" w:sz="8" w:space="0"/>
            </w:tcBorders>
            <w:shd w:val="clear" w:color="auto" w:fill="auto"/>
            <w:vAlign w:val="center"/>
          </w:tcPr>
          <w:p w14:paraId="254ECA58">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6" w:type="pct"/>
            <w:vMerge w:val="continue"/>
            <w:tcBorders>
              <w:top w:val="nil"/>
              <w:left w:val="nil"/>
              <w:bottom w:val="nil"/>
              <w:right w:val="single" w:color="000000" w:sz="8" w:space="0"/>
            </w:tcBorders>
            <w:shd w:val="clear" w:color="auto" w:fill="auto"/>
            <w:vAlign w:val="center"/>
          </w:tcPr>
          <w:p w14:paraId="6AADA89F">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4120304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商品林</w:t>
            </w:r>
          </w:p>
        </w:tc>
        <w:tc>
          <w:tcPr>
            <w:tcW w:w="357" w:type="pct"/>
            <w:tcBorders>
              <w:top w:val="nil"/>
              <w:left w:val="nil"/>
              <w:bottom w:val="single" w:color="000000" w:sz="8" w:space="0"/>
              <w:right w:val="single" w:color="000000" w:sz="8" w:space="0"/>
            </w:tcBorders>
            <w:shd w:val="clear" w:color="auto" w:fill="auto"/>
            <w:vAlign w:val="center"/>
          </w:tcPr>
          <w:p w14:paraId="63923F0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59522D3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3E88B55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2F89EFC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1DC3B21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683D1818">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0E2A158C">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326FCC58">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50D8B25F">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28562118">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r>
      <w:tr w14:paraId="745C4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56" w:type="pct"/>
            <w:vMerge w:val="continue"/>
            <w:tcBorders>
              <w:top w:val="nil"/>
              <w:left w:val="single" w:color="000000" w:sz="8" w:space="0"/>
              <w:bottom w:val="single" w:color="000000" w:sz="8" w:space="0"/>
              <w:right w:val="single" w:color="000000" w:sz="8" w:space="0"/>
            </w:tcBorders>
            <w:shd w:val="clear" w:color="auto" w:fill="auto"/>
            <w:vAlign w:val="center"/>
          </w:tcPr>
          <w:p w14:paraId="0216E340">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i w:val="0"/>
                <w:iCs w:val="0"/>
                <w:color w:val="000000"/>
                <w:sz w:val="21"/>
                <w:szCs w:val="21"/>
                <w:u w:val="none"/>
              </w:rPr>
            </w:pPr>
          </w:p>
        </w:tc>
        <w:tc>
          <w:tcPr>
            <w:tcW w:w="356" w:type="pct"/>
            <w:vMerge w:val="continue"/>
            <w:tcBorders>
              <w:top w:val="nil"/>
              <w:left w:val="nil"/>
              <w:bottom w:val="single" w:color="000000" w:sz="8" w:space="0"/>
              <w:right w:val="single" w:color="000000" w:sz="8" w:space="0"/>
            </w:tcBorders>
            <w:shd w:val="clear" w:color="auto" w:fill="auto"/>
            <w:vAlign w:val="center"/>
          </w:tcPr>
          <w:p w14:paraId="2CF11FB2">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6" w:type="pct"/>
            <w:vMerge w:val="restart"/>
            <w:tcBorders>
              <w:top w:val="single" w:color="000000" w:sz="8" w:space="0"/>
              <w:left w:val="nil"/>
              <w:bottom w:val="single" w:color="000000" w:sz="8" w:space="0"/>
              <w:right w:val="single" w:color="000000" w:sz="8" w:space="0"/>
            </w:tcBorders>
            <w:shd w:val="clear" w:color="auto" w:fill="auto"/>
            <w:vAlign w:val="center"/>
          </w:tcPr>
          <w:p w14:paraId="5199C83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国有</w:t>
            </w:r>
          </w:p>
        </w:tc>
        <w:tc>
          <w:tcPr>
            <w:tcW w:w="357" w:type="pct"/>
            <w:tcBorders>
              <w:top w:val="nil"/>
              <w:left w:val="nil"/>
              <w:bottom w:val="single" w:color="000000" w:sz="8" w:space="0"/>
              <w:right w:val="single" w:color="000000" w:sz="8" w:space="0"/>
            </w:tcBorders>
            <w:shd w:val="clear" w:color="auto" w:fill="auto"/>
            <w:vAlign w:val="center"/>
          </w:tcPr>
          <w:p w14:paraId="2B2B37A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小计</w:t>
            </w:r>
          </w:p>
        </w:tc>
        <w:tc>
          <w:tcPr>
            <w:tcW w:w="357" w:type="pct"/>
            <w:tcBorders>
              <w:top w:val="nil"/>
              <w:left w:val="nil"/>
              <w:bottom w:val="single" w:color="000000" w:sz="8" w:space="0"/>
              <w:right w:val="single" w:color="000000" w:sz="8" w:space="0"/>
            </w:tcBorders>
            <w:shd w:val="clear" w:color="auto" w:fill="auto"/>
            <w:vAlign w:val="center"/>
          </w:tcPr>
          <w:p w14:paraId="3A3FCBD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11043.41</w:t>
            </w:r>
          </w:p>
        </w:tc>
        <w:tc>
          <w:tcPr>
            <w:tcW w:w="357" w:type="pct"/>
            <w:tcBorders>
              <w:top w:val="nil"/>
              <w:left w:val="nil"/>
              <w:bottom w:val="single" w:color="000000" w:sz="8" w:space="0"/>
              <w:right w:val="single" w:color="000000" w:sz="8" w:space="0"/>
            </w:tcBorders>
            <w:shd w:val="clear" w:color="auto" w:fill="auto"/>
            <w:vAlign w:val="center"/>
          </w:tcPr>
          <w:p w14:paraId="10A43EE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6976.36</w:t>
            </w:r>
          </w:p>
        </w:tc>
        <w:tc>
          <w:tcPr>
            <w:tcW w:w="357" w:type="pct"/>
            <w:tcBorders>
              <w:top w:val="nil"/>
              <w:left w:val="nil"/>
              <w:bottom w:val="single" w:color="000000" w:sz="8" w:space="0"/>
              <w:right w:val="single" w:color="000000" w:sz="8" w:space="0"/>
            </w:tcBorders>
            <w:shd w:val="clear" w:color="auto" w:fill="auto"/>
            <w:vAlign w:val="center"/>
          </w:tcPr>
          <w:p w14:paraId="1C71E0E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3929</w:t>
            </w:r>
          </w:p>
        </w:tc>
        <w:tc>
          <w:tcPr>
            <w:tcW w:w="357" w:type="pct"/>
            <w:tcBorders>
              <w:top w:val="nil"/>
              <w:left w:val="nil"/>
              <w:bottom w:val="single" w:color="000000" w:sz="8" w:space="0"/>
              <w:right w:val="single" w:color="000000" w:sz="8" w:space="0"/>
            </w:tcBorders>
            <w:shd w:val="clear" w:color="auto" w:fill="auto"/>
            <w:vAlign w:val="center"/>
          </w:tcPr>
          <w:p w14:paraId="3080A64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131.66</w:t>
            </w:r>
          </w:p>
        </w:tc>
        <w:tc>
          <w:tcPr>
            <w:tcW w:w="357" w:type="pct"/>
            <w:tcBorders>
              <w:top w:val="nil"/>
              <w:left w:val="nil"/>
              <w:bottom w:val="single" w:color="000000" w:sz="8" w:space="0"/>
              <w:right w:val="single" w:color="000000" w:sz="8" w:space="0"/>
            </w:tcBorders>
            <w:shd w:val="clear" w:color="auto" w:fill="auto"/>
            <w:vAlign w:val="center"/>
          </w:tcPr>
          <w:p w14:paraId="5EE2BD1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6.39</w:t>
            </w:r>
          </w:p>
        </w:tc>
        <w:tc>
          <w:tcPr>
            <w:tcW w:w="357" w:type="pct"/>
            <w:tcBorders>
              <w:top w:val="nil"/>
              <w:left w:val="nil"/>
              <w:bottom w:val="single" w:color="000000" w:sz="8" w:space="0"/>
              <w:right w:val="single" w:color="000000" w:sz="8" w:space="0"/>
            </w:tcBorders>
            <w:shd w:val="clear" w:color="auto" w:fill="auto"/>
            <w:vAlign w:val="center"/>
          </w:tcPr>
          <w:p w14:paraId="7FA8D234">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31CB001D">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7BB2DCC9">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4B0C1996">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20F9B92B">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r>
      <w:tr w14:paraId="0574AC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56" w:type="pct"/>
            <w:vMerge w:val="continue"/>
            <w:tcBorders>
              <w:top w:val="nil"/>
              <w:left w:val="single" w:color="000000" w:sz="8" w:space="0"/>
              <w:bottom w:val="single" w:color="000000" w:sz="8" w:space="0"/>
              <w:right w:val="single" w:color="000000" w:sz="8" w:space="0"/>
            </w:tcBorders>
            <w:shd w:val="clear" w:color="auto" w:fill="auto"/>
            <w:vAlign w:val="center"/>
          </w:tcPr>
          <w:p w14:paraId="6FEC0ADF">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i w:val="0"/>
                <w:iCs w:val="0"/>
                <w:color w:val="000000"/>
                <w:sz w:val="21"/>
                <w:szCs w:val="21"/>
                <w:u w:val="none"/>
              </w:rPr>
            </w:pPr>
          </w:p>
        </w:tc>
        <w:tc>
          <w:tcPr>
            <w:tcW w:w="356" w:type="pct"/>
            <w:vMerge w:val="continue"/>
            <w:tcBorders>
              <w:top w:val="nil"/>
              <w:left w:val="nil"/>
              <w:bottom w:val="single" w:color="000000" w:sz="8" w:space="0"/>
              <w:right w:val="single" w:color="000000" w:sz="8" w:space="0"/>
            </w:tcBorders>
            <w:shd w:val="clear" w:color="auto" w:fill="auto"/>
            <w:vAlign w:val="center"/>
          </w:tcPr>
          <w:p w14:paraId="13946551">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6" w:type="pct"/>
            <w:vMerge w:val="continue"/>
            <w:tcBorders>
              <w:top w:val="single" w:color="000000" w:sz="8" w:space="0"/>
              <w:left w:val="nil"/>
              <w:bottom w:val="single" w:color="000000" w:sz="8" w:space="0"/>
              <w:right w:val="single" w:color="000000" w:sz="8" w:space="0"/>
            </w:tcBorders>
            <w:shd w:val="clear" w:color="auto" w:fill="auto"/>
            <w:vAlign w:val="center"/>
          </w:tcPr>
          <w:p w14:paraId="289F22E7">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4ED71E8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公益林</w:t>
            </w:r>
          </w:p>
        </w:tc>
        <w:tc>
          <w:tcPr>
            <w:tcW w:w="357" w:type="pct"/>
            <w:tcBorders>
              <w:top w:val="nil"/>
              <w:left w:val="nil"/>
              <w:bottom w:val="single" w:color="000000" w:sz="8" w:space="0"/>
              <w:right w:val="single" w:color="000000" w:sz="8" w:space="0"/>
            </w:tcBorders>
            <w:shd w:val="clear" w:color="auto" w:fill="auto"/>
            <w:vAlign w:val="center"/>
          </w:tcPr>
          <w:p w14:paraId="1C50ED3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11043.41</w:t>
            </w:r>
          </w:p>
        </w:tc>
        <w:tc>
          <w:tcPr>
            <w:tcW w:w="357" w:type="pct"/>
            <w:tcBorders>
              <w:top w:val="nil"/>
              <w:left w:val="nil"/>
              <w:bottom w:val="single" w:color="000000" w:sz="8" w:space="0"/>
              <w:right w:val="single" w:color="000000" w:sz="8" w:space="0"/>
            </w:tcBorders>
            <w:shd w:val="clear" w:color="auto" w:fill="auto"/>
            <w:vAlign w:val="center"/>
          </w:tcPr>
          <w:p w14:paraId="50AFAE3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snapToGrid w:val="0"/>
                <w:color w:val="000000"/>
                <w:sz w:val="21"/>
                <w:szCs w:val="21"/>
                <w:u w:val="none"/>
                <w:lang w:val="en-US" w:eastAsia="en-US" w:bidi="ar-SA"/>
              </w:rPr>
            </w:pPr>
            <w:r>
              <w:rPr>
                <w:rFonts w:hint="default" w:ascii="Times New Roman" w:hAnsi="Times New Roman" w:eastAsia="宋体" w:cs="Times New Roman"/>
                <w:i w:val="0"/>
                <w:iCs w:val="0"/>
                <w:snapToGrid w:val="0"/>
                <w:color w:val="000000"/>
                <w:kern w:val="0"/>
                <w:sz w:val="21"/>
                <w:szCs w:val="21"/>
                <w:u w:val="none"/>
                <w:lang w:val="en-US" w:eastAsia="zh-CN" w:bidi="ar"/>
              </w:rPr>
              <w:t>6976.36</w:t>
            </w:r>
          </w:p>
        </w:tc>
        <w:tc>
          <w:tcPr>
            <w:tcW w:w="357" w:type="pct"/>
            <w:tcBorders>
              <w:top w:val="nil"/>
              <w:left w:val="nil"/>
              <w:bottom w:val="single" w:color="000000" w:sz="8" w:space="0"/>
              <w:right w:val="single" w:color="000000" w:sz="8" w:space="0"/>
            </w:tcBorders>
            <w:shd w:val="clear" w:color="auto" w:fill="auto"/>
            <w:vAlign w:val="center"/>
          </w:tcPr>
          <w:p w14:paraId="625CFC0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3929</w:t>
            </w:r>
          </w:p>
        </w:tc>
        <w:tc>
          <w:tcPr>
            <w:tcW w:w="357" w:type="pct"/>
            <w:tcBorders>
              <w:top w:val="nil"/>
              <w:left w:val="nil"/>
              <w:bottom w:val="single" w:color="000000" w:sz="8" w:space="0"/>
              <w:right w:val="single" w:color="000000" w:sz="8" w:space="0"/>
            </w:tcBorders>
            <w:shd w:val="clear" w:color="auto" w:fill="auto"/>
            <w:vAlign w:val="center"/>
          </w:tcPr>
          <w:p w14:paraId="71216E1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131.66</w:t>
            </w:r>
          </w:p>
        </w:tc>
        <w:tc>
          <w:tcPr>
            <w:tcW w:w="357" w:type="pct"/>
            <w:tcBorders>
              <w:top w:val="nil"/>
              <w:left w:val="nil"/>
              <w:bottom w:val="single" w:color="000000" w:sz="8" w:space="0"/>
              <w:right w:val="single" w:color="000000" w:sz="8" w:space="0"/>
            </w:tcBorders>
            <w:shd w:val="clear" w:color="auto" w:fill="auto"/>
            <w:vAlign w:val="center"/>
          </w:tcPr>
          <w:p w14:paraId="76F2BA4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6.39</w:t>
            </w:r>
          </w:p>
        </w:tc>
        <w:tc>
          <w:tcPr>
            <w:tcW w:w="357" w:type="pct"/>
            <w:tcBorders>
              <w:top w:val="nil"/>
              <w:left w:val="nil"/>
              <w:bottom w:val="single" w:color="000000" w:sz="8" w:space="0"/>
              <w:right w:val="single" w:color="000000" w:sz="8" w:space="0"/>
            </w:tcBorders>
            <w:shd w:val="clear" w:color="auto" w:fill="auto"/>
            <w:vAlign w:val="center"/>
          </w:tcPr>
          <w:p w14:paraId="4E4BD176">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567E4857">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6F7012E5">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0432C473">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3913D598">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r>
      <w:tr w14:paraId="588B27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56" w:type="pct"/>
            <w:vMerge w:val="continue"/>
            <w:tcBorders>
              <w:top w:val="nil"/>
              <w:left w:val="single" w:color="000000" w:sz="8" w:space="0"/>
              <w:bottom w:val="single" w:color="000000" w:sz="8" w:space="0"/>
              <w:right w:val="single" w:color="000000" w:sz="8" w:space="0"/>
            </w:tcBorders>
            <w:shd w:val="clear" w:color="auto" w:fill="auto"/>
            <w:vAlign w:val="center"/>
          </w:tcPr>
          <w:p w14:paraId="1B3EFD5E">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i w:val="0"/>
                <w:iCs w:val="0"/>
                <w:color w:val="000000"/>
                <w:sz w:val="21"/>
                <w:szCs w:val="21"/>
                <w:u w:val="none"/>
              </w:rPr>
            </w:pPr>
          </w:p>
        </w:tc>
        <w:tc>
          <w:tcPr>
            <w:tcW w:w="356" w:type="pct"/>
            <w:vMerge w:val="continue"/>
            <w:tcBorders>
              <w:top w:val="nil"/>
              <w:left w:val="nil"/>
              <w:bottom w:val="single" w:color="000000" w:sz="8" w:space="0"/>
              <w:right w:val="single" w:color="000000" w:sz="8" w:space="0"/>
            </w:tcBorders>
            <w:shd w:val="clear" w:color="auto" w:fill="auto"/>
            <w:vAlign w:val="center"/>
          </w:tcPr>
          <w:p w14:paraId="594F17B3">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6" w:type="pct"/>
            <w:vMerge w:val="continue"/>
            <w:tcBorders>
              <w:top w:val="single" w:color="000000" w:sz="8" w:space="0"/>
              <w:left w:val="nil"/>
              <w:bottom w:val="single" w:color="000000" w:sz="8" w:space="0"/>
              <w:right w:val="single" w:color="000000" w:sz="8" w:space="0"/>
            </w:tcBorders>
            <w:shd w:val="clear" w:color="auto" w:fill="auto"/>
            <w:vAlign w:val="center"/>
          </w:tcPr>
          <w:p w14:paraId="250DAFE6">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250F0A6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商品林</w:t>
            </w:r>
          </w:p>
        </w:tc>
        <w:tc>
          <w:tcPr>
            <w:tcW w:w="357" w:type="pct"/>
            <w:tcBorders>
              <w:top w:val="nil"/>
              <w:left w:val="nil"/>
              <w:bottom w:val="single" w:color="000000" w:sz="8" w:space="0"/>
              <w:right w:val="single" w:color="000000" w:sz="8" w:space="0"/>
            </w:tcBorders>
            <w:shd w:val="clear" w:color="auto" w:fill="auto"/>
            <w:vAlign w:val="center"/>
          </w:tcPr>
          <w:p w14:paraId="62E5211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681CA68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549059F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4268C58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45CBDB2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6CBBC46E">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747A2486">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51B6DEC2">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2CD32D52">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57" w:type="pct"/>
            <w:tcBorders>
              <w:top w:val="nil"/>
              <w:left w:val="nil"/>
              <w:bottom w:val="single" w:color="000000" w:sz="8" w:space="0"/>
              <w:right w:val="single" w:color="000000" w:sz="8" w:space="0"/>
            </w:tcBorders>
            <w:shd w:val="clear" w:color="auto" w:fill="auto"/>
            <w:vAlign w:val="center"/>
          </w:tcPr>
          <w:p w14:paraId="06264BB0">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r>
    </w:tbl>
    <w:p w14:paraId="7B562BBB">
      <w:pPr>
        <w:pStyle w:val="7"/>
        <w:spacing w:line="240" w:lineRule="auto"/>
        <w:ind w:firstLine="0" w:firstLineChars="0"/>
        <w:jc w:val="right"/>
        <w:rPr>
          <w:rFonts w:cs="Times New Roman"/>
          <w:bCs/>
          <w:sz w:val="21"/>
          <w:lang w:eastAsia="zh-CN"/>
        </w:rPr>
      </w:pPr>
    </w:p>
    <w:p w14:paraId="2D415A61">
      <w:pPr>
        <w:ind w:firstLine="480"/>
        <w:rPr>
          <w:rFonts w:cs="Times New Roman"/>
        </w:rPr>
      </w:pPr>
      <w:r>
        <w:rPr>
          <w:rFonts w:cs="Times New Roman"/>
        </w:rPr>
        <w:br w:type="page"/>
      </w:r>
    </w:p>
    <w:p w14:paraId="3F3515FA">
      <w:pPr>
        <w:pStyle w:val="7"/>
        <w:ind w:firstLine="480"/>
        <w:rPr>
          <w:rFonts w:cs="Times New Roman"/>
        </w:rPr>
      </w:pPr>
    </w:p>
    <w:p w14:paraId="7298F062">
      <w:pPr>
        <w:pStyle w:val="7"/>
        <w:spacing w:line="240" w:lineRule="auto"/>
        <w:ind w:firstLine="0" w:firstLineChars="0"/>
        <w:jc w:val="center"/>
        <w:rPr>
          <w:rFonts w:eastAsia="黑体" w:cs="Times New Roman"/>
          <w:b/>
          <w:szCs w:val="24"/>
          <w:lang w:eastAsia="zh-CN"/>
        </w:rPr>
      </w:pPr>
      <w:r>
        <w:rPr>
          <w:rFonts w:hint="eastAsia" w:eastAsia="黑体" w:cs="Times New Roman"/>
          <w:b/>
          <w:szCs w:val="24"/>
          <w:lang w:eastAsia="zh-CN"/>
        </w:rPr>
        <w:t>附表2乔木林各龄组面积蓄积按优势树种和起源统计表</w:t>
      </w:r>
    </w:p>
    <w:p w14:paraId="704AD443">
      <w:pPr>
        <w:spacing w:before="98" w:line="240" w:lineRule="auto"/>
        <w:ind w:firstLine="0" w:firstLineChars="0"/>
        <w:jc w:val="right"/>
        <w:rPr>
          <w:rFonts w:cs="Times New Roman"/>
          <w:sz w:val="21"/>
        </w:rPr>
      </w:pPr>
      <w:r>
        <w:rPr>
          <w:rFonts w:hint="eastAsia" w:cs="Times New Roman"/>
          <w:sz w:val="21"/>
        </w:rPr>
        <w:t>单位：hm</w:t>
      </w:r>
      <w:r>
        <w:rPr>
          <w:rFonts w:hint="eastAsia" w:cs="Times New Roman"/>
          <w:sz w:val="21"/>
          <w:vertAlign w:val="superscript"/>
        </w:rPr>
        <w:t>2</w:t>
      </w:r>
      <w:r>
        <w:rPr>
          <w:rFonts w:hint="eastAsia" w:cs="Times New Roman"/>
          <w:sz w:val="21"/>
        </w:rPr>
        <w:t>、m</w:t>
      </w:r>
      <w:r>
        <w:rPr>
          <w:rFonts w:hint="eastAsia" w:cs="Times New Roman"/>
          <w:sz w:val="21"/>
          <w:vertAlign w:val="superscript"/>
        </w:rPr>
        <w:t>3</w:t>
      </w:r>
    </w:p>
    <w:tbl>
      <w:tblPr>
        <w:tblStyle w:val="17"/>
        <w:tblW w:w="5000" w:type="pct"/>
        <w:jc w:val="center"/>
        <w:tblLayout w:type="autofit"/>
        <w:tblCellMar>
          <w:top w:w="0" w:type="dxa"/>
          <w:left w:w="108" w:type="dxa"/>
          <w:bottom w:w="0" w:type="dxa"/>
          <w:right w:w="108" w:type="dxa"/>
        </w:tblCellMar>
      </w:tblPr>
      <w:tblGrid>
        <w:gridCol w:w="913"/>
        <w:gridCol w:w="919"/>
        <w:gridCol w:w="995"/>
        <w:gridCol w:w="1131"/>
        <w:gridCol w:w="976"/>
        <w:gridCol w:w="995"/>
        <w:gridCol w:w="995"/>
        <w:gridCol w:w="1131"/>
        <w:gridCol w:w="995"/>
        <w:gridCol w:w="1131"/>
        <w:gridCol w:w="976"/>
        <w:gridCol w:w="1024"/>
        <w:gridCol w:w="976"/>
        <w:gridCol w:w="1022"/>
      </w:tblGrid>
      <w:tr w14:paraId="3A25FCF4">
        <w:tblPrEx>
          <w:tblCellMar>
            <w:top w:w="0" w:type="dxa"/>
            <w:left w:w="108" w:type="dxa"/>
            <w:bottom w:w="0" w:type="dxa"/>
            <w:right w:w="108" w:type="dxa"/>
          </w:tblCellMar>
        </w:tblPrEx>
        <w:trPr>
          <w:trHeight w:val="295" w:hRule="atLeast"/>
          <w:jc w:val="center"/>
        </w:trPr>
        <w:tc>
          <w:tcPr>
            <w:tcW w:w="322" w:type="pct"/>
            <w:vMerge w:val="restart"/>
            <w:tcBorders>
              <w:top w:val="single" w:color="000000" w:sz="8" w:space="0"/>
              <w:left w:val="single" w:color="000000" w:sz="8" w:space="0"/>
              <w:right w:val="single" w:color="000000" w:sz="8" w:space="0"/>
            </w:tcBorders>
            <w:shd w:val="clear" w:color="auto" w:fill="auto"/>
            <w:vAlign w:val="center"/>
          </w:tcPr>
          <w:p w14:paraId="01BE0781">
            <w:pPr>
              <w:spacing w:line="240" w:lineRule="auto"/>
              <w:ind w:firstLine="0" w:firstLineChars="0"/>
              <w:jc w:val="center"/>
              <w:textAlignment w:val="center"/>
              <w:rPr>
                <w:rFonts w:cs="宋体"/>
                <w:sz w:val="21"/>
              </w:rPr>
            </w:pPr>
            <w:r>
              <w:rPr>
                <w:rFonts w:hint="eastAsia" w:cs="宋体"/>
                <w:sz w:val="21"/>
                <w:lang w:eastAsia="zh-CN" w:bidi="ar"/>
              </w:rPr>
              <w:t>起源</w:t>
            </w:r>
          </w:p>
        </w:tc>
        <w:tc>
          <w:tcPr>
            <w:tcW w:w="324" w:type="pct"/>
            <w:vMerge w:val="restart"/>
            <w:tcBorders>
              <w:top w:val="single" w:color="000000" w:sz="8" w:space="0"/>
              <w:left w:val="single" w:color="000000" w:sz="8" w:space="0"/>
              <w:bottom w:val="nil"/>
              <w:right w:val="single" w:color="000000" w:sz="8" w:space="0"/>
            </w:tcBorders>
            <w:shd w:val="clear" w:color="auto" w:fill="auto"/>
            <w:vAlign w:val="center"/>
          </w:tcPr>
          <w:p w14:paraId="72328866">
            <w:pPr>
              <w:spacing w:line="240" w:lineRule="auto"/>
              <w:ind w:firstLine="0" w:firstLineChars="0"/>
              <w:jc w:val="center"/>
              <w:textAlignment w:val="center"/>
              <w:rPr>
                <w:rFonts w:cs="宋体"/>
                <w:sz w:val="21"/>
              </w:rPr>
            </w:pPr>
            <w:r>
              <w:rPr>
                <w:rFonts w:hint="eastAsia" w:cs="宋体"/>
                <w:sz w:val="21"/>
                <w:lang w:eastAsia="zh-CN" w:bidi="ar"/>
              </w:rPr>
              <w:t>优势树种(组)</w:t>
            </w:r>
          </w:p>
        </w:tc>
        <w:tc>
          <w:tcPr>
            <w:tcW w:w="750" w:type="pct"/>
            <w:gridSpan w:val="2"/>
            <w:tcBorders>
              <w:top w:val="single" w:color="000000" w:sz="8" w:space="0"/>
              <w:left w:val="nil"/>
              <w:bottom w:val="single" w:color="000000" w:sz="8" w:space="0"/>
              <w:right w:val="single" w:color="000000" w:sz="8" w:space="0"/>
            </w:tcBorders>
            <w:shd w:val="clear" w:color="auto" w:fill="auto"/>
            <w:vAlign w:val="center"/>
          </w:tcPr>
          <w:p w14:paraId="17A7952A">
            <w:pPr>
              <w:spacing w:line="240" w:lineRule="auto"/>
              <w:ind w:firstLine="0" w:firstLineChars="0"/>
              <w:jc w:val="center"/>
              <w:textAlignment w:val="center"/>
              <w:rPr>
                <w:rFonts w:cs="宋体"/>
                <w:sz w:val="21"/>
              </w:rPr>
            </w:pPr>
            <w:r>
              <w:rPr>
                <w:rFonts w:hint="eastAsia" w:cs="宋体"/>
                <w:sz w:val="21"/>
                <w:lang w:eastAsia="zh-CN" w:bidi="ar"/>
              </w:rPr>
              <w:t>合计</w:t>
            </w:r>
          </w:p>
        </w:tc>
        <w:tc>
          <w:tcPr>
            <w:tcW w:w="695" w:type="pct"/>
            <w:gridSpan w:val="2"/>
            <w:tcBorders>
              <w:top w:val="single" w:color="000000" w:sz="8" w:space="0"/>
              <w:left w:val="nil"/>
              <w:bottom w:val="single" w:color="000000" w:sz="8" w:space="0"/>
              <w:right w:val="single" w:color="000000" w:sz="8" w:space="0"/>
            </w:tcBorders>
            <w:shd w:val="clear" w:color="auto" w:fill="auto"/>
            <w:vAlign w:val="center"/>
          </w:tcPr>
          <w:p w14:paraId="13122A3A">
            <w:pPr>
              <w:spacing w:line="240" w:lineRule="auto"/>
              <w:ind w:firstLine="0" w:firstLineChars="0"/>
              <w:jc w:val="center"/>
              <w:textAlignment w:val="center"/>
              <w:rPr>
                <w:rFonts w:cs="宋体"/>
                <w:sz w:val="21"/>
              </w:rPr>
            </w:pPr>
            <w:r>
              <w:rPr>
                <w:rFonts w:hint="eastAsia" w:cs="宋体"/>
                <w:sz w:val="21"/>
                <w:lang w:eastAsia="zh-CN" w:bidi="ar"/>
              </w:rPr>
              <w:t>幼龄林</w:t>
            </w:r>
          </w:p>
        </w:tc>
        <w:tc>
          <w:tcPr>
            <w:tcW w:w="750" w:type="pct"/>
            <w:gridSpan w:val="2"/>
            <w:tcBorders>
              <w:top w:val="single" w:color="000000" w:sz="8" w:space="0"/>
              <w:left w:val="nil"/>
              <w:bottom w:val="single" w:color="000000" w:sz="8" w:space="0"/>
              <w:right w:val="single" w:color="000000" w:sz="8" w:space="0"/>
            </w:tcBorders>
            <w:shd w:val="clear" w:color="auto" w:fill="auto"/>
            <w:vAlign w:val="center"/>
          </w:tcPr>
          <w:p w14:paraId="3AEAAEDD">
            <w:pPr>
              <w:spacing w:line="240" w:lineRule="auto"/>
              <w:ind w:firstLine="0" w:firstLineChars="0"/>
              <w:jc w:val="center"/>
              <w:textAlignment w:val="center"/>
              <w:rPr>
                <w:rFonts w:cs="宋体"/>
                <w:sz w:val="21"/>
              </w:rPr>
            </w:pPr>
            <w:r>
              <w:rPr>
                <w:rFonts w:hint="eastAsia" w:cs="宋体"/>
                <w:sz w:val="21"/>
                <w:lang w:eastAsia="zh-CN" w:bidi="ar"/>
              </w:rPr>
              <w:t>中龄林</w:t>
            </w:r>
          </w:p>
        </w:tc>
        <w:tc>
          <w:tcPr>
            <w:tcW w:w="750" w:type="pct"/>
            <w:gridSpan w:val="2"/>
            <w:tcBorders>
              <w:top w:val="single" w:color="000000" w:sz="8" w:space="0"/>
              <w:left w:val="nil"/>
              <w:bottom w:val="single" w:color="000000" w:sz="8" w:space="0"/>
              <w:right w:val="single" w:color="000000" w:sz="8" w:space="0"/>
            </w:tcBorders>
            <w:shd w:val="clear" w:color="auto" w:fill="auto"/>
            <w:vAlign w:val="center"/>
          </w:tcPr>
          <w:p w14:paraId="58432C2D">
            <w:pPr>
              <w:spacing w:line="240" w:lineRule="auto"/>
              <w:ind w:firstLine="0" w:firstLineChars="0"/>
              <w:jc w:val="center"/>
              <w:textAlignment w:val="center"/>
              <w:rPr>
                <w:rFonts w:cs="宋体"/>
                <w:sz w:val="21"/>
              </w:rPr>
            </w:pPr>
            <w:r>
              <w:rPr>
                <w:rFonts w:hint="eastAsia" w:cs="宋体"/>
                <w:sz w:val="21"/>
                <w:lang w:eastAsia="zh-CN" w:bidi="ar"/>
              </w:rPr>
              <w:t>近熟林</w:t>
            </w:r>
          </w:p>
        </w:tc>
        <w:tc>
          <w:tcPr>
            <w:tcW w:w="705" w:type="pct"/>
            <w:gridSpan w:val="2"/>
            <w:tcBorders>
              <w:top w:val="single" w:color="000000" w:sz="8" w:space="0"/>
              <w:left w:val="nil"/>
              <w:bottom w:val="single" w:color="000000" w:sz="8" w:space="0"/>
              <w:right w:val="single" w:color="000000" w:sz="8" w:space="0"/>
            </w:tcBorders>
            <w:shd w:val="clear" w:color="auto" w:fill="auto"/>
            <w:vAlign w:val="center"/>
          </w:tcPr>
          <w:p w14:paraId="240296A9">
            <w:pPr>
              <w:spacing w:line="240" w:lineRule="auto"/>
              <w:ind w:firstLine="0" w:firstLineChars="0"/>
              <w:jc w:val="center"/>
              <w:textAlignment w:val="center"/>
              <w:rPr>
                <w:rFonts w:cs="宋体"/>
                <w:sz w:val="21"/>
              </w:rPr>
            </w:pPr>
            <w:r>
              <w:rPr>
                <w:rFonts w:hint="eastAsia" w:cs="宋体"/>
                <w:sz w:val="21"/>
                <w:lang w:eastAsia="zh-CN" w:bidi="ar"/>
              </w:rPr>
              <w:t>成熟林</w:t>
            </w:r>
          </w:p>
        </w:tc>
        <w:tc>
          <w:tcPr>
            <w:tcW w:w="705" w:type="pct"/>
            <w:gridSpan w:val="2"/>
            <w:tcBorders>
              <w:top w:val="single" w:color="000000" w:sz="8" w:space="0"/>
              <w:left w:val="nil"/>
              <w:bottom w:val="single" w:color="000000" w:sz="8" w:space="0"/>
              <w:right w:val="single" w:color="000000" w:sz="8" w:space="0"/>
            </w:tcBorders>
            <w:shd w:val="clear" w:color="auto" w:fill="auto"/>
            <w:vAlign w:val="center"/>
          </w:tcPr>
          <w:p w14:paraId="125AA2D8">
            <w:pPr>
              <w:spacing w:line="240" w:lineRule="auto"/>
              <w:ind w:firstLine="0" w:firstLineChars="0"/>
              <w:jc w:val="center"/>
              <w:textAlignment w:val="center"/>
              <w:rPr>
                <w:rFonts w:cs="宋体"/>
                <w:sz w:val="21"/>
              </w:rPr>
            </w:pPr>
            <w:r>
              <w:rPr>
                <w:rFonts w:hint="eastAsia" w:cs="宋体"/>
                <w:sz w:val="21"/>
                <w:lang w:eastAsia="zh-CN" w:bidi="ar"/>
              </w:rPr>
              <w:t>过熟林</w:t>
            </w:r>
          </w:p>
        </w:tc>
      </w:tr>
      <w:tr w14:paraId="17347030">
        <w:tblPrEx>
          <w:tblCellMar>
            <w:top w:w="0" w:type="dxa"/>
            <w:left w:w="108" w:type="dxa"/>
            <w:bottom w:w="0" w:type="dxa"/>
            <w:right w:w="108" w:type="dxa"/>
          </w:tblCellMar>
        </w:tblPrEx>
        <w:trPr>
          <w:trHeight w:val="300" w:hRule="atLeast"/>
          <w:jc w:val="center"/>
        </w:trPr>
        <w:tc>
          <w:tcPr>
            <w:tcW w:w="322" w:type="pct"/>
            <w:vMerge w:val="continue"/>
            <w:tcBorders>
              <w:left w:val="single" w:color="000000" w:sz="8" w:space="0"/>
              <w:bottom w:val="single" w:color="000000" w:sz="8" w:space="0"/>
              <w:right w:val="single" w:color="000000" w:sz="8" w:space="0"/>
            </w:tcBorders>
            <w:shd w:val="clear" w:color="auto" w:fill="auto"/>
            <w:vAlign w:val="center"/>
          </w:tcPr>
          <w:p w14:paraId="5E65F73A">
            <w:pPr>
              <w:spacing w:line="240" w:lineRule="auto"/>
              <w:ind w:firstLine="0" w:firstLineChars="0"/>
              <w:jc w:val="center"/>
              <w:textAlignment w:val="center"/>
              <w:rPr>
                <w:rFonts w:cs="宋体"/>
                <w:sz w:val="21"/>
              </w:rPr>
            </w:pPr>
          </w:p>
        </w:tc>
        <w:tc>
          <w:tcPr>
            <w:tcW w:w="324" w:type="pct"/>
            <w:vMerge w:val="continue"/>
            <w:tcBorders>
              <w:top w:val="single" w:color="000000" w:sz="8" w:space="0"/>
              <w:left w:val="single" w:color="000000" w:sz="8" w:space="0"/>
              <w:bottom w:val="nil"/>
              <w:right w:val="single" w:color="000000" w:sz="8" w:space="0"/>
            </w:tcBorders>
            <w:shd w:val="clear" w:color="auto" w:fill="auto"/>
            <w:vAlign w:val="center"/>
          </w:tcPr>
          <w:p w14:paraId="08CA5D11">
            <w:pPr>
              <w:spacing w:line="240" w:lineRule="auto"/>
              <w:ind w:firstLine="0" w:firstLineChars="0"/>
              <w:jc w:val="center"/>
              <w:rPr>
                <w:rFonts w:cs="宋体"/>
                <w:sz w:val="21"/>
              </w:rPr>
            </w:pPr>
          </w:p>
        </w:tc>
        <w:tc>
          <w:tcPr>
            <w:tcW w:w="351" w:type="pct"/>
            <w:tcBorders>
              <w:top w:val="nil"/>
              <w:left w:val="nil"/>
              <w:bottom w:val="single" w:color="000000" w:sz="8" w:space="0"/>
              <w:right w:val="single" w:color="000000" w:sz="8" w:space="0"/>
            </w:tcBorders>
            <w:shd w:val="clear" w:color="auto" w:fill="auto"/>
            <w:vAlign w:val="center"/>
          </w:tcPr>
          <w:p w14:paraId="5661055B">
            <w:pPr>
              <w:spacing w:line="240" w:lineRule="auto"/>
              <w:ind w:firstLine="0" w:firstLineChars="0"/>
              <w:jc w:val="center"/>
              <w:textAlignment w:val="center"/>
              <w:rPr>
                <w:rFonts w:cs="宋体"/>
                <w:sz w:val="21"/>
              </w:rPr>
            </w:pPr>
            <w:r>
              <w:rPr>
                <w:rFonts w:hint="eastAsia" w:cs="宋体"/>
                <w:sz w:val="21"/>
                <w:lang w:eastAsia="zh-CN" w:bidi="ar"/>
              </w:rPr>
              <w:t>面积</w:t>
            </w:r>
          </w:p>
        </w:tc>
        <w:tc>
          <w:tcPr>
            <w:tcW w:w="399" w:type="pct"/>
            <w:tcBorders>
              <w:top w:val="nil"/>
              <w:left w:val="nil"/>
              <w:bottom w:val="single" w:color="000000" w:sz="8" w:space="0"/>
              <w:right w:val="single" w:color="000000" w:sz="8" w:space="0"/>
            </w:tcBorders>
            <w:shd w:val="clear" w:color="auto" w:fill="auto"/>
            <w:vAlign w:val="center"/>
          </w:tcPr>
          <w:p w14:paraId="63174607">
            <w:pPr>
              <w:spacing w:line="240" w:lineRule="auto"/>
              <w:ind w:firstLine="0" w:firstLineChars="0"/>
              <w:jc w:val="center"/>
              <w:textAlignment w:val="center"/>
              <w:rPr>
                <w:rFonts w:cs="宋体"/>
                <w:sz w:val="21"/>
              </w:rPr>
            </w:pPr>
            <w:r>
              <w:rPr>
                <w:rFonts w:hint="eastAsia" w:cs="宋体"/>
                <w:sz w:val="21"/>
                <w:lang w:eastAsia="zh-CN" w:bidi="ar"/>
              </w:rPr>
              <w:t>蓄积</w:t>
            </w:r>
          </w:p>
        </w:tc>
        <w:tc>
          <w:tcPr>
            <w:tcW w:w="344" w:type="pct"/>
            <w:tcBorders>
              <w:top w:val="nil"/>
              <w:left w:val="nil"/>
              <w:bottom w:val="single" w:color="000000" w:sz="8" w:space="0"/>
              <w:right w:val="single" w:color="000000" w:sz="8" w:space="0"/>
            </w:tcBorders>
            <w:shd w:val="clear" w:color="auto" w:fill="auto"/>
            <w:vAlign w:val="center"/>
          </w:tcPr>
          <w:p w14:paraId="0EE66FCF">
            <w:pPr>
              <w:spacing w:line="240" w:lineRule="auto"/>
              <w:ind w:firstLine="0" w:firstLineChars="0"/>
              <w:jc w:val="center"/>
              <w:textAlignment w:val="center"/>
              <w:rPr>
                <w:rFonts w:cs="宋体"/>
                <w:sz w:val="21"/>
              </w:rPr>
            </w:pPr>
            <w:r>
              <w:rPr>
                <w:rFonts w:hint="eastAsia" w:cs="宋体"/>
                <w:sz w:val="21"/>
                <w:lang w:eastAsia="zh-CN" w:bidi="ar"/>
              </w:rPr>
              <w:t>面积</w:t>
            </w:r>
          </w:p>
        </w:tc>
        <w:tc>
          <w:tcPr>
            <w:tcW w:w="351" w:type="pct"/>
            <w:tcBorders>
              <w:top w:val="nil"/>
              <w:left w:val="nil"/>
              <w:bottom w:val="single" w:color="000000" w:sz="8" w:space="0"/>
              <w:right w:val="single" w:color="000000" w:sz="8" w:space="0"/>
            </w:tcBorders>
            <w:shd w:val="clear" w:color="auto" w:fill="auto"/>
            <w:vAlign w:val="center"/>
          </w:tcPr>
          <w:p w14:paraId="395C15F1">
            <w:pPr>
              <w:spacing w:line="240" w:lineRule="auto"/>
              <w:ind w:firstLine="0" w:firstLineChars="0"/>
              <w:jc w:val="center"/>
              <w:textAlignment w:val="center"/>
              <w:rPr>
                <w:rFonts w:cs="宋体"/>
                <w:sz w:val="21"/>
              </w:rPr>
            </w:pPr>
            <w:r>
              <w:rPr>
                <w:rFonts w:hint="eastAsia" w:cs="宋体"/>
                <w:sz w:val="21"/>
                <w:lang w:eastAsia="zh-CN" w:bidi="ar"/>
              </w:rPr>
              <w:t>蓄积</w:t>
            </w:r>
          </w:p>
        </w:tc>
        <w:tc>
          <w:tcPr>
            <w:tcW w:w="351" w:type="pct"/>
            <w:tcBorders>
              <w:top w:val="nil"/>
              <w:left w:val="nil"/>
              <w:bottom w:val="single" w:color="000000" w:sz="8" w:space="0"/>
              <w:right w:val="single" w:color="000000" w:sz="8" w:space="0"/>
            </w:tcBorders>
            <w:shd w:val="clear" w:color="auto" w:fill="auto"/>
            <w:vAlign w:val="center"/>
          </w:tcPr>
          <w:p w14:paraId="1CC28BCE">
            <w:pPr>
              <w:spacing w:line="240" w:lineRule="auto"/>
              <w:ind w:firstLine="0" w:firstLineChars="0"/>
              <w:jc w:val="center"/>
              <w:textAlignment w:val="center"/>
              <w:rPr>
                <w:rFonts w:cs="宋体"/>
                <w:sz w:val="21"/>
              </w:rPr>
            </w:pPr>
            <w:r>
              <w:rPr>
                <w:rFonts w:hint="eastAsia" w:cs="宋体"/>
                <w:sz w:val="21"/>
                <w:lang w:eastAsia="zh-CN" w:bidi="ar"/>
              </w:rPr>
              <w:t>面积</w:t>
            </w:r>
          </w:p>
        </w:tc>
        <w:tc>
          <w:tcPr>
            <w:tcW w:w="399" w:type="pct"/>
            <w:tcBorders>
              <w:top w:val="nil"/>
              <w:left w:val="nil"/>
              <w:bottom w:val="single" w:color="000000" w:sz="8" w:space="0"/>
              <w:right w:val="single" w:color="000000" w:sz="8" w:space="0"/>
            </w:tcBorders>
            <w:shd w:val="clear" w:color="auto" w:fill="auto"/>
            <w:vAlign w:val="center"/>
          </w:tcPr>
          <w:p w14:paraId="6E7A1BB9">
            <w:pPr>
              <w:spacing w:line="240" w:lineRule="auto"/>
              <w:ind w:firstLine="0" w:firstLineChars="0"/>
              <w:jc w:val="center"/>
              <w:textAlignment w:val="center"/>
              <w:rPr>
                <w:rFonts w:cs="宋体"/>
                <w:sz w:val="21"/>
              </w:rPr>
            </w:pPr>
            <w:r>
              <w:rPr>
                <w:rFonts w:hint="eastAsia" w:cs="宋体"/>
                <w:sz w:val="21"/>
                <w:lang w:eastAsia="zh-CN" w:bidi="ar"/>
              </w:rPr>
              <w:t>蓄积</w:t>
            </w:r>
          </w:p>
        </w:tc>
        <w:tc>
          <w:tcPr>
            <w:tcW w:w="351" w:type="pct"/>
            <w:tcBorders>
              <w:top w:val="nil"/>
              <w:left w:val="nil"/>
              <w:bottom w:val="single" w:color="000000" w:sz="8" w:space="0"/>
              <w:right w:val="single" w:color="000000" w:sz="8" w:space="0"/>
            </w:tcBorders>
            <w:shd w:val="clear" w:color="auto" w:fill="auto"/>
            <w:vAlign w:val="center"/>
          </w:tcPr>
          <w:p w14:paraId="5D8689C2">
            <w:pPr>
              <w:spacing w:line="240" w:lineRule="auto"/>
              <w:ind w:firstLine="0" w:firstLineChars="0"/>
              <w:jc w:val="center"/>
              <w:textAlignment w:val="center"/>
              <w:rPr>
                <w:rFonts w:cs="宋体"/>
                <w:sz w:val="21"/>
              </w:rPr>
            </w:pPr>
            <w:r>
              <w:rPr>
                <w:rFonts w:hint="eastAsia" w:cs="宋体"/>
                <w:sz w:val="21"/>
                <w:lang w:eastAsia="zh-CN" w:bidi="ar"/>
              </w:rPr>
              <w:t>面积</w:t>
            </w:r>
          </w:p>
        </w:tc>
        <w:tc>
          <w:tcPr>
            <w:tcW w:w="399" w:type="pct"/>
            <w:tcBorders>
              <w:top w:val="nil"/>
              <w:left w:val="nil"/>
              <w:bottom w:val="single" w:color="000000" w:sz="8" w:space="0"/>
              <w:right w:val="single" w:color="000000" w:sz="8" w:space="0"/>
            </w:tcBorders>
            <w:shd w:val="clear" w:color="auto" w:fill="auto"/>
            <w:vAlign w:val="center"/>
          </w:tcPr>
          <w:p w14:paraId="0D5FB391">
            <w:pPr>
              <w:spacing w:line="240" w:lineRule="auto"/>
              <w:ind w:firstLine="0" w:firstLineChars="0"/>
              <w:jc w:val="center"/>
              <w:textAlignment w:val="center"/>
              <w:rPr>
                <w:rFonts w:cs="宋体"/>
                <w:sz w:val="21"/>
              </w:rPr>
            </w:pPr>
            <w:r>
              <w:rPr>
                <w:rFonts w:hint="eastAsia" w:cs="宋体"/>
                <w:sz w:val="21"/>
                <w:lang w:eastAsia="zh-CN" w:bidi="ar"/>
              </w:rPr>
              <w:t>蓄积</w:t>
            </w:r>
          </w:p>
        </w:tc>
        <w:tc>
          <w:tcPr>
            <w:tcW w:w="344" w:type="pct"/>
            <w:tcBorders>
              <w:top w:val="nil"/>
              <w:left w:val="nil"/>
              <w:bottom w:val="single" w:color="000000" w:sz="8" w:space="0"/>
              <w:right w:val="single" w:color="000000" w:sz="8" w:space="0"/>
            </w:tcBorders>
            <w:shd w:val="clear" w:color="auto" w:fill="auto"/>
            <w:vAlign w:val="center"/>
          </w:tcPr>
          <w:p w14:paraId="2B787E38">
            <w:pPr>
              <w:spacing w:line="240" w:lineRule="auto"/>
              <w:ind w:firstLine="0" w:firstLineChars="0"/>
              <w:jc w:val="center"/>
              <w:textAlignment w:val="center"/>
              <w:rPr>
                <w:rFonts w:cs="宋体"/>
                <w:sz w:val="21"/>
              </w:rPr>
            </w:pPr>
            <w:r>
              <w:rPr>
                <w:rFonts w:hint="eastAsia" w:cs="宋体"/>
                <w:sz w:val="21"/>
                <w:lang w:eastAsia="zh-CN" w:bidi="ar"/>
              </w:rPr>
              <w:t>面积</w:t>
            </w:r>
          </w:p>
        </w:tc>
        <w:tc>
          <w:tcPr>
            <w:tcW w:w="361" w:type="pct"/>
            <w:tcBorders>
              <w:top w:val="nil"/>
              <w:left w:val="nil"/>
              <w:bottom w:val="single" w:color="000000" w:sz="8" w:space="0"/>
              <w:right w:val="single" w:color="000000" w:sz="8" w:space="0"/>
            </w:tcBorders>
            <w:shd w:val="clear" w:color="auto" w:fill="auto"/>
            <w:vAlign w:val="center"/>
          </w:tcPr>
          <w:p w14:paraId="488EFB31">
            <w:pPr>
              <w:spacing w:line="240" w:lineRule="auto"/>
              <w:ind w:firstLine="0" w:firstLineChars="0"/>
              <w:jc w:val="center"/>
              <w:textAlignment w:val="center"/>
              <w:rPr>
                <w:rFonts w:cs="宋体"/>
                <w:sz w:val="21"/>
              </w:rPr>
            </w:pPr>
            <w:r>
              <w:rPr>
                <w:rFonts w:hint="eastAsia" w:cs="宋体"/>
                <w:sz w:val="21"/>
                <w:lang w:eastAsia="zh-CN" w:bidi="ar"/>
              </w:rPr>
              <w:t>蓄积</w:t>
            </w:r>
          </w:p>
        </w:tc>
        <w:tc>
          <w:tcPr>
            <w:tcW w:w="344" w:type="pct"/>
            <w:tcBorders>
              <w:top w:val="nil"/>
              <w:left w:val="nil"/>
              <w:bottom w:val="single" w:color="000000" w:sz="8" w:space="0"/>
              <w:right w:val="single" w:color="000000" w:sz="8" w:space="0"/>
            </w:tcBorders>
            <w:shd w:val="clear" w:color="auto" w:fill="auto"/>
            <w:vAlign w:val="center"/>
          </w:tcPr>
          <w:p w14:paraId="30476044">
            <w:pPr>
              <w:spacing w:line="240" w:lineRule="auto"/>
              <w:ind w:firstLine="0" w:firstLineChars="0"/>
              <w:jc w:val="center"/>
              <w:textAlignment w:val="center"/>
              <w:rPr>
                <w:rFonts w:cs="宋体"/>
                <w:sz w:val="21"/>
              </w:rPr>
            </w:pPr>
            <w:r>
              <w:rPr>
                <w:rFonts w:hint="eastAsia" w:cs="宋体"/>
                <w:sz w:val="21"/>
                <w:lang w:eastAsia="zh-CN" w:bidi="ar"/>
              </w:rPr>
              <w:t>面积</w:t>
            </w:r>
          </w:p>
        </w:tc>
        <w:tc>
          <w:tcPr>
            <w:tcW w:w="361" w:type="pct"/>
            <w:tcBorders>
              <w:top w:val="nil"/>
              <w:left w:val="nil"/>
              <w:bottom w:val="single" w:color="000000" w:sz="8" w:space="0"/>
              <w:right w:val="single" w:color="000000" w:sz="8" w:space="0"/>
            </w:tcBorders>
            <w:shd w:val="clear" w:color="auto" w:fill="auto"/>
            <w:vAlign w:val="center"/>
          </w:tcPr>
          <w:p w14:paraId="3D44E5E6">
            <w:pPr>
              <w:spacing w:line="240" w:lineRule="auto"/>
              <w:ind w:firstLine="0" w:firstLineChars="0"/>
              <w:jc w:val="center"/>
              <w:textAlignment w:val="center"/>
              <w:rPr>
                <w:rFonts w:cs="宋体"/>
                <w:sz w:val="21"/>
              </w:rPr>
            </w:pPr>
            <w:r>
              <w:rPr>
                <w:rFonts w:hint="eastAsia" w:cs="宋体"/>
                <w:sz w:val="21"/>
                <w:lang w:eastAsia="zh-CN" w:bidi="ar"/>
              </w:rPr>
              <w:t>蓄积</w:t>
            </w:r>
          </w:p>
        </w:tc>
      </w:tr>
      <w:tr w14:paraId="652D3E18">
        <w:tblPrEx>
          <w:tblCellMar>
            <w:top w:w="0" w:type="dxa"/>
            <w:left w:w="108" w:type="dxa"/>
            <w:bottom w:w="0" w:type="dxa"/>
            <w:right w:w="108" w:type="dxa"/>
          </w:tblCellMar>
        </w:tblPrEx>
        <w:trPr>
          <w:trHeight w:val="295" w:hRule="atLeast"/>
          <w:jc w:val="center"/>
        </w:trPr>
        <w:tc>
          <w:tcPr>
            <w:tcW w:w="322" w:type="pct"/>
            <w:vMerge w:val="restart"/>
            <w:tcBorders>
              <w:top w:val="nil"/>
              <w:left w:val="single" w:color="000000" w:sz="8" w:space="0"/>
              <w:bottom w:val="single" w:color="000000" w:sz="8" w:space="0"/>
              <w:right w:val="single" w:color="000000" w:sz="8" w:space="0"/>
            </w:tcBorders>
            <w:shd w:val="clear" w:color="auto" w:fill="auto"/>
            <w:vAlign w:val="center"/>
          </w:tcPr>
          <w:p w14:paraId="51C0ADCA">
            <w:pPr>
              <w:spacing w:line="240" w:lineRule="auto"/>
              <w:ind w:firstLine="0" w:firstLineChars="0"/>
              <w:jc w:val="center"/>
              <w:textAlignment w:val="center"/>
              <w:rPr>
                <w:rFonts w:cs="宋体"/>
                <w:sz w:val="21"/>
              </w:rPr>
            </w:pPr>
            <w:r>
              <w:rPr>
                <w:rFonts w:hint="eastAsia" w:cs="宋体"/>
                <w:sz w:val="21"/>
                <w:lang w:eastAsia="zh-CN" w:bidi="ar"/>
              </w:rPr>
              <w:t>天然</w:t>
            </w:r>
          </w:p>
        </w:tc>
        <w:tc>
          <w:tcPr>
            <w:tcW w:w="324" w:type="pct"/>
            <w:tcBorders>
              <w:top w:val="single" w:color="000000" w:sz="8" w:space="0"/>
              <w:left w:val="nil"/>
              <w:bottom w:val="single" w:color="000000" w:sz="8" w:space="0"/>
              <w:right w:val="single" w:color="000000" w:sz="8" w:space="0"/>
            </w:tcBorders>
            <w:shd w:val="clear" w:color="auto" w:fill="auto"/>
            <w:vAlign w:val="center"/>
          </w:tcPr>
          <w:p w14:paraId="67D7FBBE">
            <w:pPr>
              <w:spacing w:line="240" w:lineRule="auto"/>
              <w:ind w:firstLine="0" w:firstLineChars="0"/>
              <w:jc w:val="center"/>
              <w:textAlignment w:val="center"/>
              <w:rPr>
                <w:rFonts w:cs="宋体"/>
                <w:sz w:val="21"/>
              </w:rPr>
            </w:pPr>
            <w:r>
              <w:rPr>
                <w:rFonts w:hint="eastAsia" w:cs="宋体"/>
                <w:sz w:val="21"/>
                <w:lang w:eastAsia="zh-CN" w:bidi="ar"/>
              </w:rPr>
              <w:t>合计</w:t>
            </w:r>
          </w:p>
        </w:tc>
        <w:tc>
          <w:tcPr>
            <w:tcW w:w="351" w:type="pct"/>
            <w:tcBorders>
              <w:top w:val="nil"/>
              <w:left w:val="nil"/>
              <w:bottom w:val="single" w:color="000000" w:sz="8" w:space="0"/>
              <w:right w:val="single" w:color="000000" w:sz="8" w:space="0"/>
            </w:tcBorders>
            <w:shd w:val="clear" w:color="auto" w:fill="auto"/>
            <w:vAlign w:val="center"/>
          </w:tcPr>
          <w:p w14:paraId="63E18E4C">
            <w:pPr>
              <w:spacing w:line="240" w:lineRule="auto"/>
              <w:ind w:firstLine="0" w:firstLineChars="0"/>
              <w:jc w:val="center"/>
              <w:textAlignment w:val="center"/>
              <w:rPr>
                <w:rFonts w:cs="Times New Roman"/>
                <w:sz w:val="21"/>
              </w:rPr>
            </w:pPr>
            <w:r>
              <w:rPr>
                <w:rFonts w:cs="Times New Roman"/>
                <w:sz w:val="21"/>
                <w:lang w:eastAsia="zh-CN" w:bidi="ar"/>
              </w:rPr>
              <w:t>5026.21</w:t>
            </w:r>
          </w:p>
        </w:tc>
        <w:tc>
          <w:tcPr>
            <w:tcW w:w="399" w:type="pct"/>
            <w:tcBorders>
              <w:top w:val="nil"/>
              <w:left w:val="nil"/>
              <w:bottom w:val="single" w:color="000000" w:sz="8" w:space="0"/>
              <w:right w:val="single" w:color="000000" w:sz="8" w:space="0"/>
            </w:tcBorders>
            <w:shd w:val="clear" w:color="auto" w:fill="auto"/>
            <w:vAlign w:val="center"/>
          </w:tcPr>
          <w:p w14:paraId="5F1CF77D">
            <w:pPr>
              <w:spacing w:line="240" w:lineRule="auto"/>
              <w:ind w:firstLine="0" w:firstLineChars="0"/>
              <w:jc w:val="center"/>
              <w:textAlignment w:val="center"/>
              <w:rPr>
                <w:rFonts w:cs="Times New Roman"/>
                <w:sz w:val="21"/>
              </w:rPr>
            </w:pPr>
            <w:r>
              <w:rPr>
                <w:rFonts w:cs="Times New Roman"/>
                <w:sz w:val="21"/>
                <w:lang w:eastAsia="zh-CN" w:bidi="ar"/>
              </w:rPr>
              <w:t>502607.20</w:t>
            </w:r>
          </w:p>
        </w:tc>
        <w:tc>
          <w:tcPr>
            <w:tcW w:w="344" w:type="pct"/>
            <w:tcBorders>
              <w:top w:val="nil"/>
              <w:left w:val="nil"/>
              <w:bottom w:val="single" w:color="000000" w:sz="8" w:space="0"/>
              <w:right w:val="single" w:color="000000" w:sz="8" w:space="0"/>
            </w:tcBorders>
            <w:shd w:val="clear" w:color="auto" w:fill="auto"/>
            <w:vAlign w:val="center"/>
          </w:tcPr>
          <w:p w14:paraId="754F563E">
            <w:pPr>
              <w:spacing w:line="240" w:lineRule="auto"/>
              <w:ind w:firstLine="0" w:firstLineChars="0"/>
              <w:jc w:val="center"/>
              <w:textAlignment w:val="center"/>
              <w:rPr>
                <w:rFonts w:cs="Times New Roman"/>
                <w:sz w:val="21"/>
              </w:rPr>
            </w:pPr>
            <w:r>
              <w:rPr>
                <w:rFonts w:cs="Times New Roman"/>
                <w:sz w:val="21"/>
                <w:lang w:eastAsia="zh-CN" w:bidi="ar"/>
              </w:rPr>
              <w:t>517.11</w:t>
            </w:r>
          </w:p>
        </w:tc>
        <w:tc>
          <w:tcPr>
            <w:tcW w:w="351" w:type="pct"/>
            <w:tcBorders>
              <w:top w:val="nil"/>
              <w:left w:val="nil"/>
              <w:bottom w:val="single" w:color="000000" w:sz="8" w:space="0"/>
              <w:right w:val="single" w:color="000000" w:sz="8" w:space="0"/>
            </w:tcBorders>
            <w:shd w:val="clear" w:color="auto" w:fill="auto"/>
            <w:vAlign w:val="center"/>
          </w:tcPr>
          <w:p w14:paraId="7FAC6E92">
            <w:pPr>
              <w:spacing w:line="240" w:lineRule="auto"/>
              <w:ind w:firstLine="0" w:firstLineChars="0"/>
              <w:jc w:val="center"/>
              <w:textAlignment w:val="center"/>
              <w:rPr>
                <w:rFonts w:cs="Times New Roman"/>
                <w:sz w:val="21"/>
              </w:rPr>
            </w:pPr>
            <w:r>
              <w:rPr>
                <w:rFonts w:cs="Times New Roman"/>
                <w:sz w:val="21"/>
                <w:lang w:eastAsia="zh-CN" w:bidi="ar"/>
              </w:rPr>
              <w:t>9435.20</w:t>
            </w:r>
          </w:p>
        </w:tc>
        <w:tc>
          <w:tcPr>
            <w:tcW w:w="351" w:type="pct"/>
            <w:tcBorders>
              <w:top w:val="nil"/>
              <w:left w:val="nil"/>
              <w:bottom w:val="single" w:color="000000" w:sz="8" w:space="0"/>
              <w:right w:val="single" w:color="000000" w:sz="8" w:space="0"/>
            </w:tcBorders>
            <w:shd w:val="clear" w:color="auto" w:fill="auto"/>
            <w:vAlign w:val="center"/>
          </w:tcPr>
          <w:p w14:paraId="151AE688">
            <w:pPr>
              <w:spacing w:line="240" w:lineRule="auto"/>
              <w:ind w:firstLine="0" w:firstLineChars="0"/>
              <w:jc w:val="center"/>
              <w:textAlignment w:val="center"/>
              <w:rPr>
                <w:rFonts w:cs="Times New Roman"/>
                <w:sz w:val="21"/>
              </w:rPr>
            </w:pPr>
            <w:r>
              <w:rPr>
                <w:rFonts w:cs="Times New Roman"/>
                <w:sz w:val="21"/>
                <w:lang w:eastAsia="zh-CN" w:bidi="ar"/>
              </w:rPr>
              <w:t>1640.57</w:t>
            </w:r>
          </w:p>
        </w:tc>
        <w:tc>
          <w:tcPr>
            <w:tcW w:w="399" w:type="pct"/>
            <w:tcBorders>
              <w:top w:val="nil"/>
              <w:left w:val="nil"/>
              <w:bottom w:val="single" w:color="000000" w:sz="8" w:space="0"/>
              <w:right w:val="single" w:color="000000" w:sz="8" w:space="0"/>
            </w:tcBorders>
            <w:shd w:val="clear" w:color="auto" w:fill="auto"/>
            <w:vAlign w:val="center"/>
          </w:tcPr>
          <w:p w14:paraId="440A9CE3">
            <w:pPr>
              <w:spacing w:line="240" w:lineRule="auto"/>
              <w:ind w:firstLine="0" w:firstLineChars="0"/>
              <w:jc w:val="center"/>
              <w:textAlignment w:val="center"/>
              <w:rPr>
                <w:rFonts w:cs="Times New Roman"/>
                <w:sz w:val="21"/>
              </w:rPr>
            </w:pPr>
            <w:r>
              <w:rPr>
                <w:rFonts w:cs="Times New Roman"/>
                <w:sz w:val="21"/>
                <w:lang w:eastAsia="zh-CN" w:bidi="ar"/>
              </w:rPr>
              <w:t>125280.50</w:t>
            </w:r>
          </w:p>
        </w:tc>
        <w:tc>
          <w:tcPr>
            <w:tcW w:w="351" w:type="pct"/>
            <w:tcBorders>
              <w:top w:val="nil"/>
              <w:left w:val="nil"/>
              <w:bottom w:val="single" w:color="000000" w:sz="8" w:space="0"/>
              <w:right w:val="single" w:color="000000" w:sz="8" w:space="0"/>
            </w:tcBorders>
            <w:shd w:val="clear" w:color="auto" w:fill="auto"/>
            <w:vAlign w:val="center"/>
          </w:tcPr>
          <w:p w14:paraId="6631941E">
            <w:pPr>
              <w:spacing w:line="240" w:lineRule="auto"/>
              <w:ind w:firstLine="0" w:firstLineChars="0"/>
              <w:jc w:val="center"/>
              <w:textAlignment w:val="center"/>
              <w:rPr>
                <w:rFonts w:cs="Times New Roman"/>
                <w:sz w:val="21"/>
              </w:rPr>
            </w:pPr>
            <w:r>
              <w:rPr>
                <w:rFonts w:cs="Times New Roman"/>
                <w:sz w:val="21"/>
                <w:lang w:eastAsia="zh-CN" w:bidi="ar"/>
              </w:rPr>
              <w:t>2645.80</w:t>
            </w:r>
          </w:p>
        </w:tc>
        <w:tc>
          <w:tcPr>
            <w:tcW w:w="399" w:type="pct"/>
            <w:tcBorders>
              <w:top w:val="nil"/>
              <w:left w:val="nil"/>
              <w:bottom w:val="single" w:color="000000" w:sz="8" w:space="0"/>
              <w:right w:val="single" w:color="000000" w:sz="8" w:space="0"/>
            </w:tcBorders>
            <w:shd w:val="clear" w:color="auto" w:fill="auto"/>
            <w:vAlign w:val="center"/>
          </w:tcPr>
          <w:p w14:paraId="170C3312">
            <w:pPr>
              <w:spacing w:line="240" w:lineRule="auto"/>
              <w:ind w:firstLine="0" w:firstLineChars="0"/>
              <w:jc w:val="center"/>
              <w:textAlignment w:val="center"/>
              <w:rPr>
                <w:rFonts w:cs="Times New Roman"/>
                <w:sz w:val="21"/>
              </w:rPr>
            </w:pPr>
            <w:r>
              <w:rPr>
                <w:rFonts w:cs="Times New Roman"/>
                <w:sz w:val="21"/>
                <w:lang w:eastAsia="zh-CN" w:bidi="ar"/>
              </w:rPr>
              <w:t>338443.70</w:t>
            </w:r>
          </w:p>
        </w:tc>
        <w:tc>
          <w:tcPr>
            <w:tcW w:w="344" w:type="pct"/>
            <w:tcBorders>
              <w:top w:val="nil"/>
              <w:left w:val="nil"/>
              <w:bottom w:val="single" w:color="000000" w:sz="8" w:space="0"/>
              <w:right w:val="single" w:color="000000" w:sz="8" w:space="0"/>
            </w:tcBorders>
            <w:shd w:val="clear" w:color="auto" w:fill="auto"/>
            <w:vAlign w:val="center"/>
          </w:tcPr>
          <w:p w14:paraId="4A0FE9CB">
            <w:pPr>
              <w:spacing w:line="240" w:lineRule="auto"/>
              <w:ind w:firstLine="0" w:firstLineChars="0"/>
              <w:jc w:val="center"/>
              <w:textAlignment w:val="center"/>
              <w:rPr>
                <w:rFonts w:cs="Times New Roman"/>
                <w:sz w:val="21"/>
              </w:rPr>
            </w:pPr>
            <w:r>
              <w:rPr>
                <w:rFonts w:cs="Times New Roman"/>
                <w:sz w:val="21"/>
                <w:lang w:eastAsia="zh-CN" w:bidi="ar"/>
              </w:rPr>
              <w:t>186.93</w:t>
            </w:r>
          </w:p>
        </w:tc>
        <w:tc>
          <w:tcPr>
            <w:tcW w:w="361" w:type="pct"/>
            <w:tcBorders>
              <w:top w:val="nil"/>
              <w:left w:val="nil"/>
              <w:bottom w:val="single" w:color="000000" w:sz="8" w:space="0"/>
              <w:right w:val="single" w:color="000000" w:sz="8" w:space="0"/>
            </w:tcBorders>
            <w:shd w:val="clear" w:color="auto" w:fill="auto"/>
            <w:vAlign w:val="center"/>
          </w:tcPr>
          <w:p w14:paraId="5F88E9AF">
            <w:pPr>
              <w:spacing w:line="240" w:lineRule="auto"/>
              <w:ind w:firstLine="0" w:firstLineChars="0"/>
              <w:jc w:val="center"/>
              <w:textAlignment w:val="center"/>
              <w:rPr>
                <w:rFonts w:cs="Times New Roman"/>
                <w:sz w:val="21"/>
              </w:rPr>
            </w:pPr>
            <w:r>
              <w:rPr>
                <w:rFonts w:cs="Times New Roman"/>
                <w:sz w:val="21"/>
                <w:lang w:eastAsia="zh-CN" w:bidi="ar"/>
              </w:rPr>
              <w:t>23498.70</w:t>
            </w:r>
          </w:p>
        </w:tc>
        <w:tc>
          <w:tcPr>
            <w:tcW w:w="344" w:type="pct"/>
            <w:tcBorders>
              <w:top w:val="nil"/>
              <w:left w:val="nil"/>
              <w:bottom w:val="single" w:color="000000" w:sz="8" w:space="0"/>
              <w:right w:val="single" w:color="000000" w:sz="8" w:space="0"/>
            </w:tcBorders>
            <w:shd w:val="clear" w:color="auto" w:fill="auto"/>
            <w:vAlign w:val="center"/>
          </w:tcPr>
          <w:p w14:paraId="2279CFB8">
            <w:pPr>
              <w:spacing w:line="240" w:lineRule="auto"/>
              <w:ind w:firstLine="0" w:firstLineChars="0"/>
              <w:jc w:val="center"/>
              <w:textAlignment w:val="center"/>
              <w:rPr>
                <w:rFonts w:cs="Times New Roman"/>
                <w:sz w:val="21"/>
              </w:rPr>
            </w:pPr>
            <w:r>
              <w:rPr>
                <w:rFonts w:cs="Times New Roman"/>
                <w:sz w:val="21"/>
                <w:lang w:eastAsia="zh-CN" w:bidi="ar"/>
              </w:rPr>
              <w:t>35.79</w:t>
            </w:r>
          </w:p>
        </w:tc>
        <w:tc>
          <w:tcPr>
            <w:tcW w:w="361" w:type="pct"/>
            <w:tcBorders>
              <w:top w:val="nil"/>
              <w:left w:val="nil"/>
              <w:bottom w:val="single" w:color="000000" w:sz="8" w:space="0"/>
              <w:right w:val="single" w:color="000000" w:sz="8" w:space="0"/>
            </w:tcBorders>
            <w:shd w:val="clear" w:color="auto" w:fill="auto"/>
            <w:vAlign w:val="center"/>
          </w:tcPr>
          <w:p w14:paraId="362283F6">
            <w:pPr>
              <w:spacing w:line="240" w:lineRule="auto"/>
              <w:ind w:firstLine="0" w:firstLineChars="0"/>
              <w:jc w:val="center"/>
              <w:textAlignment w:val="center"/>
              <w:rPr>
                <w:rFonts w:cs="Times New Roman"/>
                <w:sz w:val="21"/>
              </w:rPr>
            </w:pPr>
            <w:r>
              <w:rPr>
                <w:rFonts w:cs="Times New Roman"/>
                <w:sz w:val="21"/>
                <w:lang w:eastAsia="zh-CN" w:bidi="ar"/>
              </w:rPr>
              <w:t>5949.10</w:t>
            </w:r>
          </w:p>
        </w:tc>
      </w:tr>
      <w:tr w14:paraId="76751144">
        <w:tblPrEx>
          <w:tblCellMar>
            <w:top w:w="0" w:type="dxa"/>
            <w:left w:w="108" w:type="dxa"/>
            <w:bottom w:w="0" w:type="dxa"/>
            <w:right w:w="108" w:type="dxa"/>
          </w:tblCellMar>
        </w:tblPrEx>
        <w:trPr>
          <w:trHeight w:val="295" w:hRule="atLeast"/>
          <w:jc w:val="center"/>
        </w:trPr>
        <w:tc>
          <w:tcPr>
            <w:tcW w:w="322" w:type="pct"/>
            <w:vMerge w:val="continue"/>
            <w:tcBorders>
              <w:top w:val="nil"/>
              <w:left w:val="single" w:color="000000" w:sz="8" w:space="0"/>
              <w:bottom w:val="single" w:color="000000" w:sz="8" w:space="0"/>
              <w:right w:val="single" w:color="000000" w:sz="8" w:space="0"/>
            </w:tcBorders>
            <w:shd w:val="clear" w:color="auto" w:fill="auto"/>
            <w:vAlign w:val="center"/>
          </w:tcPr>
          <w:p w14:paraId="13B414BC">
            <w:pPr>
              <w:spacing w:line="240" w:lineRule="auto"/>
              <w:ind w:firstLine="0" w:firstLineChars="0"/>
              <w:jc w:val="center"/>
              <w:rPr>
                <w:rFonts w:cs="宋体"/>
                <w:sz w:val="21"/>
              </w:rPr>
            </w:pPr>
          </w:p>
        </w:tc>
        <w:tc>
          <w:tcPr>
            <w:tcW w:w="324" w:type="pct"/>
            <w:tcBorders>
              <w:top w:val="nil"/>
              <w:left w:val="nil"/>
              <w:bottom w:val="single" w:color="000000" w:sz="8" w:space="0"/>
              <w:right w:val="single" w:color="000000" w:sz="8" w:space="0"/>
            </w:tcBorders>
            <w:shd w:val="clear" w:color="auto" w:fill="auto"/>
            <w:vAlign w:val="center"/>
          </w:tcPr>
          <w:p w14:paraId="7E8C26FE">
            <w:pPr>
              <w:spacing w:line="240" w:lineRule="auto"/>
              <w:ind w:firstLine="0" w:firstLineChars="0"/>
              <w:jc w:val="center"/>
              <w:textAlignment w:val="center"/>
              <w:rPr>
                <w:rFonts w:cs="宋体"/>
                <w:sz w:val="21"/>
              </w:rPr>
            </w:pPr>
            <w:r>
              <w:rPr>
                <w:rFonts w:hint="eastAsia" w:cs="宋体"/>
                <w:sz w:val="21"/>
                <w:lang w:eastAsia="zh-CN" w:bidi="ar"/>
              </w:rPr>
              <w:t>枫香</w:t>
            </w:r>
          </w:p>
        </w:tc>
        <w:tc>
          <w:tcPr>
            <w:tcW w:w="351" w:type="pct"/>
            <w:tcBorders>
              <w:top w:val="nil"/>
              <w:left w:val="nil"/>
              <w:bottom w:val="single" w:color="000000" w:sz="8" w:space="0"/>
              <w:right w:val="single" w:color="000000" w:sz="8" w:space="0"/>
            </w:tcBorders>
            <w:shd w:val="clear" w:color="auto" w:fill="auto"/>
            <w:vAlign w:val="center"/>
          </w:tcPr>
          <w:p w14:paraId="61C0CF0A">
            <w:pPr>
              <w:spacing w:line="240" w:lineRule="auto"/>
              <w:ind w:firstLine="0" w:firstLineChars="0"/>
              <w:jc w:val="center"/>
              <w:textAlignment w:val="center"/>
              <w:rPr>
                <w:rFonts w:cs="Times New Roman"/>
                <w:sz w:val="21"/>
              </w:rPr>
            </w:pPr>
            <w:r>
              <w:rPr>
                <w:rFonts w:cs="Times New Roman"/>
                <w:sz w:val="21"/>
                <w:lang w:eastAsia="zh-CN" w:bidi="ar"/>
              </w:rPr>
              <w:t>43.37</w:t>
            </w:r>
          </w:p>
        </w:tc>
        <w:tc>
          <w:tcPr>
            <w:tcW w:w="399" w:type="pct"/>
            <w:tcBorders>
              <w:top w:val="nil"/>
              <w:left w:val="nil"/>
              <w:bottom w:val="single" w:color="000000" w:sz="8" w:space="0"/>
              <w:right w:val="single" w:color="000000" w:sz="8" w:space="0"/>
            </w:tcBorders>
            <w:shd w:val="clear" w:color="auto" w:fill="auto"/>
            <w:vAlign w:val="center"/>
          </w:tcPr>
          <w:p w14:paraId="3CD39AB5">
            <w:pPr>
              <w:spacing w:line="240" w:lineRule="auto"/>
              <w:ind w:firstLine="0" w:firstLineChars="0"/>
              <w:jc w:val="center"/>
              <w:textAlignment w:val="center"/>
              <w:rPr>
                <w:rFonts w:cs="Times New Roman"/>
                <w:sz w:val="21"/>
              </w:rPr>
            </w:pPr>
            <w:r>
              <w:rPr>
                <w:rFonts w:cs="Times New Roman"/>
                <w:sz w:val="21"/>
                <w:lang w:eastAsia="zh-CN" w:bidi="ar"/>
              </w:rPr>
              <w:t>2210.70</w:t>
            </w:r>
          </w:p>
        </w:tc>
        <w:tc>
          <w:tcPr>
            <w:tcW w:w="344" w:type="pct"/>
            <w:tcBorders>
              <w:top w:val="nil"/>
              <w:left w:val="nil"/>
              <w:bottom w:val="single" w:color="000000" w:sz="8" w:space="0"/>
              <w:right w:val="single" w:color="000000" w:sz="8" w:space="0"/>
            </w:tcBorders>
            <w:shd w:val="clear" w:color="auto" w:fill="auto"/>
            <w:vAlign w:val="center"/>
          </w:tcPr>
          <w:p w14:paraId="1CE2F70F">
            <w:pPr>
              <w:spacing w:line="240" w:lineRule="auto"/>
              <w:ind w:firstLine="0" w:firstLineChars="0"/>
              <w:jc w:val="center"/>
              <w:rPr>
                <w:rFonts w:cs="Times New Roman"/>
                <w:sz w:val="21"/>
              </w:rPr>
            </w:pPr>
          </w:p>
        </w:tc>
        <w:tc>
          <w:tcPr>
            <w:tcW w:w="351" w:type="pct"/>
            <w:tcBorders>
              <w:top w:val="nil"/>
              <w:left w:val="nil"/>
              <w:bottom w:val="single" w:color="000000" w:sz="8" w:space="0"/>
              <w:right w:val="single" w:color="000000" w:sz="8" w:space="0"/>
            </w:tcBorders>
            <w:shd w:val="clear" w:color="auto" w:fill="auto"/>
            <w:vAlign w:val="center"/>
          </w:tcPr>
          <w:p w14:paraId="4A2CC41A">
            <w:pPr>
              <w:spacing w:line="240" w:lineRule="auto"/>
              <w:ind w:firstLine="0" w:firstLineChars="0"/>
              <w:jc w:val="center"/>
              <w:rPr>
                <w:rFonts w:cs="Times New Roman"/>
                <w:sz w:val="21"/>
              </w:rPr>
            </w:pPr>
          </w:p>
        </w:tc>
        <w:tc>
          <w:tcPr>
            <w:tcW w:w="351" w:type="pct"/>
            <w:tcBorders>
              <w:top w:val="nil"/>
              <w:left w:val="nil"/>
              <w:bottom w:val="single" w:color="000000" w:sz="8" w:space="0"/>
              <w:right w:val="single" w:color="000000" w:sz="8" w:space="0"/>
            </w:tcBorders>
            <w:shd w:val="clear" w:color="auto" w:fill="auto"/>
            <w:vAlign w:val="center"/>
          </w:tcPr>
          <w:p w14:paraId="326C087D">
            <w:pPr>
              <w:spacing w:line="240" w:lineRule="auto"/>
              <w:ind w:firstLine="0" w:firstLineChars="0"/>
              <w:jc w:val="center"/>
              <w:textAlignment w:val="center"/>
              <w:rPr>
                <w:rFonts w:cs="Times New Roman"/>
                <w:sz w:val="21"/>
              </w:rPr>
            </w:pPr>
            <w:r>
              <w:rPr>
                <w:rFonts w:cs="Times New Roman"/>
                <w:sz w:val="21"/>
                <w:lang w:eastAsia="zh-CN" w:bidi="ar"/>
              </w:rPr>
              <w:t>43.37</w:t>
            </w:r>
          </w:p>
        </w:tc>
        <w:tc>
          <w:tcPr>
            <w:tcW w:w="399" w:type="pct"/>
            <w:tcBorders>
              <w:top w:val="nil"/>
              <w:left w:val="nil"/>
              <w:bottom w:val="single" w:color="000000" w:sz="8" w:space="0"/>
              <w:right w:val="single" w:color="000000" w:sz="8" w:space="0"/>
            </w:tcBorders>
            <w:shd w:val="clear" w:color="auto" w:fill="auto"/>
            <w:vAlign w:val="center"/>
          </w:tcPr>
          <w:p w14:paraId="758E8497">
            <w:pPr>
              <w:spacing w:line="240" w:lineRule="auto"/>
              <w:ind w:firstLine="0" w:firstLineChars="0"/>
              <w:jc w:val="center"/>
              <w:textAlignment w:val="center"/>
              <w:rPr>
                <w:rFonts w:cs="Times New Roman"/>
                <w:sz w:val="21"/>
              </w:rPr>
            </w:pPr>
            <w:r>
              <w:rPr>
                <w:rFonts w:cs="Times New Roman"/>
                <w:sz w:val="21"/>
                <w:lang w:eastAsia="zh-CN" w:bidi="ar"/>
              </w:rPr>
              <w:t>2210.70</w:t>
            </w:r>
          </w:p>
        </w:tc>
        <w:tc>
          <w:tcPr>
            <w:tcW w:w="351" w:type="pct"/>
            <w:tcBorders>
              <w:top w:val="nil"/>
              <w:left w:val="nil"/>
              <w:bottom w:val="single" w:color="000000" w:sz="8" w:space="0"/>
              <w:right w:val="single" w:color="000000" w:sz="8" w:space="0"/>
            </w:tcBorders>
            <w:shd w:val="clear" w:color="auto" w:fill="auto"/>
            <w:vAlign w:val="center"/>
          </w:tcPr>
          <w:p w14:paraId="7781853F">
            <w:pPr>
              <w:spacing w:line="240" w:lineRule="auto"/>
              <w:ind w:firstLine="0" w:firstLineChars="0"/>
              <w:jc w:val="center"/>
              <w:rPr>
                <w:rFonts w:cs="Times New Roman"/>
                <w:sz w:val="21"/>
              </w:rPr>
            </w:pPr>
          </w:p>
        </w:tc>
        <w:tc>
          <w:tcPr>
            <w:tcW w:w="399" w:type="pct"/>
            <w:tcBorders>
              <w:top w:val="nil"/>
              <w:left w:val="nil"/>
              <w:bottom w:val="single" w:color="000000" w:sz="8" w:space="0"/>
              <w:right w:val="single" w:color="000000" w:sz="8" w:space="0"/>
            </w:tcBorders>
            <w:shd w:val="clear" w:color="auto" w:fill="auto"/>
            <w:vAlign w:val="center"/>
          </w:tcPr>
          <w:p w14:paraId="3EE1AD69">
            <w:pPr>
              <w:spacing w:line="240" w:lineRule="auto"/>
              <w:ind w:firstLine="0" w:firstLineChars="0"/>
              <w:jc w:val="center"/>
              <w:rPr>
                <w:rFonts w:cs="Times New Roman"/>
                <w:sz w:val="21"/>
              </w:rPr>
            </w:pPr>
          </w:p>
        </w:tc>
        <w:tc>
          <w:tcPr>
            <w:tcW w:w="344" w:type="pct"/>
            <w:tcBorders>
              <w:top w:val="nil"/>
              <w:left w:val="nil"/>
              <w:bottom w:val="single" w:color="000000" w:sz="8" w:space="0"/>
              <w:right w:val="single" w:color="000000" w:sz="8" w:space="0"/>
            </w:tcBorders>
            <w:shd w:val="clear" w:color="auto" w:fill="auto"/>
            <w:vAlign w:val="center"/>
          </w:tcPr>
          <w:p w14:paraId="72C661CB">
            <w:pPr>
              <w:spacing w:line="240" w:lineRule="auto"/>
              <w:ind w:firstLine="0" w:firstLineChars="0"/>
              <w:jc w:val="center"/>
              <w:rPr>
                <w:rFonts w:cs="Times New Roman"/>
                <w:sz w:val="21"/>
              </w:rPr>
            </w:pPr>
          </w:p>
        </w:tc>
        <w:tc>
          <w:tcPr>
            <w:tcW w:w="361" w:type="pct"/>
            <w:tcBorders>
              <w:top w:val="nil"/>
              <w:left w:val="nil"/>
              <w:bottom w:val="single" w:color="000000" w:sz="8" w:space="0"/>
              <w:right w:val="single" w:color="000000" w:sz="8" w:space="0"/>
            </w:tcBorders>
            <w:shd w:val="clear" w:color="auto" w:fill="auto"/>
            <w:vAlign w:val="center"/>
          </w:tcPr>
          <w:p w14:paraId="3FA2A1FB">
            <w:pPr>
              <w:spacing w:line="240" w:lineRule="auto"/>
              <w:ind w:firstLine="0" w:firstLineChars="0"/>
              <w:jc w:val="center"/>
              <w:rPr>
                <w:rFonts w:cs="Times New Roman"/>
                <w:sz w:val="21"/>
              </w:rPr>
            </w:pPr>
          </w:p>
        </w:tc>
        <w:tc>
          <w:tcPr>
            <w:tcW w:w="344" w:type="pct"/>
            <w:tcBorders>
              <w:top w:val="nil"/>
              <w:left w:val="nil"/>
              <w:bottom w:val="single" w:color="000000" w:sz="8" w:space="0"/>
              <w:right w:val="single" w:color="000000" w:sz="8" w:space="0"/>
            </w:tcBorders>
            <w:shd w:val="clear" w:color="auto" w:fill="auto"/>
            <w:vAlign w:val="center"/>
          </w:tcPr>
          <w:p w14:paraId="5D2CF020">
            <w:pPr>
              <w:spacing w:line="240" w:lineRule="auto"/>
              <w:ind w:firstLine="0" w:firstLineChars="0"/>
              <w:jc w:val="center"/>
              <w:rPr>
                <w:rFonts w:cs="Times New Roman"/>
                <w:sz w:val="21"/>
              </w:rPr>
            </w:pPr>
          </w:p>
        </w:tc>
        <w:tc>
          <w:tcPr>
            <w:tcW w:w="361" w:type="pct"/>
            <w:tcBorders>
              <w:top w:val="nil"/>
              <w:left w:val="nil"/>
              <w:bottom w:val="single" w:color="000000" w:sz="8" w:space="0"/>
              <w:right w:val="single" w:color="000000" w:sz="8" w:space="0"/>
            </w:tcBorders>
            <w:shd w:val="clear" w:color="auto" w:fill="auto"/>
            <w:vAlign w:val="center"/>
          </w:tcPr>
          <w:p w14:paraId="2004E294">
            <w:pPr>
              <w:spacing w:line="240" w:lineRule="auto"/>
              <w:ind w:firstLine="0" w:firstLineChars="0"/>
              <w:jc w:val="center"/>
              <w:rPr>
                <w:rFonts w:cs="Times New Roman"/>
                <w:sz w:val="21"/>
              </w:rPr>
            </w:pPr>
          </w:p>
        </w:tc>
      </w:tr>
      <w:tr w14:paraId="4F5CED96">
        <w:tblPrEx>
          <w:tblCellMar>
            <w:top w:w="0" w:type="dxa"/>
            <w:left w:w="108" w:type="dxa"/>
            <w:bottom w:w="0" w:type="dxa"/>
            <w:right w:w="108" w:type="dxa"/>
          </w:tblCellMar>
        </w:tblPrEx>
        <w:trPr>
          <w:trHeight w:val="295" w:hRule="atLeast"/>
          <w:jc w:val="center"/>
        </w:trPr>
        <w:tc>
          <w:tcPr>
            <w:tcW w:w="322" w:type="pct"/>
            <w:vMerge w:val="continue"/>
            <w:tcBorders>
              <w:top w:val="nil"/>
              <w:left w:val="single" w:color="000000" w:sz="8" w:space="0"/>
              <w:bottom w:val="single" w:color="000000" w:sz="8" w:space="0"/>
              <w:right w:val="single" w:color="000000" w:sz="8" w:space="0"/>
            </w:tcBorders>
            <w:shd w:val="clear" w:color="auto" w:fill="auto"/>
            <w:vAlign w:val="center"/>
          </w:tcPr>
          <w:p w14:paraId="0424652D">
            <w:pPr>
              <w:spacing w:line="240" w:lineRule="auto"/>
              <w:ind w:firstLine="0" w:firstLineChars="0"/>
              <w:jc w:val="center"/>
              <w:rPr>
                <w:rFonts w:cs="宋体"/>
                <w:sz w:val="21"/>
              </w:rPr>
            </w:pPr>
          </w:p>
        </w:tc>
        <w:tc>
          <w:tcPr>
            <w:tcW w:w="324" w:type="pct"/>
            <w:tcBorders>
              <w:top w:val="nil"/>
              <w:left w:val="nil"/>
              <w:bottom w:val="single" w:color="000000" w:sz="8" w:space="0"/>
              <w:right w:val="single" w:color="000000" w:sz="8" w:space="0"/>
            </w:tcBorders>
            <w:shd w:val="clear" w:color="auto" w:fill="auto"/>
            <w:vAlign w:val="center"/>
          </w:tcPr>
          <w:p w14:paraId="034A326A">
            <w:pPr>
              <w:spacing w:line="240" w:lineRule="auto"/>
              <w:ind w:firstLine="0" w:firstLineChars="0"/>
              <w:jc w:val="center"/>
              <w:textAlignment w:val="center"/>
              <w:rPr>
                <w:rFonts w:cs="宋体"/>
                <w:sz w:val="21"/>
              </w:rPr>
            </w:pPr>
            <w:r>
              <w:rPr>
                <w:rFonts w:hint="eastAsia" w:cs="宋体"/>
                <w:sz w:val="21"/>
                <w:lang w:eastAsia="zh-CN" w:bidi="ar"/>
              </w:rPr>
              <w:t>阔叶混</w:t>
            </w:r>
          </w:p>
        </w:tc>
        <w:tc>
          <w:tcPr>
            <w:tcW w:w="351" w:type="pct"/>
            <w:tcBorders>
              <w:top w:val="nil"/>
              <w:left w:val="nil"/>
              <w:bottom w:val="single" w:color="000000" w:sz="8" w:space="0"/>
              <w:right w:val="single" w:color="000000" w:sz="8" w:space="0"/>
            </w:tcBorders>
            <w:shd w:val="clear" w:color="auto" w:fill="auto"/>
            <w:vAlign w:val="center"/>
          </w:tcPr>
          <w:p w14:paraId="507CAF6C">
            <w:pPr>
              <w:spacing w:line="240" w:lineRule="auto"/>
              <w:ind w:firstLine="0" w:firstLineChars="0"/>
              <w:jc w:val="center"/>
              <w:textAlignment w:val="center"/>
              <w:rPr>
                <w:rFonts w:cs="Times New Roman"/>
                <w:sz w:val="21"/>
              </w:rPr>
            </w:pPr>
            <w:r>
              <w:rPr>
                <w:rFonts w:cs="Times New Roman"/>
                <w:sz w:val="21"/>
                <w:lang w:eastAsia="zh-CN" w:bidi="ar"/>
              </w:rPr>
              <w:t>4669.89</w:t>
            </w:r>
          </w:p>
        </w:tc>
        <w:tc>
          <w:tcPr>
            <w:tcW w:w="399" w:type="pct"/>
            <w:tcBorders>
              <w:top w:val="nil"/>
              <w:left w:val="nil"/>
              <w:bottom w:val="single" w:color="000000" w:sz="8" w:space="0"/>
              <w:right w:val="single" w:color="000000" w:sz="8" w:space="0"/>
            </w:tcBorders>
            <w:shd w:val="clear" w:color="auto" w:fill="auto"/>
            <w:vAlign w:val="center"/>
          </w:tcPr>
          <w:p w14:paraId="5A62B4CD">
            <w:pPr>
              <w:spacing w:line="240" w:lineRule="auto"/>
              <w:ind w:firstLine="0" w:firstLineChars="0"/>
              <w:jc w:val="center"/>
              <w:textAlignment w:val="center"/>
              <w:rPr>
                <w:rFonts w:cs="Times New Roman"/>
                <w:sz w:val="21"/>
              </w:rPr>
            </w:pPr>
            <w:r>
              <w:rPr>
                <w:rFonts w:cs="Times New Roman"/>
                <w:sz w:val="21"/>
                <w:lang w:eastAsia="zh-CN" w:bidi="ar"/>
              </w:rPr>
              <w:t>472775.80</w:t>
            </w:r>
          </w:p>
        </w:tc>
        <w:tc>
          <w:tcPr>
            <w:tcW w:w="344" w:type="pct"/>
            <w:tcBorders>
              <w:top w:val="nil"/>
              <w:left w:val="nil"/>
              <w:bottom w:val="single" w:color="000000" w:sz="8" w:space="0"/>
              <w:right w:val="single" w:color="000000" w:sz="8" w:space="0"/>
            </w:tcBorders>
            <w:shd w:val="clear" w:color="auto" w:fill="auto"/>
            <w:vAlign w:val="center"/>
          </w:tcPr>
          <w:p w14:paraId="17BF02E7">
            <w:pPr>
              <w:spacing w:line="240" w:lineRule="auto"/>
              <w:ind w:firstLine="0" w:firstLineChars="0"/>
              <w:jc w:val="center"/>
              <w:textAlignment w:val="center"/>
              <w:rPr>
                <w:rFonts w:cs="Times New Roman"/>
                <w:sz w:val="21"/>
              </w:rPr>
            </w:pPr>
            <w:r>
              <w:rPr>
                <w:rFonts w:cs="Times New Roman"/>
                <w:sz w:val="21"/>
                <w:lang w:eastAsia="zh-CN" w:bidi="ar"/>
              </w:rPr>
              <w:t>516.35</w:t>
            </w:r>
          </w:p>
        </w:tc>
        <w:tc>
          <w:tcPr>
            <w:tcW w:w="351" w:type="pct"/>
            <w:tcBorders>
              <w:top w:val="nil"/>
              <w:left w:val="nil"/>
              <w:bottom w:val="single" w:color="000000" w:sz="8" w:space="0"/>
              <w:right w:val="single" w:color="000000" w:sz="8" w:space="0"/>
            </w:tcBorders>
            <w:shd w:val="clear" w:color="auto" w:fill="auto"/>
            <w:vAlign w:val="center"/>
          </w:tcPr>
          <w:p w14:paraId="15DF1703">
            <w:pPr>
              <w:spacing w:line="240" w:lineRule="auto"/>
              <w:ind w:firstLine="0" w:firstLineChars="0"/>
              <w:jc w:val="center"/>
              <w:textAlignment w:val="center"/>
              <w:rPr>
                <w:rFonts w:cs="Times New Roman"/>
                <w:sz w:val="21"/>
              </w:rPr>
            </w:pPr>
            <w:r>
              <w:rPr>
                <w:rFonts w:cs="Times New Roman"/>
                <w:sz w:val="21"/>
                <w:lang w:eastAsia="zh-CN" w:bidi="ar"/>
              </w:rPr>
              <w:t>9422.90</w:t>
            </w:r>
          </w:p>
        </w:tc>
        <w:tc>
          <w:tcPr>
            <w:tcW w:w="351" w:type="pct"/>
            <w:tcBorders>
              <w:top w:val="nil"/>
              <w:left w:val="nil"/>
              <w:bottom w:val="single" w:color="000000" w:sz="8" w:space="0"/>
              <w:right w:val="single" w:color="000000" w:sz="8" w:space="0"/>
            </w:tcBorders>
            <w:shd w:val="clear" w:color="auto" w:fill="auto"/>
            <w:vAlign w:val="center"/>
          </w:tcPr>
          <w:p w14:paraId="2A827F52">
            <w:pPr>
              <w:spacing w:line="240" w:lineRule="auto"/>
              <w:ind w:firstLine="0" w:firstLineChars="0"/>
              <w:jc w:val="center"/>
              <w:textAlignment w:val="center"/>
              <w:rPr>
                <w:rFonts w:cs="Times New Roman"/>
                <w:sz w:val="21"/>
              </w:rPr>
            </w:pPr>
            <w:r>
              <w:rPr>
                <w:rFonts w:cs="Times New Roman"/>
                <w:sz w:val="21"/>
                <w:lang w:eastAsia="zh-CN" w:bidi="ar"/>
              </w:rPr>
              <w:t>1476.54</w:t>
            </w:r>
          </w:p>
        </w:tc>
        <w:tc>
          <w:tcPr>
            <w:tcW w:w="399" w:type="pct"/>
            <w:tcBorders>
              <w:top w:val="nil"/>
              <w:left w:val="nil"/>
              <w:bottom w:val="single" w:color="000000" w:sz="8" w:space="0"/>
              <w:right w:val="single" w:color="000000" w:sz="8" w:space="0"/>
            </w:tcBorders>
            <w:shd w:val="clear" w:color="auto" w:fill="auto"/>
            <w:vAlign w:val="center"/>
          </w:tcPr>
          <w:p w14:paraId="6B5B2D3A">
            <w:pPr>
              <w:spacing w:line="240" w:lineRule="auto"/>
              <w:ind w:firstLine="0" w:firstLineChars="0"/>
              <w:jc w:val="center"/>
              <w:textAlignment w:val="center"/>
              <w:rPr>
                <w:rFonts w:cs="Times New Roman"/>
                <w:sz w:val="21"/>
              </w:rPr>
            </w:pPr>
            <w:r>
              <w:rPr>
                <w:rFonts w:cs="Times New Roman"/>
                <w:sz w:val="21"/>
                <w:lang w:eastAsia="zh-CN" w:bidi="ar"/>
              </w:rPr>
              <w:t>116329.60</w:t>
            </w:r>
          </w:p>
        </w:tc>
        <w:tc>
          <w:tcPr>
            <w:tcW w:w="351" w:type="pct"/>
            <w:tcBorders>
              <w:top w:val="nil"/>
              <w:left w:val="nil"/>
              <w:bottom w:val="single" w:color="000000" w:sz="8" w:space="0"/>
              <w:right w:val="single" w:color="000000" w:sz="8" w:space="0"/>
            </w:tcBorders>
            <w:shd w:val="clear" w:color="auto" w:fill="auto"/>
            <w:vAlign w:val="center"/>
          </w:tcPr>
          <w:p w14:paraId="23E2EC01">
            <w:pPr>
              <w:spacing w:line="240" w:lineRule="auto"/>
              <w:ind w:firstLine="0" w:firstLineChars="0"/>
              <w:jc w:val="center"/>
              <w:textAlignment w:val="center"/>
              <w:rPr>
                <w:rFonts w:cs="Times New Roman"/>
                <w:sz w:val="21"/>
              </w:rPr>
            </w:pPr>
            <w:r>
              <w:rPr>
                <w:rFonts w:cs="Times New Roman"/>
                <w:sz w:val="21"/>
                <w:lang w:eastAsia="zh-CN" w:bidi="ar"/>
              </w:rPr>
              <w:t>2519.38</w:t>
            </w:r>
          </w:p>
        </w:tc>
        <w:tc>
          <w:tcPr>
            <w:tcW w:w="399" w:type="pct"/>
            <w:tcBorders>
              <w:top w:val="nil"/>
              <w:left w:val="nil"/>
              <w:bottom w:val="single" w:color="000000" w:sz="8" w:space="0"/>
              <w:right w:val="single" w:color="000000" w:sz="8" w:space="0"/>
            </w:tcBorders>
            <w:shd w:val="clear" w:color="auto" w:fill="auto"/>
            <w:vAlign w:val="center"/>
          </w:tcPr>
          <w:p w14:paraId="5384A56C">
            <w:pPr>
              <w:spacing w:line="240" w:lineRule="auto"/>
              <w:ind w:firstLine="0" w:firstLineChars="0"/>
              <w:jc w:val="center"/>
              <w:textAlignment w:val="center"/>
              <w:rPr>
                <w:rFonts w:cs="Times New Roman"/>
                <w:sz w:val="21"/>
              </w:rPr>
            </w:pPr>
            <w:r>
              <w:rPr>
                <w:rFonts w:cs="Times New Roman"/>
                <w:sz w:val="21"/>
                <w:lang w:eastAsia="zh-CN" w:bidi="ar"/>
              </w:rPr>
              <w:t>326721.30</w:t>
            </w:r>
          </w:p>
        </w:tc>
        <w:tc>
          <w:tcPr>
            <w:tcW w:w="344" w:type="pct"/>
            <w:tcBorders>
              <w:top w:val="nil"/>
              <w:left w:val="nil"/>
              <w:bottom w:val="single" w:color="000000" w:sz="8" w:space="0"/>
              <w:right w:val="single" w:color="000000" w:sz="8" w:space="0"/>
            </w:tcBorders>
            <w:shd w:val="clear" w:color="auto" w:fill="auto"/>
            <w:vAlign w:val="center"/>
          </w:tcPr>
          <w:p w14:paraId="22CB0FE1">
            <w:pPr>
              <w:spacing w:line="240" w:lineRule="auto"/>
              <w:ind w:firstLine="0" w:firstLineChars="0"/>
              <w:jc w:val="center"/>
              <w:textAlignment w:val="center"/>
              <w:rPr>
                <w:rFonts w:cs="Times New Roman"/>
                <w:sz w:val="21"/>
              </w:rPr>
            </w:pPr>
            <w:r>
              <w:rPr>
                <w:rFonts w:cs="Times New Roman"/>
                <w:sz w:val="21"/>
                <w:lang w:eastAsia="zh-CN" w:bidi="ar"/>
              </w:rPr>
              <w:t>155.52</w:t>
            </w:r>
          </w:p>
        </w:tc>
        <w:tc>
          <w:tcPr>
            <w:tcW w:w="361" w:type="pct"/>
            <w:tcBorders>
              <w:top w:val="nil"/>
              <w:left w:val="nil"/>
              <w:bottom w:val="single" w:color="000000" w:sz="8" w:space="0"/>
              <w:right w:val="single" w:color="000000" w:sz="8" w:space="0"/>
            </w:tcBorders>
            <w:shd w:val="clear" w:color="auto" w:fill="auto"/>
            <w:vAlign w:val="center"/>
          </w:tcPr>
          <w:p w14:paraId="632CF6F0">
            <w:pPr>
              <w:spacing w:line="240" w:lineRule="auto"/>
              <w:ind w:firstLine="0" w:firstLineChars="0"/>
              <w:jc w:val="center"/>
              <w:textAlignment w:val="center"/>
              <w:rPr>
                <w:rFonts w:cs="Times New Roman"/>
                <w:sz w:val="21"/>
              </w:rPr>
            </w:pPr>
            <w:r>
              <w:rPr>
                <w:rFonts w:cs="Times New Roman"/>
                <w:sz w:val="21"/>
                <w:lang w:eastAsia="zh-CN" w:bidi="ar"/>
              </w:rPr>
              <w:t>19936.30</w:t>
            </w:r>
          </w:p>
        </w:tc>
        <w:tc>
          <w:tcPr>
            <w:tcW w:w="344" w:type="pct"/>
            <w:tcBorders>
              <w:top w:val="nil"/>
              <w:left w:val="nil"/>
              <w:bottom w:val="single" w:color="000000" w:sz="8" w:space="0"/>
              <w:right w:val="single" w:color="000000" w:sz="8" w:space="0"/>
            </w:tcBorders>
            <w:shd w:val="clear" w:color="auto" w:fill="auto"/>
            <w:vAlign w:val="center"/>
          </w:tcPr>
          <w:p w14:paraId="4F0A4AF9">
            <w:pPr>
              <w:spacing w:line="240" w:lineRule="auto"/>
              <w:ind w:firstLine="0" w:firstLineChars="0"/>
              <w:jc w:val="center"/>
              <w:textAlignment w:val="center"/>
              <w:rPr>
                <w:rFonts w:cs="Times New Roman"/>
                <w:sz w:val="21"/>
              </w:rPr>
            </w:pPr>
            <w:r>
              <w:rPr>
                <w:rFonts w:cs="Times New Roman"/>
                <w:sz w:val="21"/>
                <w:lang w:eastAsia="zh-CN" w:bidi="ar"/>
              </w:rPr>
              <w:t>2.09</w:t>
            </w:r>
          </w:p>
        </w:tc>
        <w:tc>
          <w:tcPr>
            <w:tcW w:w="361" w:type="pct"/>
            <w:tcBorders>
              <w:top w:val="nil"/>
              <w:left w:val="nil"/>
              <w:bottom w:val="single" w:color="000000" w:sz="8" w:space="0"/>
              <w:right w:val="single" w:color="000000" w:sz="8" w:space="0"/>
            </w:tcBorders>
            <w:shd w:val="clear" w:color="auto" w:fill="auto"/>
            <w:vAlign w:val="center"/>
          </w:tcPr>
          <w:p w14:paraId="58EB20FA">
            <w:pPr>
              <w:spacing w:line="240" w:lineRule="auto"/>
              <w:ind w:firstLine="0" w:firstLineChars="0"/>
              <w:jc w:val="center"/>
              <w:textAlignment w:val="center"/>
              <w:rPr>
                <w:rFonts w:cs="Times New Roman"/>
                <w:sz w:val="21"/>
              </w:rPr>
            </w:pPr>
            <w:r>
              <w:rPr>
                <w:rFonts w:cs="Times New Roman"/>
                <w:sz w:val="21"/>
                <w:lang w:eastAsia="zh-CN" w:bidi="ar"/>
              </w:rPr>
              <w:t>365.70</w:t>
            </w:r>
          </w:p>
        </w:tc>
      </w:tr>
      <w:tr w14:paraId="053DDBB3">
        <w:tblPrEx>
          <w:tblCellMar>
            <w:top w:w="0" w:type="dxa"/>
            <w:left w:w="108" w:type="dxa"/>
            <w:bottom w:w="0" w:type="dxa"/>
            <w:right w:w="108" w:type="dxa"/>
          </w:tblCellMar>
        </w:tblPrEx>
        <w:trPr>
          <w:trHeight w:val="295" w:hRule="atLeast"/>
          <w:jc w:val="center"/>
        </w:trPr>
        <w:tc>
          <w:tcPr>
            <w:tcW w:w="322" w:type="pct"/>
            <w:vMerge w:val="continue"/>
            <w:tcBorders>
              <w:top w:val="nil"/>
              <w:left w:val="single" w:color="000000" w:sz="8" w:space="0"/>
              <w:bottom w:val="single" w:color="000000" w:sz="8" w:space="0"/>
              <w:right w:val="single" w:color="000000" w:sz="8" w:space="0"/>
            </w:tcBorders>
            <w:shd w:val="clear" w:color="auto" w:fill="auto"/>
            <w:vAlign w:val="center"/>
          </w:tcPr>
          <w:p w14:paraId="3B137A5F">
            <w:pPr>
              <w:spacing w:line="240" w:lineRule="auto"/>
              <w:ind w:firstLine="0" w:firstLineChars="0"/>
              <w:jc w:val="center"/>
              <w:rPr>
                <w:rFonts w:cs="宋体"/>
                <w:sz w:val="21"/>
              </w:rPr>
            </w:pPr>
          </w:p>
        </w:tc>
        <w:tc>
          <w:tcPr>
            <w:tcW w:w="324" w:type="pct"/>
            <w:tcBorders>
              <w:top w:val="nil"/>
              <w:left w:val="nil"/>
              <w:bottom w:val="single" w:color="000000" w:sz="8" w:space="0"/>
              <w:right w:val="single" w:color="000000" w:sz="8" w:space="0"/>
            </w:tcBorders>
            <w:shd w:val="clear" w:color="auto" w:fill="auto"/>
            <w:vAlign w:val="center"/>
          </w:tcPr>
          <w:p w14:paraId="754A510C">
            <w:pPr>
              <w:spacing w:line="240" w:lineRule="auto"/>
              <w:ind w:firstLine="0" w:firstLineChars="0"/>
              <w:jc w:val="center"/>
              <w:textAlignment w:val="center"/>
              <w:rPr>
                <w:rFonts w:cs="宋体"/>
                <w:sz w:val="21"/>
              </w:rPr>
            </w:pPr>
            <w:r>
              <w:rPr>
                <w:rFonts w:hint="eastAsia" w:cs="宋体"/>
                <w:sz w:val="21"/>
                <w:lang w:eastAsia="zh-CN" w:bidi="ar"/>
              </w:rPr>
              <w:t>栎类</w:t>
            </w:r>
          </w:p>
        </w:tc>
        <w:tc>
          <w:tcPr>
            <w:tcW w:w="351" w:type="pct"/>
            <w:tcBorders>
              <w:top w:val="nil"/>
              <w:left w:val="nil"/>
              <w:bottom w:val="single" w:color="000000" w:sz="8" w:space="0"/>
              <w:right w:val="single" w:color="000000" w:sz="8" w:space="0"/>
            </w:tcBorders>
            <w:shd w:val="clear" w:color="auto" w:fill="auto"/>
            <w:vAlign w:val="center"/>
          </w:tcPr>
          <w:p w14:paraId="3F141E96">
            <w:pPr>
              <w:spacing w:line="240" w:lineRule="auto"/>
              <w:ind w:firstLine="0" w:firstLineChars="0"/>
              <w:jc w:val="center"/>
              <w:textAlignment w:val="center"/>
              <w:rPr>
                <w:rFonts w:cs="Times New Roman"/>
                <w:sz w:val="21"/>
              </w:rPr>
            </w:pPr>
            <w:r>
              <w:rPr>
                <w:rFonts w:cs="Times New Roman"/>
                <w:sz w:val="21"/>
                <w:lang w:eastAsia="zh-CN" w:bidi="ar"/>
              </w:rPr>
              <w:t>80.58</w:t>
            </w:r>
          </w:p>
        </w:tc>
        <w:tc>
          <w:tcPr>
            <w:tcW w:w="399" w:type="pct"/>
            <w:tcBorders>
              <w:top w:val="nil"/>
              <w:left w:val="nil"/>
              <w:bottom w:val="single" w:color="000000" w:sz="8" w:space="0"/>
              <w:right w:val="single" w:color="000000" w:sz="8" w:space="0"/>
            </w:tcBorders>
            <w:shd w:val="clear" w:color="auto" w:fill="auto"/>
            <w:vAlign w:val="center"/>
          </w:tcPr>
          <w:p w14:paraId="01E6499F">
            <w:pPr>
              <w:spacing w:line="240" w:lineRule="auto"/>
              <w:ind w:firstLine="0" w:firstLineChars="0"/>
              <w:jc w:val="center"/>
              <w:textAlignment w:val="center"/>
              <w:rPr>
                <w:rFonts w:cs="Times New Roman"/>
                <w:sz w:val="21"/>
              </w:rPr>
            </w:pPr>
            <w:r>
              <w:rPr>
                <w:rFonts w:cs="Times New Roman"/>
                <w:sz w:val="21"/>
                <w:lang w:eastAsia="zh-CN" w:bidi="ar"/>
              </w:rPr>
              <w:t>7338.30</w:t>
            </w:r>
          </w:p>
        </w:tc>
        <w:tc>
          <w:tcPr>
            <w:tcW w:w="344" w:type="pct"/>
            <w:tcBorders>
              <w:top w:val="nil"/>
              <w:left w:val="nil"/>
              <w:bottom w:val="single" w:color="000000" w:sz="8" w:space="0"/>
              <w:right w:val="single" w:color="000000" w:sz="8" w:space="0"/>
            </w:tcBorders>
            <w:shd w:val="clear" w:color="auto" w:fill="auto"/>
            <w:vAlign w:val="center"/>
          </w:tcPr>
          <w:p w14:paraId="7AA3062A">
            <w:pPr>
              <w:spacing w:line="240" w:lineRule="auto"/>
              <w:ind w:firstLine="0" w:firstLineChars="0"/>
              <w:jc w:val="center"/>
              <w:textAlignment w:val="center"/>
              <w:rPr>
                <w:rFonts w:cs="Times New Roman"/>
                <w:sz w:val="21"/>
              </w:rPr>
            </w:pPr>
            <w:r>
              <w:rPr>
                <w:rFonts w:cs="Times New Roman"/>
                <w:sz w:val="21"/>
                <w:lang w:eastAsia="zh-CN" w:bidi="ar"/>
              </w:rPr>
              <w:t>0.77</w:t>
            </w:r>
          </w:p>
        </w:tc>
        <w:tc>
          <w:tcPr>
            <w:tcW w:w="351" w:type="pct"/>
            <w:tcBorders>
              <w:top w:val="nil"/>
              <w:left w:val="nil"/>
              <w:bottom w:val="single" w:color="000000" w:sz="8" w:space="0"/>
              <w:right w:val="single" w:color="000000" w:sz="8" w:space="0"/>
            </w:tcBorders>
            <w:shd w:val="clear" w:color="auto" w:fill="auto"/>
            <w:vAlign w:val="center"/>
          </w:tcPr>
          <w:p w14:paraId="5B307C4F">
            <w:pPr>
              <w:spacing w:line="240" w:lineRule="auto"/>
              <w:ind w:firstLine="0" w:firstLineChars="0"/>
              <w:jc w:val="center"/>
              <w:textAlignment w:val="center"/>
              <w:rPr>
                <w:rFonts w:cs="Times New Roman"/>
                <w:sz w:val="21"/>
              </w:rPr>
            </w:pPr>
            <w:r>
              <w:rPr>
                <w:rFonts w:cs="Times New Roman"/>
                <w:sz w:val="21"/>
                <w:lang w:eastAsia="zh-CN" w:bidi="ar"/>
              </w:rPr>
              <w:t>12.30</w:t>
            </w:r>
          </w:p>
        </w:tc>
        <w:tc>
          <w:tcPr>
            <w:tcW w:w="351" w:type="pct"/>
            <w:tcBorders>
              <w:top w:val="nil"/>
              <w:left w:val="nil"/>
              <w:bottom w:val="single" w:color="000000" w:sz="8" w:space="0"/>
              <w:right w:val="single" w:color="000000" w:sz="8" w:space="0"/>
            </w:tcBorders>
            <w:shd w:val="clear" w:color="auto" w:fill="auto"/>
            <w:vAlign w:val="center"/>
          </w:tcPr>
          <w:p w14:paraId="6E1DC7A0">
            <w:pPr>
              <w:spacing w:line="240" w:lineRule="auto"/>
              <w:ind w:firstLine="0" w:firstLineChars="0"/>
              <w:jc w:val="center"/>
              <w:textAlignment w:val="center"/>
              <w:rPr>
                <w:rFonts w:cs="Times New Roman"/>
                <w:sz w:val="21"/>
              </w:rPr>
            </w:pPr>
            <w:r>
              <w:rPr>
                <w:rFonts w:cs="Times New Roman"/>
                <w:sz w:val="21"/>
                <w:lang w:eastAsia="zh-CN" w:bidi="ar"/>
              </w:rPr>
              <w:t>10.75</w:t>
            </w:r>
          </w:p>
        </w:tc>
        <w:tc>
          <w:tcPr>
            <w:tcW w:w="399" w:type="pct"/>
            <w:tcBorders>
              <w:top w:val="nil"/>
              <w:left w:val="nil"/>
              <w:bottom w:val="single" w:color="000000" w:sz="8" w:space="0"/>
              <w:right w:val="single" w:color="000000" w:sz="8" w:space="0"/>
            </w:tcBorders>
            <w:shd w:val="clear" w:color="auto" w:fill="auto"/>
            <w:vAlign w:val="center"/>
          </w:tcPr>
          <w:p w14:paraId="078038AB">
            <w:pPr>
              <w:spacing w:line="240" w:lineRule="auto"/>
              <w:ind w:firstLine="0" w:firstLineChars="0"/>
              <w:jc w:val="center"/>
              <w:textAlignment w:val="center"/>
              <w:rPr>
                <w:rFonts w:cs="Times New Roman"/>
                <w:sz w:val="21"/>
              </w:rPr>
            </w:pPr>
            <w:r>
              <w:rPr>
                <w:rFonts w:cs="Times New Roman"/>
                <w:sz w:val="21"/>
                <w:lang w:eastAsia="zh-CN" w:bidi="ar"/>
              </w:rPr>
              <w:t>767.80</w:t>
            </w:r>
          </w:p>
        </w:tc>
        <w:tc>
          <w:tcPr>
            <w:tcW w:w="351" w:type="pct"/>
            <w:tcBorders>
              <w:top w:val="nil"/>
              <w:left w:val="nil"/>
              <w:bottom w:val="single" w:color="000000" w:sz="8" w:space="0"/>
              <w:right w:val="single" w:color="000000" w:sz="8" w:space="0"/>
            </w:tcBorders>
            <w:shd w:val="clear" w:color="auto" w:fill="auto"/>
            <w:vAlign w:val="center"/>
          </w:tcPr>
          <w:p w14:paraId="5D0AAF31">
            <w:pPr>
              <w:spacing w:line="240" w:lineRule="auto"/>
              <w:ind w:firstLine="0" w:firstLineChars="0"/>
              <w:jc w:val="center"/>
              <w:textAlignment w:val="center"/>
              <w:rPr>
                <w:rFonts w:cs="Times New Roman"/>
                <w:sz w:val="21"/>
              </w:rPr>
            </w:pPr>
            <w:r>
              <w:rPr>
                <w:rFonts w:cs="Times New Roman"/>
                <w:sz w:val="21"/>
                <w:lang w:eastAsia="zh-CN" w:bidi="ar"/>
              </w:rPr>
              <w:t>66.39</w:t>
            </w:r>
          </w:p>
        </w:tc>
        <w:tc>
          <w:tcPr>
            <w:tcW w:w="399" w:type="pct"/>
            <w:tcBorders>
              <w:top w:val="nil"/>
              <w:left w:val="nil"/>
              <w:bottom w:val="single" w:color="000000" w:sz="8" w:space="0"/>
              <w:right w:val="single" w:color="000000" w:sz="8" w:space="0"/>
            </w:tcBorders>
            <w:shd w:val="clear" w:color="auto" w:fill="auto"/>
            <w:vAlign w:val="center"/>
          </w:tcPr>
          <w:p w14:paraId="7DEFD80B">
            <w:pPr>
              <w:spacing w:line="240" w:lineRule="auto"/>
              <w:ind w:firstLine="0" w:firstLineChars="0"/>
              <w:jc w:val="center"/>
              <w:textAlignment w:val="center"/>
              <w:rPr>
                <w:rFonts w:cs="Times New Roman"/>
                <w:sz w:val="21"/>
              </w:rPr>
            </w:pPr>
            <w:r>
              <w:rPr>
                <w:rFonts w:cs="Times New Roman"/>
                <w:sz w:val="21"/>
                <w:lang w:eastAsia="zh-CN" w:bidi="ar"/>
              </w:rPr>
              <w:t>6323.20</w:t>
            </w:r>
          </w:p>
        </w:tc>
        <w:tc>
          <w:tcPr>
            <w:tcW w:w="344" w:type="pct"/>
            <w:tcBorders>
              <w:top w:val="nil"/>
              <w:left w:val="nil"/>
              <w:bottom w:val="single" w:color="000000" w:sz="8" w:space="0"/>
              <w:right w:val="single" w:color="000000" w:sz="8" w:space="0"/>
            </w:tcBorders>
            <w:shd w:val="clear" w:color="auto" w:fill="auto"/>
            <w:vAlign w:val="center"/>
          </w:tcPr>
          <w:p w14:paraId="754017C0">
            <w:pPr>
              <w:spacing w:line="240" w:lineRule="auto"/>
              <w:ind w:firstLine="0" w:firstLineChars="0"/>
              <w:jc w:val="center"/>
              <w:textAlignment w:val="center"/>
              <w:rPr>
                <w:rFonts w:cs="Times New Roman"/>
                <w:sz w:val="21"/>
              </w:rPr>
            </w:pPr>
            <w:r>
              <w:rPr>
                <w:rFonts w:cs="Times New Roman"/>
                <w:sz w:val="21"/>
                <w:lang w:eastAsia="zh-CN" w:bidi="ar"/>
              </w:rPr>
              <w:t>2.67</w:t>
            </w:r>
          </w:p>
        </w:tc>
        <w:tc>
          <w:tcPr>
            <w:tcW w:w="361" w:type="pct"/>
            <w:tcBorders>
              <w:top w:val="nil"/>
              <w:left w:val="nil"/>
              <w:bottom w:val="single" w:color="000000" w:sz="8" w:space="0"/>
              <w:right w:val="single" w:color="000000" w:sz="8" w:space="0"/>
            </w:tcBorders>
            <w:shd w:val="clear" w:color="auto" w:fill="auto"/>
            <w:vAlign w:val="center"/>
          </w:tcPr>
          <w:p w14:paraId="36DC2766">
            <w:pPr>
              <w:spacing w:line="240" w:lineRule="auto"/>
              <w:ind w:firstLine="0" w:firstLineChars="0"/>
              <w:jc w:val="center"/>
              <w:textAlignment w:val="center"/>
              <w:rPr>
                <w:rFonts w:cs="Times New Roman"/>
                <w:sz w:val="21"/>
              </w:rPr>
            </w:pPr>
            <w:r>
              <w:rPr>
                <w:rFonts w:cs="Times New Roman"/>
                <w:sz w:val="21"/>
                <w:lang w:eastAsia="zh-CN" w:bidi="ar"/>
              </w:rPr>
              <w:t>235.00</w:t>
            </w:r>
          </w:p>
        </w:tc>
        <w:tc>
          <w:tcPr>
            <w:tcW w:w="344" w:type="pct"/>
            <w:tcBorders>
              <w:top w:val="nil"/>
              <w:left w:val="nil"/>
              <w:bottom w:val="single" w:color="000000" w:sz="8" w:space="0"/>
              <w:right w:val="single" w:color="000000" w:sz="8" w:space="0"/>
            </w:tcBorders>
            <w:shd w:val="clear" w:color="auto" w:fill="auto"/>
            <w:vAlign w:val="center"/>
          </w:tcPr>
          <w:p w14:paraId="36E03744">
            <w:pPr>
              <w:spacing w:line="240" w:lineRule="auto"/>
              <w:ind w:firstLine="0" w:firstLineChars="0"/>
              <w:jc w:val="center"/>
              <w:rPr>
                <w:rFonts w:cs="Times New Roman"/>
                <w:sz w:val="21"/>
              </w:rPr>
            </w:pPr>
          </w:p>
        </w:tc>
        <w:tc>
          <w:tcPr>
            <w:tcW w:w="361" w:type="pct"/>
            <w:tcBorders>
              <w:top w:val="nil"/>
              <w:left w:val="nil"/>
              <w:bottom w:val="single" w:color="000000" w:sz="8" w:space="0"/>
              <w:right w:val="single" w:color="000000" w:sz="8" w:space="0"/>
            </w:tcBorders>
            <w:shd w:val="clear" w:color="auto" w:fill="auto"/>
            <w:vAlign w:val="center"/>
          </w:tcPr>
          <w:p w14:paraId="52B502EB">
            <w:pPr>
              <w:spacing w:line="240" w:lineRule="auto"/>
              <w:ind w:firstLine="0" w:firstLineChars="0"/>
              <w:jc w:val="center"/>
              <w:rPr>
                <w:rFonts w:cs="Times New Roman"/>
                <w:sz w:val="21"/>
              </w:rPr>
            </w:pPr>
          </w:p>
        </w:tc>
      </w:tr>
      <w:tr w14:paraId="6C1F8E99">
        <w:tblPrEx>
          <w:tblCellMar>
            <w:top w:w="0" w:type="dxa"/>
            <w:left w:w="108" w:type="dxa"/>
            <w:bottom w:w="0" w:type="dxa"/>
            <w:right w:w="108" w:type="dxa"/>
          </w:tblCellMar>
        </w:tblPrEx>
        <w:trPr>
          <w:trHeight w:val="295" w:hRule="atLeast"/>
          <w:jc w:val="center"/>
        </w:trPr>
        <w:tc>
          <w:tcPr>
            <w:tcW w:w="322" w:type="pct"/>
            <w:vMerge w:val="continue"/>
            <w:tcBorders>
              <w:top w:val="nil"/>
              <w:left w:val="single" w:color="000000" w:sz="8" w:space="0"/>
              <w:bottom w:val="single" w:color="000000" w:sz="8" w:space="0"/>
              <w:right w:val="single" w:color="000000" w:sz="8" w:space="0"/>
            </w:tcBorders>
            <w:shd w:val="clear" w:color="auto" w:fill="auto"/>
            <w:vAlign w:val="center"/>
          </w:tcPr>
          <w:p w14:paraId="31220BD7">
            <w:pPr>
              <w:spacing w:line="240" w:lineRule="auto"/>
              <w:ind w:firstLine="0" w:firstLineChars="0"/>
              <w:jc w:val="center"/>
              <w:rPr>
                <w:rFonts w:cs="宋体"/>
                <w:sz w:val="21"/>
              </w:rPr>
            </w:pPr>
          </w:p>
        </w:tc>
        <w:tc>
          <w:tcPr>
            <w:tcW w:w="324" w:type="pct"/>
            <w:tcBorders>
              <w:top w:val="nil"/>
              <w:left w:val="nil"/>
              <w:bottom w:val="single" w:color="000000" w:sz="8" w:space="0"/>
              <w:right w:val="single" w:color="000000" w:sz="8" w:space="0"/>
            </w:tcBorders>
            <w:shd w:val="clear" w:color="auto" w:fill="auto"/>
            <w:vAlign w:val="center"/>
          </w:tcPr>
          <w:p w14:paraId="022CF839">
            <w:pPr>
              <w:spacing w:line="240" w:lineRule="auto"/>
              <w:ind w:firstLine="0" w:firstLineChars="0"/>
              <w:jc w:val="center"/>
              <w:textAlignment w:val="center"/>
              <w:rPr>
                <w:rFonts w:cs="宋体"/>
                <w:sz w:val="21"/>
              </w:rPr>
            </w:pPr>
            <w:r>
              <w:rPr>
                <w:rFonts w:hint="eastAsia" w:cs="宋体"/>
                <w:sz w:val="21"/>
                <w:lang w:eastAsia="zh-CN" w:bidi="ar"/>
              </w:rPr>
              <w:t>马尾松</w:t>
            </w:r>
          </w:p>
        </w:tc>
        <w:tc>
          <w:tcPr>
            <w:tcW w:w="351" w:type="pct"/>
            <w:tcBorders>
              <w:top w:val="nil"/>
              <w:left w:val="nil"/>
              <w:bottom w:val="single" w:color="000000" w:sz="8" w:space="0"/>
              <w:right w:val="single" w:color="000000" w:sz="8" w:space="0"/>
            </w:tcBorders>
            <w:shd w:val="clear" w:color="auto" w:fill="auto"/>
            <w:vAlign w:val="center"/>
          </w:tcPr>
          <w:p w14:paraId="123B5044">
            <w:pPr>
              <w:spacing w:line="240" w:lineRule="auto"/>
              <w:ind w:firstLine="0" w:firstLineChars="0"/>
              <w:jc w:val="center"/>
              <w:textAlignment w:val="center"/>
              <w:rPr>
                <w:rFonts w:cs="Times New Roman"/>
                <w:sz w:val="21"/>
              </w:rPr>
            </w:pPr>
            <w:r>
              <w:rPr>
                <w:rFonts w:cs="Times New Roman"/>
                <w:sz w:val="21"/>
                <w:lang w:eastAsia="zh-CN" w:bidi="ar"/>
              </w:rPr>
              <w:t>154.88</w:t>
            </w:r>
          </w:p>
        </w:tc>
        <w:tc>
          <w:tcPr>
            <w:tcW w:w="399" w:type="pct"/>
            <w:tcBorders>
              <w:top w:val="nil"/>
              <w:left w:val="nil"/>
              <w:bottom w:val="single" w:color="000000" w:sz="8" w:space="0"/>
              <w:right w:val="single" w:color="000000" w:sz="8" w:space="0"/>
            </w:tcBorders>
            <w:shd w:val="clear" w:color="auto" w:fill="auto"/>
            <w:vAlign w:val="center"/>
          </w:tcPr>
          <w:p w14:paraId="088304F8">
            <w:pPr>
              <w:spacing w:line="240" w:lineRule="auto"/>
              <w:ind w:firstLine="0" w:firstLineChars="0"/>
              <w:jc w:val="center"/>
              <w:textAlignment w:val="center"/>
              <w:rPr>
                <w:rFonts w:cs="Times New Roman"/>
                <w:sz w:val="21"/>
              </w:rPr>
            </w:pPr>
            <w:r>
              <w:rPr>
                <w:rFonts w:cs="Times New Roman"/>
                <w:sz w:val="21"/>
                <w:lang w:eastAsia="zh-CN" w:bidi="ar"/>
              </w:rPr>
              <w:t>15678.20</w:t>
            </w:r>
          </w:p>
        </w:tc>
        <w:tc>
          <w:tcPr>
            <w:tcW w:w="344" w:type="pct"/>
            <w:tcBorders>
              <w:top w:val="nil"/>
              <w:left w:val="nil"/>
              <w:bottom w:val="single" w:color="000000" w:sz="8" w:space="0"/>
              <w:right w:val="single" w:color="000000" w:sz="8" w:space="0"/>
            </w:tcBorders>
            <w:shd w:val="clear" w:color="auto" w:fill="auto"/>
            <w:vAlign w:val="center"/>
          </w:tcPr>
          <w:p w14:paraId="2562546B">
            <w:pPr>
              <w:spacing w:line="240" w:lineRule="auto"/>
              <w:ind w:firstLine="0" w:firstLineChars="0"/>
              <w:jc w:val="center"/>
              <w:rPr>
                <w:rFonts w:cs="Times New Roman"/>
                <w:sz w:val="21"/>
              </w:rPr>
            </w:pPr>
          </w:p>
        </w:tc>
        <w:tc>
          <w:tcPr>
            <w:tcW w:w="351" w:type="pct"/>
            <w:tcBorders>
              <w:top w:val="nil"/>
              <w:left w:val="nil"/>
              <w:bottom w:val="single" w:color="000000" w:sz="8" w:space="0"/>
              <w:right w:val="single" w:color="000000" w:sz="8" w:space="0"/>
            </w:tcBorders>
            <w:shd w:val="clear" w:color="auto" w:fill="auto"/>
            <w:vAlign w:val="center"/>
          </w:tcPr>
          <w:p w14:paraId="484D5ACC">
            <w:pPr>
              <w:spacing w:line="240" w:lineRule="auto"/>
              <w:ind w:firstLine="0" w:firstLineChars="0"/>
              <w:jc w:val="center"/>
              <w:rPr>
                <w:rFonts w:cs="Times New Roman"/>
                <w:sz w:val="21"/>
              </w:rPr>
            </w:pPr>
          </w:p>
        </w:tc>
        <w:tc>
          <w:tcPr>
            <w:tcW w:w="351" w:type="pct"/>
            <w:tcBorders>
              <w:top w:val="nil"/>
              <w:left w:val="nil"/>
              <w:bottom w:val="single" w:color="000000" w:sz="8" w:space="0"/>
              <w:right w:val="single" w:color="000000" w:sz="8" w:space="0"/>
            </w:tcBorders>
            <w:shd w:val="clear" w:color="auto" w:fill="auto"/>
            <w:vAlign w:val="center"/>
          </w:tcPr>
          <w:p w14:paraId="5AA11A5A">
            <w:pPr>
              <w:spacing w:line="240" w:lineRule="auto"/>
              <w:ind w:firstLine="0" w:firstLineChars="0"/>
              <w:jc w:val="center"/>
              <w:textAlignment w:val="center"/>
              <w:rPr>
                <w:rFonts w:cs="Times New Roman"/>
                <w:sz w:val="21"/>
              </w:rPr>
            </w:pPr>
            <w:r>
              <w:rPr>
                <w:rFonts w:cs="Times New Roman"/>
                <w:sz w:val="21"/>
                <w:lang w:eastAsia="zh-CN" w:bidi="ar"/>
              </w:rPr>
              <w:t>32.42</w:t>
            </w:r>
          </w:p>
        </w:tc>
        <w:tc>
          <w:tcPr>
            <w:tcW w:w="399" w:type="pct"/>
            <w:tcBorders>
              <w:top w:val="nil"/>
              <w:left w:val="nil"/>
              <w:bottom w:val="single" w:color="000000" w:sz="8" w:space="0"/>
              <w:right w:val="single" w:color="000000" w:sz="8" w:space="0"/>
            </w:tcBorders>
            <w:shd w:val="clear" w:color="auto" w:fill="auto"/>
            <w:vAlign w:val="center"/>
          </w:tcPr>
          <w:p w14:paraId="717CCB27">
            <w:pPr>
              <w:spacing w:line="240" w:lineRule="auto"/>
              <w:ind w:firstLine="0" w:firstLineChars="0"/>
              <w:jc w:val="center"/>
              <w:textAlignment w:val="center"/>
              <w:rPr>
                <w:rFonts w:cs="Times New Roman"/>
                <w:sz w:val="21"/>
              </w:rPr>
            </w:pPr>
            <w:r>
              <w:rPr>
                <w:rFonts w:cs="Times New Roman"/>
                <w:sz w:val="21"/>
                <w:lang w:eastAsia="zh-CN" w:bidi="ar"/>
              </w:rPr>
              <w:t>1368.20</w:t>
            </w:r>
          </w:p>
        </w:tc>
        <w:tc>
          <w:tcPr>
            <w:tcW w:w="351" w:type="pct"/>
            <w:tcBorders>
              <w:top w:val="nil"/>
              <w:left w:val="nil"/>
              <w:bottom w:val="single" w:color="000000" w:sz="8" w:space="0"/>
              <w:right w:val="single" w:color="000000" w:sz="8" w:space="0"/>
            </w:tcBorders>
            <w:shd w:val="clear" w:color="auto" w:fill="auto"/>
            <w:vAlign w:val="center"/>
          </w:tcPr>
          <w:p w14:paraId="5B8A9CEA">
            <w:pPr>
              <w:spacing w:line="240" w:lineRule="auto"/>
              <w:ind w:firstLine="0" w:firstLineChars="0"/>
              <w:jc w:val="center"/>
              <w:textAlignment w:val="center"/>
              <w:rPr>
                <w:rFonts w:cs="Times New Roman"/>
                <w:sz w:val="21"/>
              </w:rPr>
            </w:pPr>
            <w:r>
              <w:rPr>
                <w:rFonts w:cs="Times New Roman"/>
                <w:sz w:val="21"/>
                <w:lang w:eastAsia="zh-CN" w:bidi="ar"/>
              </w:rPr>
              <w:t>60.02</w:t>
            </w:r>
          </w:p>
        </w:tc>
        <w:tc>
          <w:tcPr>
            <w:tcW w:w="399" w:type="pct"/>
            <w:tcBorders>
              <w:top w:val="nil"/>
              <w:left w:val="nil"/>
              <w:bottom w:val="single" w:color="000000" w:sz="8" w:space="0"/>
              <w:right w:val="single" w:color="000000" w:sz="8" w:space="0"/>
            </w:tcBorders>
            <w:shd w:val="clear" w:color="auto" w:fill="auto"/>
            <w:vAlign w:val="center"/>
          </w:tcPr>
          <w:p w14:paraId="6FB29FB0">
            <w:pPr>
              <w:spacing w:line="240" w:lineRule="auto"/>
              <w:ind w:firstLine="0" w:firstLineChars="0"/>
              <w:jc w:val="center"/>
              <w:textAlignment w:val="center"/>
              <w:rPr>
                <w:rFonts w:cs="Times New Roman"/>
                <w:sz w:val="21"/>
              </w:rPr>
            </w:pPr>
            <w:r>
              <w:rPr>
                <w:rFonts w:cs="Times New Roman"/>
                <w:sz w:val="21"/>
                <w:lang w:eastAsia="zh-CN" w:bidi="ar"/>
              </w:rPr>
              <w:t>5399.20</w:t>
            </w:r>
          </w:p>
        </w:tc>
        <w:tc>
          <w:tcPr>
            <w:tcW w:w="344" w:type="pct"/>
            <w:tcBorders>
              <w:top w:val="nil"/>
              <w:left w:val="nil"/>
              <w:bottom w:val="single" w:color="000000" w:sz="8" w:space="0"/>
              <w:right w:val="single" w:color="000000" w:sz="8" w:space="0"/>
            </w:tcBorders>
            <w:shd w:val="clear" w:color="auto" w:fill="auto"/>
            <w:vAlign w:val="center"/>
          </w:tcPr>
          <w:p w14:paraId="32A5053F">
            <w:pPr>
              <w:spacing w:line="240" w:lineRule="auto"/>
              <w:ind w:firstLine="0" w:firstLineChars="0"/>
              <w:jc w:val="center"/>
              <w:textAlignment w:val="center"/>
              <w:rPr>
                <w:rFonts w:cs="Times New Roman"/>
                <w:sz w:val="21"/>
              </w:rPr>
            </w:pPr>
            <w:r>
              <w:rPr>
                <w:rFonts w:cs="Times New Roman"/>
                <w:sz w:val="21"/>
                <w:lang w:eastAsia="zh-CN" w:bidi="ar"/>
              </w:rPr>
              <w:t>28.74</w:t>
            </w:r>
          </w:p>
        </w:tc>
        <w:tc>
          <w:tcPr>
            <w:tcW w:w="361" w:type="pct"/>
            <w:tcBorders>
              <w:top w:val="nil"/>
              <w:left w:val="nil"/>
              <w:bottom w:val="single" w:color="000000" w:sz="8" w:space="0"/>
              <w:right w:val="single" w:color="000000" w:sz="8" w:space="0"/>
            </w:tcBorders>
            <w:shd w:val="clear" w:color="auto" w:fill="auto"/>
            <w:vAlign w:val="center"/>
          </w:tcPr>
          <w:p w14:paraId="7FC70159">
            <w:pPr>
              <w:spacing w:line="240" w:lineRule="auto"/>
              <w:ind w:firstLine="0" w:firstLineChars="0"/>
              <w:jc w:val="center"/>
              <w:textAlignment w:val="center"/>
              <w:rPr>
                <w:rFonts w:cs="Times New Roman"/>
                <w:sz w:val="21"/>
              </w:rPr>
            </w:pPr>
            <w:r>
              <w:rPr>
                <w:rFonts w:cs="Times New Roman"/>
                <w:sz w:val="21"/>
                <w:lang w:eastAsia="zh-CN" w:bidi="ar"/>
              </w:rPr>
              <w:t>3327.40</w:t>
            </w:r>
          </w:p>
        </w:tc>
        <w:tc>
          <w:tcPr>
            <w:tcW w:w="344" w:type="pct"/>
            <w:tcBorders>
              <w:top w:val="nil"/>
              <w:left w:val="nil"/>
              <w:bottom w:val="single" w:color="000000" w:sz="8" w:space="0"/>
              <w:right w:val="single" w:color="000000" w:sz="8" w:space="0"/>
            </w:tcBorders>
            <w:shd w:val="clear" w:color="auto" w:fill="auto"/>
            <w:vAlign w:val="center"/>
          </w:tcPr>
          <w:p w14:paraId="108BADC5">
            <w:pPr>
              <w:spacing w:line="240" w:lineRule="auto"/>
              <w:ind w:firstLine="0" w:firstLineChars="0"/>
              <w:jc w:val="center"/>
              <w:textAlignment w:val="center"/>
              <w:rPr>
                <w:rFonts w:cs="Times New Roman"/>
                <w:sz w:val="21"/>
              </w:rPr>
            </w:pPr>
            <w:r>
              <w:rPr>
                <w:rFonts w:cs="Times New Roman"/>
                <w:sz w:val="21"/>
                <w:lang w:eastAsia="zh-CN" w:bidi="ar"/>
              </w:rPr>
              <w:t>33.70</w:t>
            </w:r>
          </w:p>
        </w:tc>
        <w:tc>
          <w:tcPr>
            <w:tcW w:w="361" w:type="pct"/>
            <w:tcBorders>
              <w:top w:val="nil"/>
              <w:left w:val="nil"/>
              <w:bottom w:val="single" w:color="000000" w:sz="8" w:space="0"/>
              <w:right w:val="single" w:color="000000" w:sz="8" w:space="0"/>
            </w:tcBorders>
            <w:shd w:val="clear" w:color="auto" w:fill="auto"/>
            <w:vAlign w:val="center"/>
          </w:tcPr>
          <w:p w14:paraId="59960A8C">
            <w:pPr>
              <w:spacing w:line="240" w:lineRule="auto"/>
              <w:ind w:firstLine="0" w:firstLineChars="0"/>
              <w:jc w:val="center"/>
              <w:textAlignment w:val="center"/>
              <w:rPr>
                <w:rFonts w:cs="Times New Roman"/>
                <w:sz w:val="21"/>
              </w:rPr>
            </w:pPr>
            <w:r>
              <w:rPr>
                <w:rFonts w:cs="Times New Roman"/>
                <w:sz w:val="21"/>
                <w:lang w:eastAsia="zh-CN" w:bidi="ar"/>
              </w:rPr>
              <w:t>5583.40</w:t>
            </w:r>
          </w:p>
        </w:tc>
      </w:tr>
      <w:tr w14:paraId="46C184C3">
        <w:tblPrEx>
          <w:tblCellMar>
            <w:top w:w="0" w:type="dxa"/>
            <w:left w:w="108" w:type="dxa"/>
            <w:bottom w:w="0" w:type="dxa"/>
            <w:right w:w="108" w:type="dxa"/>
          </w:tblCellMar>
        </w:tblPrEx>
        <w:trPr>
          <w:trHeight w:val="300" w:hRule="atLeast"/>
          <w:jc w:val="center"/>
        </w:trPr>
        <w:tc>
          <w:tcPr>
            <w:tcW w:w="322" w:type="pct"/>
            <w:vMerge w:val="continue"/>
            <w:tcBorders>
              <w:top w:val="nil"/>
              <w:left w:val="single" w:color="000000" w:sz="8" w:space="0"/>
              <w:bottom w:val="single" w:color="000000" w:sz="8" w:space="0"/>
              <w:right w:val="single" w:color="000000" w:sz="8" w:space="0"/>
            </w:tcBorders>
            <w:shd w:val="clear" w:color="auto" w:fill="auto"/>
            <w:vAlign w:val="center"/>
          </w:tcPr>
          <w:p w14:paraId="11AE7973">
            <w:pPr>
              <w:spacing w:line="240" w:lineRule="auto"/>
              <w:ind w:firstLine="0" w:firstLineChars="0"/>
              <w:jc w:val="center"/>
              <w:rPr>
                <w:rFonts w:cs="宋体"/>
                <w:sz w:val="21"/>
              </w:rPr>
            </w:pPr>
          </w:p>
        </w:tc>
        <w:tc>
          <w:tcPr>
            <w:tcW w:w="324" w:type="pct"/>
            <w:tcBorders>
              <w:top w:val="nil"/>
              <w:left w:val="nil"/>
              <w:bottom w:val="single" w:color="000000" w:sz="8" w:space="0"/>
              <w:right w:val="single" w:color="000000" w:sz="8" w:space="0"/>
            </w:tcBorders>
            <w:shd w:val="clear" w:color="auto" w:fill="auto"/>
            <w:vAlign w:val="center"/>
          </w:tcPr>
          <w:p w14:paraId="6D75D99C">
            <w:pPr>
              <w:spacing w:line="240" w:lineRule="auto"/>
              <w:ind w:firstLine="0" w:firstLineChars="0"/>
              <w:jc w:val="center"/>
              <w:textAlignment w:val="center"/>
              <w:rPr>
                <w:rFonts w:cs="宋体"/>
                <w:sz w:val="21"/>
              </w:rPr>
            </w:pPr>
            <w:r>
              <w:rPr>
                <w:rFonts w:hint="eastAsia" w:cs="宋体"/>
                <w:sz w:val="21"/>
                <w:lang w:eastAsia="zh-CN" w:bidi="ar"/>
              </w:rPr>
              <w:t>木荷</w:t>
            </w:r>
          </w:p>
        </w:tc>
        <w:tc>
          <w:tcPr>
            <w:tcW w:w="351" w:type="pct"/>
            <w:tcBorders>
              <w:top w:val="nil"/>
              <w:left w:val="nil"/>
              <w:bottom w:val="single" w:color="000000" w:sz="8" w:space="0"/>
              <w:right w:val="single" w:color="000000" w:sz="8" w:space="0"/>
            </w:tcBorders>
            <w:shd w:val="clear" w:color="auto" w:fill="auto"/>
            <w:vAlign w:val="center"/>
          </w:tcPr>
          <w:p w14:paraId="5D2A35A6">
            <w:pPr>
              <w:spacing w:line="240" w:lineRule="auto"/>
              <w:ind w:firstLine="0" w:firstLineChars="0"/>
              <w:jc w:val="center"/>
              <w:textAlignment w:val="center"/>
              <w:rPr>
                <w:rFonts w:cs="Times New Roman"/>
                <w:sz w:val="21"/>
              </w:rPr>
            </w:pPr>
            <w:r>
              <w:rPr>
                <w:rFonts w:cs="Times New Roman"/>
                <w:sz w:val="21"/>
                <w:lang w:eastAsia="zh-CN" w:bidi="ar"/>
              </w:rPr>
              <w:t>77.50</w:t>
            </w:r>
          </w:p>
        </w:tc>
        <w:tc>
          <w:tcPr>
            <w:tcW w:w="399" w:type="pct"/>
            <w:tcBorders>
              <w:top w:val="nil"/>
              <w:left w:val="nil"/>
              <w:bottom w:val="single" w:color="000000" w:sz="8" w:space="0"/>
              <w:right w:val="single" w:color="000000" w:sz="8" w:space="0"/>
            </w:tcBorders>
            <w:shd w:val="clear" w:color="auto" w:fill="auto"/>
            <w:vAlign w:val="center"/>
          </w:tcPr>
          <w:p w14:paraId="37590470">
            <w:pPr>
              <w:spacing w:line="240" w:lineRule="auto"/>
              <w:ind w:firstLine="0" w:firstLineChars="0"/>
              <w:jc w:val="center"/>
              <w:textAlignment w:val="center"/>
              <w:rPr>
                <w:rFonts w:cs="Times New Roman"/>
                <w:sz w:val="21"/>
              </w:rPr>
            </w:pPr>
            <w:r>
              <w:rPr>
                <w:rFonts w:cs="Times New Roman"/>
                <w:sz w:val="21"/>
                <w:lang w:eastAsia="zh-CN" w:bidi="ar"/>
              </w:rPr>
              <w:t>4604.20</w:t>
            </w:r>
          </w:p>
        </w:tc>
        <w:tc>
          <w:tcPr>
            <w:tcW w:w="344" w:type="pct"/>
            <w:tcBorders>
              <w:top w:val="nil"/>
              <w:left w:val="nil"/>
              <w:bottom w:val="single" w:color="000000" w:sz="8" w:space="0"/>
              <w:right w:val="single" w:color="000000" w:sz="8" w:space="0"/>
            </w:tcBorders>
            <w:shd w:val="clear" w:color="auto" w:fill="auto"/>
            <w:vAlign w:val="center"/>
          </w:tcPr>
          <w:p w14:paraId="6D0BFC13">
            <w:pPr>
              <w:spacing w:line="240" w:lineRule="auto"/>
              <w:ind w:firstLine="0" w:firstLineChars="0"/>
              <w:jc w:val="center"/>
              <w:rPr>
                <w:rFonts w:cs="Times New Roman"/>
                <w:sz w:val="21"/>
              </w:rPr>
            </w:pPr>
          </w:p>
        </w:tc>
        <w:tc>
          <w:tcPr>
            <w:tcW w:w="351" w:type="pct"/>
            <w:tcBorders>
              <w:top w:val="nil"/>
              <w:left w:val="nil"/>
              <w:bottom w:val="single" w:color="000000" w:sz="8" w:space="0"/>
              <w:right w:val="single" w:color="000000" w:sz="8" w:space="0"/>
            </w:tcBorders>
            <w:shd w:val="clear" w:color="auto" w:fill="auto"/>
            <w:vAlign w:val="center"/>
          </w:tcPr>
          <w:p w14:paraId="7FD2585D">
            <w:pPr>
              <w:spacing w:line="240" w:lineRule="auto"/>
              <w:ind w:firstLine="0" w:firstLineChars="0"/>
              <w:jc w:val="center"/>
              <w:rPr>
                <w:rFonts w:cs="Times New Roman"/>
                <w:sz w:val="21"/>
              </w:rPr>
            </w:pPr>
          </w:p>
        </w:tc>
        <w:tc>
          <w:tcPr>
            <w:tcW w:w="351" w:type="pct"/>
            <w:tcBorders>
              <w:top w:val="nil"/>
              <w:left w:val="nil"/>
              <w:bottom w:val="single" w:color="000000" w:sz="8" w:space="0"/>
              <w:right w:val="single" w:color="000000" w:sz="8" w:space="0"/>
            </w:tcBorders>
            <w:shd w:val="clear" w:color="auto" w:fill="auto"/>
            <w:vAlign w:val="center"/>
          </w:tcPr>
          <w:p w14:paraId="4394E48A">
            <w:pPr>
              <w:spacing w:line="240" w:lineRule="auto"/>
              <w:ind w:firstLine="0" w:firstLineChars="0"/>
              <w:jc w:val="center"/>
              <w:textAlignment w:val="center"/>
              <w:rPr>
                <w:rFonts w:cs="Times New Roman"/>
                <w:sz w:val="21"/>
              </w:rPr>
            </w:pPr>
            <w:r>
              <w:rPr>
                <w:rFonts w:cs="Times New Roman"/>
                <w:sz w:val="21"/>
                <w:lang w:eastAsia="zh-CN" w:bidi="ar"/>
              </w:rPr>
              <w:t>77.50</w:t>
            </w:r>
          </w:p>
        </w:tc>
        <w:tc>
          <w:tcPr>
            <w:tcW w:w="399" w:type="pct"/>
            <w:tcBorders>
              <w:top w:val="nil"/>
              <w:left w:val="nil"/>
              <w:bottom w:val="single" w:color="000000" w:sz="8" w:space="0"/>
              <w:right w:val="single" w:color="000000" w:sz="8" w:space="0"/>
            </w:tcBorders>
            <w:shd w:val="clear" w:color="auto" w:fill="auto"/>
            <w:vAlign w:val="center"/>
          </w:tcPr>
          <w:p w14:paraId="42106C9B">
            <w:pPr>
              <w:spacing w:line="240" w:lineRule="auto"/>
              <w:ind w:firstLine="0" w:firstLineChars="0"/>
              <w:jc w:val="center"/>
              <w:textAlignment w:val="center"/>
              <w:rPr>
                <w:rFonts w:cs="Times New Roman"/>
                <w:sz w:val="21"/>
              </w:rPr>
            </w:pPr>
            <w:r>
              <w:rPr>
                <w:rFonts w:cs="Times New Roman"/>
                <w:sz w:val="21"/>
                <w:lang w:eastAsia="zh-CN" w:bidi="ar"/>
              </w:rPr>
              <w:t>4604.20</w:t>
            </w:r>
          </w:p>
        </w:tc>
        <w:tc>
          <w:tcPr>
            <w:tcW w:w="351" w:type="pct"/>
            <w:tcBorders>
              <w:top w:val="nil"/>
              <w:left w:val="nil"/>
              <w:bottom w:val="single" w:color="000000" w:sz="8" w:space="0"/>
              <w:right w:val="single" w:color="000000" w:sz="8" w:space="0"/>
            </w:tcBorders>
            <w:shd w:val="clear" w:color="auto" w:fill="auto"/>
            <w:vAlign w:val="center"/>
          </w:tcPr>
          <w:p w14:paraId="0B23546C">
            <w:pPr>
              <w:spacing w:line="240" w:lineRule="auto"/>
              <w:ind w:firstLine="0" w:firstLineChars="0"/>
              <w:jc w:val="center"/>
              <w:rPr>
                <w:rFonts w:cs="Times New Roman"/>
                <w:sz w:val="21"/>
              </w:rPr>
            </w:pPr>
          </w:p>
        </w:tc>
        <w:tc>
          <w:tcPr>
            <w:tcW w:w="399" w:type="pct"/>
            <w:tcBorders>
              <w:top w:val="nil"/>
              <w:left w:val="nil"/>
              <w:bottom w:val="single" w:color="000000" w:sz="8" w:space="0"/>
              <w:right w:val="single" w:color="000000" w:sz="8" w:space="0"/>
            </w:tcBorders>
            <w:shd w:val="clear" w:color="auto" w:fill="auto"/>
            <w:vAlign w:val="center"/>
          </w:tcPr>
          <w:p w14:paraId="656A6C1A">
            <w:pPr>
              <w:spacing w:line="240" w:lineRule="auto"/>
              <w:ind w:firstLine="0" w:firstLineChars="0"/>
              <w:jc w:val="center"/>
              <w:rPr>
                <w:rFonts w:cs="Times New Roman"/>
                <w:sz w:val="21"/>
              </w:rPr>
            </w:pPr>
          </w:p>
        </w:tc>
        <w:tc>
          <w:tcPr>
            <w:tcW w:w="344" w:type="pct"/>
            <w:tcBorders>
              <w:top w:val="nil"/>
              <w:left w:val="nil"/>
              <w:bottom w:val="single" w:color="000000" w:sz="8" w:space="0"/>
              <w:right w:val="single" w:color="000000" w:sz="8" w:space="0"/>
            </w:tcBorders>
            <w:shd w:val="clear" w:color="auto" w:fill="auto"/>
            <w:vAlign w:val="center"/>
          </w:tcPr>
          <w:p w14:paraId="3EC21C7A">
            <w:pPr>
              <w:spacing w:line="240" w:lineRule="auto"/>
              <w:ind w:firstLine="0" w:firstLineChars="0"/>
              <w:jc w:val="center"/>
              <w:rPr>
                <w:rFonts w:cs="Times New Roman"/>
                <w:sz w:val="21"/>
              </w:rPr>
            </w:pPr>
          </w:p>
        </w:tc>
        <w:tc>
          <w:tcPr>
            <w:tcW w:w="361" w:type="pct"/>
            <w:tcBorders>
              <w:top w:val="nil"/>
              <w:left w:val="nil"/>
              <w:bottom w:val="single" w:color="000000" w:sz="8" w:space="0"/>
              <w:right w:val="single" w:color="000000" w:sz="8" w:space="0"/>
            </w:tcBorders>
            <w:shd w:val="clear" w:color="auto" w:fill="auto"/>
            <w:vAlign w:val="center"/>
          </w:tcPr>
          <w:p w14:paraId="37CB57E7">
            <w:pPr>
              <w:spacing w:line="240" w:lineRule="auto"/>
              <w:ind w:firstLine="0" w:firstLineChars="0"/>
              <w:jc w:val="center"/>
              <w:rPr>
                <w:rFonts w:cs="Times New Roman"/>
                <w:sz w:val="21"/>
              </w:rPr>
            </w:pPr>
          </w:p>
        </w:tc>
        <w:tc>
          <w:tcPr>
            <w:tcW w:w="344" w:type="pct"/>
            <w:tcBorders>
              <w:top w:val="nil"/>
              <w:left w:val="nil"/>
              <w:bottom w:val="single" w:color="000000" w:sz="8" w:space="0"/>
              <w:right w:val="single" w:color="000000" w:sz="8" w:space="0"/>
            </w:tcBorders>
            <w:shd w:val="clear" w:color="auto" w:fill="auto"/>
            <w:vAlign w:val="center"/>
          </w:tcPr>
          <w:p w14:paraId="0EF7FBC2">
            <w:pPr>
              <w:spacing w:line="240" w:lineRule="auto"/>
              <w:ind w:firstLine="0" w:firstLineChars="0"/>
              <w:jc w:val="center"/>
              <w:rPr>
                <w:rFonts w:cs="Times New Roman"/>
                <w:sz w:val="21"/>
              </w:rPr>
            </w:pPr>
          </w:p>
        </w:tc>
        <w:tc>
          <w:tcPr>
            <w:tcW w:w="361" w:type="pct"/>
            <w:tcBorders>
              <w:top w:val="nil"/>
              <w:left w:val="nil"/>
              <w:bottom w:val="single" w:color="000000" w:sz="8" w:space="0"/>
              <w:right w:val="single" w:color="000000" w:sz="8" w:space="0"/>
            </w:tcBorders>
            <w:shd w:val="clear" w:color="auto" w:fill="auto"/>
            <w:vAlign w:val="center"/>
          </w:tcPr>
          <w:p w14:paraId="5A81F5DA">
            <w:pPr>
              <w:spacing w:line="240" w:lineRule="auto"/>
              <w:ind w:firstLine="0" w:firstLineChars="0"/>
              <w:jc w:val="center"/>
              <w:rPr>
                <w:rFonts w:cs="Times New Roman"/>
                <w:sz w:val="21"/>
              </w:rPr>
            </w:pPr>
          </w:p>
        </w:tc>
      </w:tr>
      <w:tr w14:paraId="3D99CE63">
        <w:tblPrEx>
          <w:tblCellMar>
            <w:top w:w="0" w:type="dxa"/>
            <w:left w:w="108" w:type="dxa"/>
            <w:bottom w:w="0" w:type="dxa"/>
            <w:right w:w="108" w:type="dxa"/>
          </w:tblCellMar>
        </w:tblPrEx>
        <w:trPr>
          <w:trHeight w:val="295" w:hRule="atLeast"/>
          <w:jc w:val="center"/>
        </w:trPr>
        <w:tc>
          <w:tcPr>
            <w:tcW w:w="322" w:type="pct"/>
            <w:vMerge w:val="restart"/>
            <w:tcBorders>
              <w:top w:val="nil"/>
              <w:left w:val="single" w:color="000000" w:sz="8" w:space="0"/>
              <w:bottom w:val="single" w:color="000000" w:sz="8" w:space="0"/>
              <w:right w:val="single" w:color="000000" w:sz="8" w:space="0"/>
            </w:tcBorders>
            <w:shd w:val="clear" w:color="auto" w:fill="auto"/>
            <w:vAlign w:val="center"/>
          </w:tcPr>
          <w:p w14:paraId="090EFB25">
            <w:pPr>
              <w:spacing w:line="240" w:lineRule="auto"/>
              <w:ind w:firstLine="0" w:firstLineChars="0"/>
              <w:jc w:val="center"/>
              <w:textAlignment w:val="center"/>
              <w:rPr>
                <w:rFonts w:cs="宋体"/>
                <w:sz w:val="21"/>
              </w:rPr>
            </w:pPr>
            <w:r>
              <w:rPr>
                <w:rFonts w:hint="eastAsia" w:cs="宋体"/>
                <w:sz w:val="21"/>
                <w:lang w:eastAsia="zh-CN" w:bidi="ar"/>
              </w:rPr>
              <w:t>人工</w:t>
            </w:r>
          </w:p>
        </w:tc>
        <w:tc>
          <w:tcPr>
            <w:tcW w:w="324" w:type="pct"/>
            <w:tcBorders>
              <w:top w:val="nil"/>
              <w:left w:val="nil"/>
              <w:bottom w:val="single" w:color="000000" w:sz="8" w:space="0"/>
              <w:right w:val="single" w:color="000000" w:sz="8" w:space="0"/>
            </w:tcBorders>
            <w:shd w:val="clear" w:color="auto" w:fill="auto"/>
            <w:vAlign w:val="center"/>
          </w:tcPr>
          <w:p w14:paraId="1EC566CD">
            <w:pPr>
              <w:spacing w:line="240" w:lineRule="auto"/>
              <w:ind w:firstLine="0" w:firstLineChars="0"/>
              <w:jc w:val="center"/>
              <w:textAlignment w:val="center"/>
              <w:rPr>
                <w:rFonts w:cs="宋体"/>
                <w:sz w:val="21"/>
              </w:rPr>
            </w:pPr>
            <w:r>
              <w:rPr>
                <w:rFonts w:hint="eastAsia" w:cs="宋体"/>
                <w:sz w:val="21"/>
                <w:lang w:eastAsia="zh-CN" w:bidi="ar"/>
              </w:rPr>
              <w:t>合计</w:t>
            </w:r>
          </w:p>
        </w:tc>
        <w:tc>
          <w:tcPr>
            <w:tcW w:w="351" w:type="pct"/>
            <w:tcBorders>
              <w:top w:val="nil"/>
              <w:left w:val="nil"/>
              <w:bottom w:val="single" w:color="000000" w:sz="8" w:space="0"/>
              <w:right w:val="single" w:color="000000" w:sz="8" w:space="0"/>
            </w:tcBorders>
            <w:shd w:val="clear" w:color="auto" w:fill="auto"/>
            <w:vAlign w:val="center"/>
          </w:tcPr>
          <w:p w14:paraId="16058E55">
            <w:pPr>
              <w:spacing w:line="240" w:lineRule="auto"/>
              <w:ind w:firstLine="0" w:firstLineChars="0"/>
              <w:jc w:val="center"/>
              <w:textAlignment w:val="center"/>
              <w:rPr>
                <w:rFonts w:cs="Times New Roman"/>
                <w:sz w:val="21"/>
              </w:rPr>
            </w:pPr>
            <w:r>
              <w:rPr>
                <w:rFonts w:cs="Times New Roman"/>
                <w:sz w:val="21"/>
                <w:lang w:eastAsia="zh-CN" w:bidi="ar"/>
              </w:rPr>
              <w:t>1950.16</w:t>
            </w:r>
          </w:p>
        </w:tc>
        <w:tc>
          <w:tcPr>
            <w:tcW w:w="399" w:type="pct"/>
            <w:tcBorders>
              <w:top w:val="nil"/>
              <w:left w:val="nil"/>
              <w:bottom w:val="single" w:color="000000" w:sz="8" w:space="0"/>
              <w:right w:val="single" w:color="000000" w:sz="8" w:space="0"/>
            </w:tcBorders>
            <w:shd w:val="clear" w:color="auto" w:fill="auto"/>
            <w:vAlign w:val="center"/>
          </w:tcPr>
          <w:p w14:paraId="6E320DC5">
            <w:pPr>
              <w:spacing w:line="240" w:lineRule="auto"/>
              <w:ind w:firstLine="0" w:firstLineChars="0"/>
              <w:jc w:val="center"/>
              <w:textAlignment w:val="center"/>
              <w:rPr>
                <w:rFonts w:cs="Times New Roman"/>
                <w:sz w:val="21"/>
              </w:rPr>
            </w:pPr>
            <w:r>
              <w:rPr>
                <w:rFonts w:cs="Times New Roman"/>
                <w:sz w:val="21"/>
                <w:lang w:eastAsia="zh-CN" w:bidi="ar"/>
              </w:rPr>
              <w:t>273525.00</w:t>
            </w:r>
          </w:p>
        </w:tc>
        <w:tc>
          <w:tcPr>
            <w:tcW w:w="344" w:type="pct"/>
            <w:tcBorders>
              <w:top w:val="nil"/>
              <w:left w:val="nil"/>
              <w:bottom w:val="single" w:color="000000" w:sz="8" w:space="0"/>
              <w:right w:val="single" w:color="000000" w:sz="8" w:space="0"/>
            </w:tcBorders>
            <w:shd w:val="clear" w:color="auto" w:fill="auto"/>
            <w:vAlign w:val="center"/>
          </w:tcPr>
          <w:p w14:paraId="114735EE">
            <w:pPr>
              <w:spacing w:line="240" w:lineRule="auto"/>
              <w:ind w:firstLine="0" w:firstLineChars="0"/>
              <w:jc w:val="center"/>
              <w:textAlignment w:val="center"/>
              <w:rPr>
                <w:rFonts w:cs="Times New Roman"/>
                <w:sz w:val="21"/>
              </w:rPr>
            </w:pPr>
            <w:r>
              <w:rPr>
                <w:rFonts w:cs="Times New Roman"/>
                <w:sz w:val="21"/>
                <w:lang w:eastAsia="zh-CN" w:bidi="ar"/>
              </w:rPr>
              <w:t>183.23</w:t>
            </w:r>
          </w:p>
        </w:tc>
        <w:tc>
          <w:tcPr>
            <w:tcW w:w="351" w:type="pct"/>
            <w:tcBorders>
              <w:top w:val="nil"/>
              <w:left w:val="nil"/>
              <w:bottom w:val="single" w:color="000000" w:sz="8" w:space="0"/>
              <w:right w:val="single" w:color="000000" w:sz="8" w:space="0"/>
            </w:tcBorders>
            <w:shd w:val="clear" w:color="auto" w:fill="auto"/>
            <w:vAlign w:val="center"/>
          </w:tcPr>
          <w:p w14:paraId="73ECAC92">
            <w:pPr>
              <w:spacing w:line="240" w:lineRule="auto"/>
              <w:ind w:firstLine="0" w:firstLineChars="0"/>
              <w:jc w:val="center"/>
              <w:textAlignment w:val="center"/>
              <w:rPr>
                <w:rFonts w:cs="Times New Roman"/>
                <w:sz w:val="21"/>
              </w:rPr>
            </w:pPr>
            <w:r>
              <w:rPr>
                <w:rFonts w:cs="Times New Roman"/>
                <w:sz w:val="21"/>
                <w:lang w:eastAsia="zh-CN" w:bidi="ar"/>
              </w:rPr>
              <w:t>5144.90</w:t>
            </w:r>
          </w:p>
        </w:tc>
        <w:tc>
          <w:tcPr>
            <w:tcW w:w="351" w:type="pct"/>
            <w:tcBorders>
              <w:top w:val="nil"/>
              <w:left w:val="nil"/>
              <w:bottom w:val="single" w:color="000000" w:sz="8" w:space="0"/>
              <w:right w:val="single" w:color="000000" w:sz="8" w:space="0"/>
            </w:tcBorders>
            <w:shd w:val="clear" w:color="auto" w:fill="auto"/>
            <w:vAlign w:val="center"/>
          </w:tcPr>
          <w:p w14:paraId="59A55752">
            <w:pPr>
              <w:spacing w:line="240" w:lineRule="auto"/>
              <w:ind w:firstLine="0" w:firstLineChars="0"/>
              <w:jc w:val="center"/>
              <w:textAlignment w:val="center"/>
              <w:rPr>
                <w:rFonts w:cs="Times New Roman"/>
                <w:sz w:val="21"/>
              </w:rPr>
            </w:pPr>
            <w:r>
              <w:rPr>
                <w:rFonts w:cs="Times New Roman"/>
                <w:sz w:val="21"/>
                <w:lang w:eastAsia="zh-CN" w:bidi="ar"/>
              </w:rPr>
              <w:t>1205.14</w:t>
            </w:r>
          </w:p>
        </w:tc>
        <w:tc>
          <w:tcPr>
            <w:tcW w:w="399" w:type="pct"/>
            <w:tcBorders>
              <w:top w:val="nil"/>
              <w:left w:val="nil"/>
              <w:bottom w:val="single" w:color="000000" w:sz="8" w:space="0"/>
              <w:right w:val="single" w:color="000000" w:sz="8" w:space="0"/>
            </w:tcBorders>
            <w:shd w:val="clear" w:color="auto" w:fill="auto"/>
            <w:vAlign w:val="center"/>
          </w:tcPr>
          <w:p w14:paraId="3713CF6A">
            <w:pPr>
              <w:spacing w:line="240" w:lineRule="auto"/>
              <w:ind w:firstLine="0" w:firstLineChars="0"/>
              <w:jc w:val="center"/>
              <w:textAlignment w:val="center"/>
              <w:rPr>
                <w:rFonts w:cs="Times New Roman"/>
                <w:sz w:val="21"/>
              </w:rPr>
            </w:pPr>
            <w:r>
              <w:rPr>
                <w:rFonts w:cs="Times New Roman"/>
                <w:sz w:val="21"/>
                <w:lang w:eastAsia="zh-CN" w:bidi="ar"/>
              </w:rPr>
              <w:t>152318.80</w:t>
            </w:r>
          </w:p>
        </w:tc>
        <w:tc>
          <w:tcPr>
            <w:tcW w:w="351" w:type="pct"/>
            <w:tcBorders>
              <w:top w:val="nil"/>
              <w:left w:val="nil"/>
              <w:bottom w:val="single" w:color="000000" w:sz="8" w:space="0"/>
              <w:right w:val="single" w:color="000000" w:sz="8" w:space="0"/>
            </w:tcBorders>
            <w:shd w:val="clear" w:color="auto" w:fill="auto"/>
            <w:vAlign w:val="center"/>
          </w:tcPr>
          <w:p w14:paraId="0E08DB32">
            <w:pPr>
              <w:spacing w:line="240" w:lineRule="auto"/>
              <w:ind w:firstLine="0" w:firstLineChars="0"/>
              <w:jc w:val="center"/>
              <w:textAlignment w:val="center"/>
              <w:rPr>
                <w:rFonts w:cs="Times New Roman"/>
                <w:sz w:val="21"/>
              </w:rPr>
            </w:pPr>
            <w:r>
              <w:rPr>
                <w:rFonts w:cs="Times New Roman"/>
                <w:sz w:val="21"/>
                <w:lang w:eastAsia="zh-CN" w:bidi="ar"/>
              </w:rPr>
              <w:t>366.73</w:t>
            </w:r>
          </w:p>
        </w:tc>
        <w:tc>
          <w:tcPr>
            <w:tcW w:w="399" w:type="pct"/>
            <w:tcBorders>
              <w:top w:val="nil"/>
              <w:left w:val="nil"/>
              <w:bottom w:val="single" w:color="000000" w:sz="8" w:space="0"/>
              <w:right w:val="single" w:color="000000" w:sz="8" w:space="0"/>
            </w:tcBorders>
            <w:shd w:val="clear" w:color="auto" w:fill="auto"/>
            <w:vAlign w:val="center"/>
          </w:tcPr>
          <w:p w14:paraId="04CDBDCC">
            <w:pPr>
              <w:spacing w:line="240" w:lineRule="auto"/>
              <w:ind w:firstLine="0" w:firstLineChars="0"/>
              <w:jc w:val="center"/>
              <w:textAlignment w:val="center"/>
              <w:rPr>
                <w:rFonts w:cs="Times New Roman"/>
                <w:sz w:val="21"/>
              </w:rPr>
            </w:pPr>
            <w:r>
              <w:rPr>
                <w:rFonts w:cs="Times New Roman"/>
                <w:sz w:val="21"/>
                <w:lang w:eastAsia="zh-CN" w:bidi="ar"/>
              </w:rPr>
              <w:t>85437.30</w:t>
            </w:r>
          </w:p>
        </w:tc>
        <w:tc>
          <w:tcPr>
            <w:tcW w:w="344" w:type="pct"/>
            <w:tcBorders>
              <w:top w:val="nil"/>
              <w:left w:val="nil"/>
              <w:bottom w:val="single" w:color="000000" w:sz="8" w:space="0"/>
              <w:right w:val="single" w:color="000000" w:sz="8" w:space="0"/>
            </w:tcBorders>
            <w:shd w:val="clear" w:color="auto" w:fill="auto"/>
            <w:vAlign w:val="center"/>
          </w:tcPr>
          <w:p w14:paraId="63F6EA2A">
            <w:pPr>
              <w:spacing w:line="240" w:lineRule="auto"/>
              <w:ind w:firstLine="0" w:firstLineChars="0"/>
              <w:jc w:val="center"/>
              <w:textAlignment w:val="center"/>
              <w:rPr>
                <w:rFonts w:cs="Times New Roman"/>
                <w:sz w:val="21"/>
              </w:rPr>
            </w:pPr>
            <w:r>
              <w:rPr>
                <w:rFonts w:cs="Times New Roman"/>
                <w:sz w:val="21"/>
                <w:lang w:eastAsia="zh-CN" w:bidi="ar"/>
              </w:rPr>
              <w:t>42.67</w:t>
            </w:r>
          </w:p>
        </w:tc>
        <w:tc>
          <w:tcPr>
            <w:tcW w:w="361" w:type="pct"/>
            <w:tcBorders>
              <w:top w:val="nil"/>
              <w:left w:val="nil"/>
              <w:bottom w:val="single" w:color="000000" w:sz="8" w:space="0"/>
              <w:right w:val="single" w:color="000000" w:sz="8" w:space="0"/>
            </w:tcBorders>
            <w:shd w:val="clear" w:color="auto" w:fill="auto"/>
            <w:vAlign w:val="center"/>
          </w:tcPr>
          <w:p w14:paraId="128229CC">
            <w:pPr>
              <w:spacing w:line="240" w:lineRule="auto"/>
              <w:ind w:firstLine="0" w:firstLineChars="0"/>
              <w:jc w:val="center"/>
              <w:textAlignment w:val="center"/>
              <w:rPr>
                <w:rFonts w:cs="Times New Roman"/>
                <w:sz w:val="21"/>
              </w:rPr>
            </w:pPr>
            <w:r>
              <w:rPr>
                <w:rFonts w:cs="Times New Roman"/>
                <w:sz w:val="21"/>
                <w:lang w:eastAsia="zh-CN" w:bidi="ar"/>
              </w:rPr>
              <w:t>6851.00</w:t>
            </w:r>
          </w:p>
        </w:tc>
        <w:tc>
          <w:tcPr>
            <w:tcW w:w="344" w:type="pct"/>
            <w:tcBorders>
              <w:top w:val="nil"/>
              <w:left w:val="nil"/>
              <w:bottom w:val="single" w:color="000000" w:sz="8" w:space="0"/>
              <w:right w:val="single" w:color="000000" w:sz="8" w:space="0"/>
            </w:tcBorders>
            <w:shd w:val="clear" w:color="auto" w:fill="auto"/>
            <w:vAlign w:val="center"/>
          </w:tcPr>
          <w:p w14:paraId="268A371A">
            <w:pPr>
              <w:spacing w:line="240" w:lineRule="auto"/>
              <w:ind w:firstLine="0" w:firstLineChars="0"/>
              <w:jc w:val="center"/>
              <w:textAlignment w:val="center"/>
              <w:rPr>
                <w:rFonts w:cs="Times New Roman"/>
                <w:sz w:val="21"/>
              </w:rPr>
            </w:pPr>
            <w:r>
              <w:rPr>
                <w:rFonts w:cs="Times New Roman"/>
                <w:sz w:val="21"/>
                <w:lang w:eastAsia="zh-CN" w:bidi="ar"/>
              </w:rPr>
              <w:t>152.38</w:t>
            </w:r>
          </w:p>
        </w:tc>
        <w:tc>
          <w:tcPr>
            <w:tcW w:w="361" w:type="pct"/>
            <w:tcBorders>
              <w:top w:val="nil"/>
              <w:left w:val="nil"/>
              <w:bottom w:val="single" w:color="000000" w:sz="8" w:space="0"/>
              <w:right w:val="single" w:color="000000" w:sz="8" w:space="0"/>
            </w:tcBorders>
            <w:shd w:val="clear" w:color="auto" w:fill="auto"/>
            <w:vAlign w:val="center"/>
          </w:tcPr>
          <w:p w14:paraId="1F709892">
            <w:pPr>
              <w:spacing w:line="240" w:lineRule="auto"/>
              <w:ind w:firstLine="0" w:firstLineChars="0"/>
              <w:jc w:val="center"/>
              <w:textAlignment w:val="center"/>
              <w:rPr>
                <w:rFonts w:cs="Times New Roman"/>
                <w:sz w:val="21"/>
              </w:rPr>
            </w:pPr>
            <w:r>
              <w:rPr>
                <w:rFonts w:cs="Times New Roman"/>
                <w:sz w:val="21"/>
                <w:lang w:eastAsia="zh-CN" w:bidi="ar"/>
              </w:rPr>
              <w:t>23773.00</w:t>
            </w:r>
          </w:p>
        </w:tc>
      </w:tr>
      <w:tr w14:paraId="1B363B7C">
        <w:tblPrEx>
          <w:tblCellMar>
            <w:top w:w="0" w:type="dxa"/>
            <w:left w:w="108" w:type="dxa"/>
            <w:bottom w:w="0" w:type="dxa"/>
            <w:right w:w="108" w:type="dxa"/>
          </w:tblCellMar>
        </w:tblPrEx>
        <w:trPr>
          <w:trHeight w:val="295" w:hRule="atLeast"/>
          <w:jc w:val="center"/>
        </w:trPr>
        <w:tc>
          <w:tcPr>
            <w:tcW w:w="322" w:type="pct"/>
            <w:vMerge w:val="continue"/>
            <w:tcBorders>
              <w:top w:val="nil"/>
              <w:left w:val="single" w:color="000000" w:sz="8" w:space="0"/>
              <w:bottom w:val="single" w:color="000000" w:sz="8" w:space="0"/>
              <w:right w:val="single" w:color="000000" w:sz="8" w:space="0"/>
            </w:tcBorders>
            <w:shd w:val="clear" w:color="auto" w:fill="auto"/>
            <w:vAlign w:val="center"/>
          </w:tcPr>
          <w:p w14:paraId="508F9264">
            <w:pPr>
              <w:spacing w:line="240" w:lineRule="auto"/>
              <w:ind w:firstLine="0" w:firstLineChars="0"/>
              <w:jc w:val="center"/>
              <w:rPr>
                <w:rFonts w:cs="宋体"/>
                <w:sz w:val="21"/>
              </w:rPr>
            </w:pPr>
          </w:p>
        </w:tc>
        <w:tc>
          <w:tcPr>
            <w:tcW w:w="324" w:type="pct"/>
            <w:tcBorders>
              <w:top w:val="nil"/>
              <w:left w:val="nil"/>
              <w:bottom w:val="single" w:color="000000" w:sz="8" w:space="0"/>
              <w:right w:val="single" w:color="000000" w:sz="8" w:space="0"/>
            </w:tcBorders>
            <w:shd w:val="clear" w:color="auto" w:fill="auto"/>
            <w:vAlign w:val="center"/>
          </w:tcPr>
          <w:p w14:paraId="2EEFEBC8">
            <w:pPr>
              <w:spacing w:line="240" w:lineRule="auto"/>
              <w:ind w:firstLine="0" w:firstLineChars="0"/>
              <w:jc w:val="center"/>
              <w:textAlignment w:val="center"/>
              <w:rPr>
                <w:rFonts w:cs="宋体"/>
                <w:sz w:val="21"/>
              </w:rPr>
            </w:pPr>
            <w:r>
              <w:rPr>
                <w:rFonts w:hint="eastAsia" w:cs="宋体"/>
                <w:sz w:val="21"/>
                <w:lang w:eastAsia="zh-CN" w:bidi="ar"/>
              </w:rPr>
              <w:t>阔叶混</w:t>
            </w:r>
          </w:p>
        </w:tc>
        <w:tc>
          <w:tcPr>
            <w:tcW w:w="351" w:type="pct"/>
            <w:tcBorders>
              <w:top w:val="nil"/>
              <w:left w:val="nil"/>
              <w:bottom w:val="single" w:color="000000" w:sz="8" w:space="0"/>
              <w:right w:val="single" w:color="000000" w:sz="8" w:space="0"/>
            </w:tcBorders>
            <w:shd w:val="clear" w:color="auto" w:fill="auto"/>
            <w:vAlign w:val="center"/>
          </w:tcPr>
          <w:p w14:paraId="45352F3F">
            <w:pPr>
              <w:spacing w:line="240" w:lineRule="auto"/>
              <w:ind w:firstLine="0" w:firstLineChars="0"/>
              <w:jc w:val="center"/>
              <w:textAlignment w:val="center"/>
              <w:rPr>
                <w:rFonts w:cs="Times New Roman"/>
                <w:sz w:val="21"/>
              </w:rPr>
            </w:pPr>
            <w:r>
              <w:rPr>
                <w:rFonts w:cs="Times New Roman"/>
                <w:sz w:val="21"/>
                <w:lang w:eastAsia="zh-CN" w:bidi="ar"/>
              </w:rPr>
              <w:t>11.27</w:t>
            </w:r>
          </w:p>
        </w:tc>
        <w:tc>
          <w:tcPr>
            <w:tcW w:w="399" w:type="pct"/>
            <w:tcBorders>
              <w:top w:val="nil"/>
              <w:left w:val="nil"/>
              <w:bottom w:val="single" w:color="000000" w:sz="8" w:space="0"/>
              <w:right w:val="single" w:color="000000" w:sz="8" w:space="0"/>
            </w:tcBorders>
            <w:shd w:val="clear" w:color="auto" w:fill="auto"/>
            <w:vAlign w:val="center"/>
          </w:tcPr>
          <w:p w14:paraId="24626AB1">
            <w:pPr>
              <w:spacing w:line="240" w:lineRule="auto"/>
              <w:ind w:firstLine="0" w:firstLineChars="0"/>
              <w:jc w:val="center"/>
              <w:textAlignment w:val="center"/>
              <w:rPr>
                <w:rFonts w:cs="Times New Roman"/>
                <w:sz w:val="21"/>
              </w:rPr>
            </w:pPr>
            <w:r>
              <w:rPr>
                <w:rFonts w:cs="Times New Roman"/>
                <w:sz w:val="21"/>
                <w:lang w:eastAsia="zh-CN" w:bidi="ar"/>
              </w:rPr>
              <w:t>682.70</w:t>
            </w:r>
          </w:p>
        </w:tc>
        <w:tc>
          <w:tcPr>
            <w:tcW w:w="344" w:type="pct"/>
            <w:tcBorders>
              <w:top w:val="nil"/>
              <w:left w:val="nil"/>
              <w:bottom w:val="single" w:color="000000" w:sz="8" w:space="0"/>
              <w:right w:val="single" w:color="000000" w:sz="8" w:space="0"/>
            </w:tcBorders>
            <w:shd w:val="clear" w:color="auto" w:fill="auto"/>
            <w:vAlign w:val="center"/>
          </w:tcPr>
          <w:p w14:paraId="6EA3C3DE">
            <w:pPr>
              <w:spacing w:line="240" w:lineRule="auto"/>
              <w:ind w:firstLine="0" w:firstLineChars="0"/>
              <w:jc w:val="center"/>
              <w:textAlignment w:val="center"/>
              <w:rPr>
                <w:rFonts w:cs="Times New Roman"/>
                <w:sz w:val="21"/>
              </w:rPr>
            </w:pPr>
            <w:r>
              <w:rPr>
                <w:rFonts w:cs="Times New Roman"/>
                <w:sz w:val="21"/>
                <w:lang w:eastAsia="zh-CN" w:bidi="ar"/>
              </w:rPr>
              <w:t>1.20</w:t>
            </w:r>
          </w:p>
        </w:tc>
        <w:tc>
          <w:tcPr>
            <w:tcW w:w="351" w:type="pct"/>
            <w:tcBorders>
              <w:top w:val="nil"/>
              <w:left w:val="nil"/>
              <w:bottom w:val="single" w:color="000000" w:sz="8" w:space="0"/>
              <w:right w:val="single" w:color="000000" w:sz="8" w:space="0"/>
            </w:tcBorders>
            <w:shd w:val="clear" w:color="auto" w:fill="auto"/>
            <w:vAlign w:val="center"/>
          </w:tcPr>
          <w:p w14:paraId="1B9E0500">
            <w:pPr>
              <w:spacing w:line="240" w:lineRule="auto"/>
              <w:ind w:firstLine="0" w:firstLineChars="0"/>
              <w:jc w:val="center"/>
              <w:textAlignment w:val="center"/>
              <w:rPr>
                <w:rFonts w:cs="Times New Roman"/>
                <w:sz w:val="21"/>
              </w:rPr>
            </w:pPr>
            <w:r>
              <w:rPr>
                <w:rFonts w:cs="Times New Roman"/>
                <w:sz w:val="21"/>
                <w:lang w:eastAsia="zh-CN" w:bidi="ar"/>
              </w:rPr>
              <w:t>20.80</w:t>
            </w:r>
          </w:p>
        </w:tc>
        <w:tc>
          <w:tcPr>
            <w:tcW w:w="351" w:type="pct"/>
            <w:tcBorders>
              <w:top w:val="nil"/>
              <w:left w:val="nil"/>
              <w:bottom w:val="single" w:color="000000" w:sz="8" w:space="0"/>
              <w:right w:val="single" w:color="000000" w:sz="8" w:space="0"/>
            </w:tcBorders>
            <w:shd w:val="clear" w:color="auto" w:fill="auto"/>
            <w:vAlign w:val="center"/>
          </w:tcPr>
          <w:p w14:paraId="18329377">
            <w:pPr>
              <w:spacing w:line="240" w:lineRule="auto"/>
              <w:ind w:firstLine="0" w:firstLineChars="0"/>
              <w:jc w:val="center"/>
              <w:textAlignment w:val="center"/>
              <w:rPr>
                <w:rFonts w:cs="Times New Roman"/>
                <w:sz w:val="21"/>
              </w:rPr>
            </w:pPr>
            <w:r>
              <w:rPr>
                <w:rFonts w:cs="Times New Roman"/>
                <w:sz w:val="21"/>
                <w:lang w:eastAsia="zh-CN" w:bidi="ar"/>
              </w:rPr>
              <w:t>6.50</w:t>
            </w:r>
          </w:p>
        </w:tc>
        <w:tc>
          <w:tcPr>
            <w:tcW w:w="399" w:type="pct"/>
            <w:tcBorders>
              <w:top w:val="nil"/>
              <w:left w:val="nil"/>
              <w:bottom w:val="single" w:color="000000" w:sz="8" w:space="0"/>
              <w:right w:val="single" w:color="000000" w:sz="8" w:space="0"/>
            </w:tcBorders>
            <w:shd w:val="clear" w:color="auto" w:fill="auto"/>
            <w:vAlign w:val="center"/>
          </w:tcPr>
          <w:p w14:paraId="674FF420">
            <w:pPr>
              <w:spacing w:line="240" w:lineRule="auto"/>
              <w:ind w:firstLine="0" w:firstLineChars="0"/>
              <w:jc w:val="center"/>
              <w:textAlignment w:val="center"/>
              <w:rPr>
                <w:rFonts w:cs="Times New Roman"/>
                <w:sz w:val="21"/>
              </w:rPr>
            </w:pPr>
            <w:r>
              <w:rPr>
                <w:rFonts w:cs="Times New Roman"/>
                <w:sz w:val="21"/>
                <w:lang w:eastAsia="zh-CN" w:bidi="ar"/>
              </w:rPr>
              <w:t>357.60</w:t>
            </w:r>
          </w:p>
        </w:tc>
        <w:tc>
          <w:tcPr>
            <w:tcW w:w="351" w:type="pct"/>
            <w:tcBorders>
              <w:top w:val="nil"/>
              <w:left w:val="nil"/>
              <w:bottom w:val="single" w:color="000000" w:sz="8" w:space="0"/>
              <w:right w:val="single" w:color="000000" w:sz="8" w:space="0"/>
            </w:tcBorders>
            <w:shd w:val="clear" w:color="auto" w:fill="auto"/>
            <w:vAlign w:val="center"/>
          </w:tcPr>
          <w:p w14:paraId="01555CCD">
            <w:pPr>
              <w:spacing w:line="240" w:lineRule="auto"/>
              <w:ind w:firstLine="0" w:firstLineChars="0"/>
              <w:jc w:val="center"/>
              <w:textAlignment w:val="center"/>
              <w:rPr>
                <w:rFonts w:cs="Times New Roman"/>
                <w:sz w:val="21"/>
              </w:rPr>
            </w:pPr>
            <w:r>
              <w:rPr>
                <w:rFonts w:cs="Times New Roman"/>
                <w:sz w:val="21"/>
                <w:lang w:eastAsia="zh-CN" w:bidi="ar"/>
              </w:rPr>
              <w:t>3.57</w:t>
            </w:r>
          </w:p>
        </w:tc>
        <w:tc>
          <w:tcPr>
            <w:tcW w:w="399" w:type="pct"/>
            <w:tcBorders>
              <w:top w:val="nil"/>
              <w:left w:val="nil"/>
              <w:bottom w:val="single" w:color="000000" w:sz="8" w:space="0"/>
              <w:right w:val="single" w:color="000000" w:sz="8" w:space="0"/>
            </w:tcBorders>
            <w:shd w:val="clear" w:color="auto" w:fill="auto"/>
            <w:vAlign w:val="center"/>
          </w:tcPr>
          <w:p w14:paraId="42D5CA89">
            <w:pPr>
              <w:spacing w:line="240" w:lineRule="auto"/>
              <w:ind w:firstLine="0" w:firstLineChars="0"/>
              <w:jc w:val="center"/>
              <w:textAlignment w:val="center"/>
              <w:rPr>
                <w:rFonts w:cs="Times New Roman"/>
                <w:sz w:val="21"/>
              </w:rPr>
            </w:pPr>
            <w:r>
              <w:rPr>
                <w:rFonts w:cs="Times New Roman"/>
                <w:sz w:val="21"/>
                <w:lang w:eastAsia="zh-CN" w:bidi="ar"/>
              </w:rPr>
              <w:t>304.30</w:t>
            </w:r>
          </w:p>
        </w:tc>
        <w:tc>
          <w:tcPr>
            <w:tcW w:w="344" w:type="pct"/>
            <w:tcBorders>
              <w:top w:val="nil"/>
              <w:left w:val="nil"/>
              <w:bottom w:val="single" w:color="000000" w:sz="8" w:space="0"/>
              <w:right w:val="single" w:color="000000" w:sz="8" w:space="0"/>
            </w:tcBorders>
            <w:shd w:val="clear" w:color="auto" w:fill="auto"/>
            <w:vAlign w:val="center"/>
          </w:tcPr>
          <w:p w14:paraId="1EC7CE1A">
            <w:pPr>
              <w:spacing w:line="240" w:lineRule="auto"/>
              <w:ind w:firstLine="0" w:firstLineChars="0"/>
              <w:jc w:val="center"/>
              <w:rPr>
                <w:rFonts w:cs="Times New Roman"/>
                <w:sz w:val="21"/>
              </w:rPr>
            </w:pPr>
          </w:p>
        </w:tc>
        <w:tc>
          <w:tcPr>
            <w:tcW w:w="361" w:type="pct"/>
            <w:tcBorders>
              <w:top w:val="nil"/>
              <w:left w:val="nil"/>
              <w:bottom w:val="single" w:color="000000" w:sz="8" w:space="0"/>
              <w:right w:val="single" w:color="000000" w:sz="8" w:space="0"/>
            </w:tcBorders>
            <w:shd w:val="clear" w:color="auto" w:fill="auto"/>
            <w:vAlign w:val="center"/>
          </w:tcPr>
          <w:p w14:paraId="723A82B3">
            <w:pPr>
              <w:spacing w:line="240" w:lineRule="auto"/>
              <w:ind w:firstLine="0" w:firstLineChars="0"/>
              <w:jc w:val="center"/>
              <w:rPr>
                <w:rFonts w:cs="Times New Roman"/>
                <w:sz w:val="21"/>
              </w:rPr>
            </w:pPr>
          </w:p>
        </w:tc>
        <w:tc>
          <w:tcPr>
            <w:tcW w:w="344" w:type="pct"/>
            <w:tcBorders>
              <w:top w:val="nil"/>
              <w:left w:val="nil"/>
              <w:bottom w:val="single" w:color="000000" w:sz="8" w:space="0"/>
              <w:right w:val="single" w:color="000000" w:sz="8" w:space="0"/>
            </w:tcBorders>
            <w:shd w:val="clear" w:color="auto" w:fill="auto"/>
            <w:vAlign w:val="center"/>
          </w:tcPr>
          <w:p w14:paraId="49B50344">
            <w:pPr>
              <w:spacing w:line="240" w:lineRule="auto"/>
              <w:ind w:firstLine="0" w:firstLineChars="0"/>
              <w:jc w:val="center"/>
              <w:rPr>
                <w:rFonts w:cs="Times New Roman"/>
                <w:sz w:val="21"/>
              </w:rPr>
            </w:pPr>
          </w:p>
        </w:tc>
        <w:tc>
          <w:tcPr>
            <w:tcW w:w="361" w:type="pct"/>
            <w:tcBorders>
              <w:top w:val="nil"/>
              <w:left w:val="nil"/>
              <w:bottom w:val="single" w:color="000000" w:sz="8" w:space="0"/>
              <w:right w:val="single" w:color="000000" w:sz="8" w:space="0"/>
            </w:tcBorders>
            <w:shd w:val="clear" w:color="auto" w:fill="auto"/>
            <w:vAlign w:val="center"/>
          </w:tcPr>
          <w:p w14:paraId="404B1375">
            <w:pPr>
              <w:spacing w:line="240" w:lineRule="auto"/>
              <w:ind w:firstLine="0" w:firstLineChars="0"/>
              <w:jc w:val="center"/>
              <w:rPr>
                <w:rFonts w:cs="Times New Roman"/>
                <w:sz w:val="21"/>
              </w:rPr>
            </w:pPr>
          </w:p>
        </w:tc>
      </w:tr>
      <w:tr w14:paraId="447B0CDB">
        <w:tblPrEx>
          <w:tblCellMar>
            <w:top w:w="0" w:type="dxa"/>
            <w:left w:w="108" w:type="dxa"/>
            <w:bottom w:w="0" w:type="dxa"/>
            <w:right w:w="108" w:type="dxa"/>
          </w:tblCellMar>
        </w:tblPrEx>
        <w:trPr>
          <w:trHeight w:val="295" w:hRule="atLeast"/>
          <w:jc w:val="center"/>
        </w:trPr>
        <w:tc>
          <w:tcPr>
            <w:tcW w:w="322" w:type="pct"/>
            <w:vMerge w:val="continue"/>
            <w:tcBorders>
              <w:top w:val="nil"/>
              <w:left w:val="single" w:color="000000" w:sz="8" w:space="0"/>
              <w:bottom w:val="single" w:color="000000" w:sz="8" w:space="0"/>
              <w:right w:val="single" w:color="000000" w:sz="8" w:space="0"/>
            </w:tcBorders>
            <w:shd w:val="clear" w:color="auto" w:fill="auto"/>
            <w:vAlign w:val="center"/>
          </w:tcPr>
          <w:p w14:paraId="0A94BE92">
            <w:pPr>
              <w:spacing w:line="240" w:lineRule="auto"/>
              <w:ind w:firstLine="0" w:firstLineChars="0"/>
              <w:jc w:val="center"/>
              <w:rPr>
                <w:rFonts w:cs="宋体"/>
                <w:sz w:val="21"/>
              </w:rPr>
            </w:pPr>
          </w:p>
        </w:tc>
        <w:tc>
          <w:tcPr>
            <w:tcW w:w="324" w:type="pct"/>
            <w:tcBorders>
              <w:top w:val="nil"/>
              <w:left w:val="nil"/>
              <w:bottom w:val="single" w:color="000000" w:sz="8" w:space="0"/>
              <w:right w:val="single" w:color="000000" w:sz="8" w:space="0"/>
            </w:tcBorders>
            <w:shd w:val="clear" w:color="auto" w:fill="auto"/>
            <w:vAlign w:val="center"/>
          </w:tcPr>
          <w:p w14:paraId="075F9533">
            <w:pPr>
              <w:spacing w:line="240" w:lineRule="auto"/>
              <w:ind w:firstLine="0" w:firstLineChars="0"/>
              <w:jc w:val="center"/>
              <w:textAlignment w:val="center"/>
              <w:rPr>
                <w:rFonts w:cs="宋体"/>
                <w:sz w:val="21"/>
              </w:rPr>
            </w:pPr>
            <w:r>
              <w:rPr>
                <w:rFonts w:hint="eastAsia" w:cs="宋体"/>
                <w:sz w:val="21"/>
                <w:lang w:eastAsia="zh-CN" w:bidi="ar"/>
              </w:rPr>
              <w:t>栎类</w:t>
            </w:r>
          </w:p>
        </w:tc>
        <w:tc>
          <w:tcPr>
            <w:tcW w:w="351" w:type="pct"/>
            <w:tcBorders>
              <w:top w:val="nil"/>
              <w:left w:val="nil"/>
              <w:bottom w:val="single" w:color="000000" w:sz="8" w:space="0"/>
              <w:right w:val="single" w:color="000000" w:sz="8" w:space="0"/>
            </w:tcBorders>
            <w:shd w:val="clear" w:color="auto" w:fill="auto"/>
            <w:vAlign w:val="center"/>
          </w:tcPr>
          <w:p w14:paraId="78EB74CE">
            <w:pPr>
              <w:spacing w:line="240" w:lineRule="auto"/>
              <w:ind w:firstLine="0" w:firstLineChars="0"/>
              <w:jc w:val="center"/>
              <w:textAlignment w:val="center"/>
              <w:rPr>
                <w:rFonts w:cs="Times New Roman"/>
                <w:sz w:val="21"/>
              </w:rPr>
            </w:pPr>
            <w:r>
              <w:rPr>
                <w:rFonts w:cs="Times New Roman"/>
                <w:sz w:val="21"/>
                <w:lang w:eastAsia="zh-CN" w:bidi="ar"/>
              </w:rPr>
              <w:t>1.07</w:t>
            </w:r>
          </w:p>
        </w:tc>
        <w:tc>
          <w:tcPr>
            <w:tcW w:w="399" w:type="pct"/>
            <w:tcBorders>
              <w:top w:val="nil"/>
              <w:left w:val="nil"/>
              <w:bottom w:val="single" w:color="000000" w:sz="8" w:space="0"/>
              <w:right w:val="single" w:color="000000" w:sz="8" w:space="0"/>
            </w:tcBorders>
            <w:shd w:val="clear" w:color="auto" w:fill="auto"/>
            <w:vAlign w:val="center"/>
          </w:tcPr>
          <w:p w14:paraId="7BECF446">
            <w:pPr>
              <w:spacing w:line="240" w:lineRule="auto"/>
              <w:ind w:firstLine="0" w:firstLineChars="0"/>
              <w:jc w:val="center"/>
              <w:textAlignment w:val="center"/>
              <w:rPr>
                <w:rFonts w:cs="Times New Roman"/>
                <w:sz w:val="21"/>
              </w:rPr>
            </w:pPr>
            <w:r>
              <w:rPr>
                <w:rFonts w:cs="Times New Roman"/>
                <w:sz w:val="21"/>
                <w:lang w:eastAsia="zh-CN" w:bidi="ar"/>
              </w:rPr>
              <w:t>100.70</w:t>
            </w:r>
          </w:p>
        </w:tc>
        <w:tc>
          <w:tcPr>
            <w:tcW w:w="344" w:type="pct"/>
            <w:tcBorders>
              <w:top w:val="nil"/>
              <w:left w:val="nil"/>
              <w:bottom w:val="single" w:color="000000" w:sz="8" w:space="0"/>
              <w:right w:val="single" w:color="000000" w:sz="8" w:space="0"/>
            </w:tcBorders>
            <w:shd w:val="clear" w:color="auto" w:fill="auto"/>
            <w:vAlign w:val="center"/>
          </w:tcPr>
          <w:p w14:paraId="4C6421EE">
            <w:pPr>
              <w:spacing w:line="240" w:lineRule="auto"/>
              <w:ind w:firstLine="0" w:firstLineChars="0"/>
              <w:jc w:val="center"/>
              <w:rPr>
                <w:rFonts w:cs="Times New Roman"/>
                <w:sz w:val="21"/>
              </w:rPr>
            </w:pPr>
          </w:p>
        </w:tc>
        <w:tc>
          <w:tcPr>
            <w:tcW w:w="351" w:type="pct"/>
            <w:tcBorders>
              <w:top w:val="nil"/>
              <w:left w:val="nil"/>
              <w:bottom w:val="single" w:color="000000" w:sz="8" w:space="0"/>
              <w:right w:val="single" w:color="000000" w:sz="8" w:space="0"/>
            </w:tcBorders>
            <w:shd w:val="clear" w:color="auto" w:fill="auto"/>
            <w:vAlign w:val="center"/>
          </w:tcPr>
          <w:p w14:paraId="38769515">
            <w:pPr>
              <w:spacing w:line="240" w:lineRule="auto"/>
              <w:ind w:firstLine="0" w:firstLineChars="0"/>
              <w:jc w:val="center"/>
              <w:rPr>
                <w:rFonts w:cs="Times New Roman"/>
                <w:sz w:val="21"/>
              </w:rPr>
            </w:pPr>
          </w:p>
        </w:tc>
        <w:tc>
          <w:tcPr>
            <w:tcW w:w="351" w:type="pct"/>
            <w:tcBorders>
              <w:top w:val="nil"/>
              <w:left w:val="nil"/>
              <w:bottom w:val="single" w:color="000000" w:sz="8" w:space="0"/>
              <w:right w:val="single" w:color="000000" w:sz="8" w:space="0"/>
            </w:tcBorders>
            <w:shd w:val="clear" w:color="auto" w:fill="auto"/>
            <w:vAlign w:val="center"/>
          </w:tcPr>
          <w:p w14:paraId="38421681">
            <w:pPr>
              <w:spacing w:line="240" w:lineRule="auto"/>
              <w:ind w:firstLine="0" w:firstLineChars="0"/>
              <w:jc w:val="center"/>
              <w:textAlignment w:val="center"/>
              <w:rPr>
                <w:rFonts w:cs="Times New Roman"/>
                <w:sz w:val="21"/>
              </w:rPr>
            </w:pPr>
            <w:r>
              <w:rPr>
                <w:rFonts w:cs="Times New Roman"/>
                <w:sz w:val="21"/>
                <w:lang w:eastAsia="zh-CN" w:bidi="ar"/>
              </w:rPr>
              <w:t>0.80</w:t>
            </w:r>
          </w:p>
        </w:tc>
        <w:tc>
          <w:tcPr>
            <w:tcW w:w="399" w:type="pct"/>
            <w:tcBorders>
              <w:top w:val="nil"/>
              <w:left w:val="nil"/>
              <w:bottom w:val="single" w:color="000000" w:sz="8" w:space="0"/>
              <w:right w:val="single" w:color="000000" w:sz="8" w:space="0"/>
            </w:tcBorders>
            <w:shd w:val="clear" w:color="auto" w:fill="auto"/>
            <w:vAlign w:val="center"/>
          </w:tcPr>
          <w:p w14:paraId="5A661E77">
            <w:pPr>
              <w:spacing w:line="240" w:lineRule="auto"/>
              <w:ind w:firstLine="0" w:firstLineChars="0"/>
              <w:jc w:val="center"/>
              <w:textAlignment w:val="center"/>
              <w:rPr>
                <w:rFonts w:cs="Times New Roman"/>
                <w:sz w:val="21"/>
              </w:rPr>
            </w:pPr>
            <w:r>
              <w:rPr>
                <w:rFonts w:cs="Times New Roman"/>
                <w:sz w:val="21"/>
                <w:lang w:eastAsia="zh-CN" w:bidi="ar"/>
              </w:rPr>
              <w:t>72.20</w:t>
            </w:r>
          </w:p>
        </w:tc>
        <w:tc>
          <w:tcPr>
            <w:tcW w:w="351" w:type="pct"/>
            <w:tcBorders>
              <w:top w:val="nil"/>
              <w:left w:val="nil"/>
              <w:bottom w:val="single" w:color="000000" w:sz="8" w:space="0"/>
              <w:right w:val="single" w:color="000000" w:sz="8" w:space="0"/>
            </w:tcBorders>
            <w:shd w:val="clear" w:color="auto" w:fill="auto"/>
            <w:vAlign w:val="center"/>
          </w:tcPr>
          <w:p w14:paraId="1AAB9FA3">
            <w:pPr>
              <w:spacing w:line="240" w:lineRule="auto"/>
              <w:ind w:firstLine="0" w:firstLineChars="0"/>
              <w:jc w:val="center"/>
              <w:rPr>
                <w:rFonts w:cs="Times New Roman"/>
                <w:sz w:val="21"/>
              </w:rPr>
            </w:pPr>
          </w:p>
        </w:tc>
        <w:tc>
          <w:tcPr>
            <w:tcW w:w="399" w:type="pct"/>
            <w:tcBorders>
              <w:top w:val="nil"/>
              <w:left w:val="nil"/>
              <w:bottom w:val="single" w:color="000000" w:sz="8" w:space="0"/>
              <w:right w:val="single" w:color="000000" w:sz="8" w:space="0"/>
            </w:tcBorders>
            <w:shd w:val="clear" w:color="auto" w:fill="auto"/>
            <w:vAlign w:val="center"/>
          </w:tcPr>
          <w:p w14:paraId="4517F2FA">
            <w:pPr>
              <w:spacing w:line="240" w:lineRule="auto"/>
              <w:ind w:firstLine="0" w:firstLineChars="0"/>
              <w:jc w:val="center"/>
              <w:rPr>
                <w:rFonts w:cs="Times New Roman"/>
                <w:sz w:val="21"/>
              </w:rPr>
            </w:pPr>
          </w:p>
        </w:tc>
        <w:tc>
          <w:tcPr>
            <w:tcW w:w="344" w:type="pct"/>
            <w:tcBorders>
              <w:top w:val="nil"/>
              <w:left w:val="nil"/>
              <w:bottom w:val="single" w:color="000000" w:sz="8" w:space="0"/>
              <w:right w:val="single" w:color="000000" w:sz="8" w:space="0"/>
            </w:tcBorders>
            <w:shd w:val="clear" w:color="auto" w:fill="auto"/>
            <w:vAlign w:val="center"/>
          </w:tcPr>
          <w:p w14:paraId="42D13497">
            <w:pPr>
              <w:spacing w:line="240" w:lineRule="auto"/>
              <w:ind w:firstLine="0" w:firstLineChars="0"/>
              <w:jc w:val="center"/>
              <w:textAlignment w:val="center"/>
              <w:rPr>
                <w:rFonts w:cs="Times New Roman"/>
                <w:sz w:val="21"/>
              </w:rPr>
            </w:pPr>
            <w:r>
              <w:rPr>
                <w:rFonts w:cs="Times New Roman"/>
                <w:sz w:val="21"/>
                <w:lang w:eastAsia="zh-CN" w:bidi="ar"/>
              </w:rPr>
              <w:t>0.28</w:t>
            </w:r>
          </w:p>
        </w:tc>
        <w:tc>
          <w:tcPr>
            <w:tcW w:w="361" w:type="pct"/>
            <w:tcBorders>
              <w:top w:val="nil"/>
              <w:left w:val="nil"/>
              <w:bottom w:val="single" w:color="000000" w:sz="8" w:space="0"/>
              <w:right w:val="single" w:color="000000" w:sz="8" w:space="0"/>
            </w:tcBorders>
            <w:shd w:val="clear" w:color="auto" w:fill="auto"/>
            <w:vAlign w:val="center"/>
          </w:tcPr>
          <w:p w14:paraId="6EDB618A">
            <w:pPr>
              <w:spacing w:line="240" w:lineRule="auto"/>
              <w:ind w:firstLine="0" w:firstLineChars="0"/>
              <w:jc w:val="center"/>
              <w:textAlignment w:val="center"/>
              <w:rPr>
                <w:rFonts w:cs="Times New Roman"/>
                <w:sz w:val="21"/>
              </w:rPr>
            </w:pPr>
            <w:r>
              <w:rPr>
                <w:rFonts w:cs="Times New Roman"/>
                <w:sz w:val="21"/>
                <w:lang w:eastAsia="zh-CN" w:bidi="ar"/>
              </w:rPr>
              <w:t>28.50</w:t>
            </w:r>
          </w:p>
        </w:tc>
        <w:tc>
          <w:tcPr>
            <w:tcW w:w="344" w:type="pct"/>
            <w:tcBorders>
              <w:top w:val="nil"/>
              <w:left w:val="nil"/>
              <w:bottom w:val="single" w:color="000000" w:sz="8" w:space="0"/>
              <w:right w:val="single" w:color="000000" w:sz="8" w:space="0"/>
            </w:tcBorders>
            <w:shd w:val="clear" w:color="auto" w:fill="auto"/>
            <w:vAlign w:val="center"/>
          </w:tcPr>
          <w:p w14:paraId="7139DF6B">
            <w:pPr>
              <w:spacing w:line="240" w:lineRule="auto"/>
              <w:ind w:firstLine="0" w:firstLineChars="0"/>
              <w:jc w:val="center"/>
              <w:rPr>
                <w:rFonts w:cs="Times New Roman"/>
                <w:sz w:val="21"/>
              </w:rPr>
            </w:pPr>
          </w:p>
        </w:tc>
        <w:tc>
          <w:tcPr>
            <w:tcW w:w="361" w:type="pct"/>
            <w:tcBorders>
              <w:top w:val="nil"/>
              <w:left w:val="nil"/>
              <w:bottom w:val="single" w:color="000000" w:sz="8" w:space="0"/>
              <w:right w:val="single" w:color="000000" w:sz="8" w:space="0"/>
            </w:tcBorders>
            <w:shd w:val="clear" w:color="auto" w:fill="auto"/>
            <w:vAlign w:val="center"/>
          </w:tcPr>
          <w:p w14:paraId="543D087A">
            <w:pPr>
              <w:spacing w:line="240" w:lineRule="auto"/>
              <w:ind w:firstLine="0" w:firstLineChars="0"/>
              <w:jc w:val="center"/>
              <w:rPr>
                <w:rFonts w:cs="Times New Roman"/>
                <w:sz w:val="21"/>
              </w:rPr>
            </w:pPr>
          </w:p>
        </w:tc>
      </w:tr>
      <w:tr w14:paraId="045833BE">
        <w:tblPrEx>
          <w:tblCellMar>
            <w:top w:w="0" w:type="dxa"/>
            <w:left w:w="108" w:type="dxa"/>
            <w:bottom w:w="0" w:type="dxa"/>
            <w:right w:w="108" w:type="dxa"/>
          </w:tblCellMar>
        </w:tblPrEx>
        <w:trPr>
          <w:trHeight w:val="295" w:hRule="atLeast"/>
          <w:jc w:val="center"/>
        </w:trPr>
        <w:tc>
          <w:tcPr>
            <w:tcW w:w="322" w:type="pct"/>
            <w:vMerge w:val="continue"/>
            <w:tcBorders>
              <w:top w:val="nil"/>
              <w:left w:val="single" w:color="000000" w:sz="8" w:space="0"/>
              <w:bottom w:val="single" w:color="000000" w:sz="8" w:space="0"/>
              <w:right w:val="single" w:color="000000" w:sz="8" w:space="0"/>
            </w:tcBorders>
            <w:shd w:val="clear" w:color="auto" w:fill="auto"/>
            <w:vAlign w:val="center"/>
          </w:tcPr>
          <w:p w14:paraId="3FA913E9">
            <w:pPr>
              <w:spacing w:line="240" w:lineRule="auto"/>
              <w:ind w:firstLine="0" w:firstLineChars="0"/>
              <w:jc w:val="center"/>
              <w:rPr>
                <w:rFonts w:cs="宋体"/>
                <w:sz w:val="21"/>
              </w:rPr>
            </w:pPr>
          </w:p>
        </w:tc>
        <w:tc>
          <w:tcPr>
            <w:tcW w:w="324" w:type="pct"/>
            <w:tcBorders>
              <w:top w:val="nil"/>
              <w:left w:val="nil"/>
              <w:bottom w:val="single" w:color="000000" w:sz="8" w:space="0"/>
              <w:right w:val="single" w:color="000000" w:sz="8" w:space="0"/>
            </w:tcBorders>
            <w:shd w:val="clear" w:color="auto" w:fill="auto"/>
            <w:vAlign w:val="center"/>
          </w:tcPr>
          <w:p w14:paraId="546DB021">
            <w:pPr>
              <w:spacing w:line="240" w:lineRule="auto"/>
              <w:ind w:firstLine="0" w:firstLineChars="0"/>
              <w:jc w:val="center"/>
              <w:textAlignment w:val="center"/>
              <w:rPr>
                <w:rFonts w:cs="宋体"/>
                <w:sz w:val="21"/>
              </w:rPr>
            </w:pPr>
            <w:r>
              <w:rPr>
                <w:rFonts w:hint="eastAsia" w:cs="宋体"/>
                <w:sz w:val="21"/>
                <w:lang w:eastAsia="zh-CN" w:bidi="ar"/>
              </w:rPr>
              <w:t>柳杉</w:t>
            </w:r>
          </w:p>
        </w:tc>
        <w:tc>
          <w:tcPr>
            <w:tcW w:w="351" w:type="pct"/>
            <w:tcBorders>
              <w:top w:val="nil"/>
              <w:left w:val="nil"/>
              <w:bottom w:val="single" w:color="000000" w:sz="8" w:space="0"/>
              <w:right w:val="single" w:color="000000" w:sz="8" w:space="0"/>
            </w:tcBorders>
            <w:shd w:val="clear" w:color="auto" w:fill="auto"/>
            <w:vAlign w:val="center"/>
          </w:tcPr>
          <w:p w14:paraId="0F0ABDB4">
            <w:pPr>
              <w:spacing w:line="240" w:lineRule="auto"/>
              <w:ind w:firstLine="0" w:firstLineChars="0"/>
              <w:jc w:val="center"/>
              <w:textAlignment w:val="center"/>
              <w:rPr>
                <w:rFonts w:cs="Times New Roman"/>
                <w:sz w:val="21"/>
              </w:rPr>
            </w:pPr>
            <w:r>
              <w:rPr>
                <w:rFonts w:cs="Times New Roman"/>
                <w:sz w:val="21"/>
                <w:lang w:eastAsia="zh-CN" w:bidi="ar"/>
              </w:rPr>
              <w:t>1.76</w:t>
            </w:r>
          </w:p>
        </w:tc>
        <w:tc>
          <w:tcPr>
            <w:tcW w:w="399" w:type="pct"/>
            <w:tcBorders>
              <w:top w:val="nil"/>
              <w:left w:val="nil"/>
              <w:bottom w:val="single" w:color="000000" w:sz="8" w:space="0"/>
              <w:right w:val="single" w:color="000000" w:sz="8" w:space="0"/>
            </w:tcBorders>
            <w:shd w:val="clear" w:color="auto" w:fill="auto"/>
            <w:vAlign w:val="center"/>
          </w:tcPr>
          <w:p w14:paraId="2A1C6275">
            <w:pPr>
              <w:spacing w:line="240" w:lineRule="auto"/>
              <w:ind w:firstLine="0" w:firstLineChars="0"/>
              <w:jc w:val="center"/>
              <w:textAlignment w:val="center"/>
              <w:rPr>
                <w:rFonts w:cs="Times New Roman"/>
                <w:sz w:val="21"/>
              </w:rPr>
            </w:pPr>
            <w:r>
              <w:rPr>
                <w:rFonts w:cs="Times New Roman"/>
                <w:sz w:val="21"/>
                <w:lang w:eastAsia="zh-CN" w:bidi="ar"/>
              </w:rPr>
              <w:t>250.50</w:t>
            </w:r>
          </w:p>
        </w:tc>
        <w:tc>
          <w:tcPr>
            <w:tcW w:w="344" w:type="pct"/>
            <w:tcBorders>
              <w:top w:val="nil"/>
              <w:left w:val="nil"/>
              <w:bottom w:val="single" w:color="000000" w:sz="8" w:space="0"/>
              <w:right w:val="single" w:color="000000" w:sz="8" w:space="0"/>
            </w:tcBorders>
            <w:shd w:val="clear" w:color="auto" w:fill="auto"/>
            <w:vAlign w:val="center"/>
          </w:tcPr>
          <w:p w14:paraId="1DF9E199">
            <w:pPr>
              <w:spacing w:line="240" w:lineRule="auto"/>
              <w:ind w:firstLine="0" w:firstLineChars="0"/>
              <w:jc w:val="center"/>
              <w:rPr>
                <w:rFonts w:cs="Times New Roman"/>
                <w:sz w:val="21"/>
              </w:rPr>
            </w:pPr>
          </w:p>
        </w:tc>
        <w:tc>
          <w:tcPr>
            <w:tcW w:w="351" w:type="pct"/>
            <w:tcBorders>
              <w:top w:val="nil"/>
              <w:left w:val="nil"/>
              <w:bottom w:val="single" w:color="000000" w:sz="8" w:space="0"/>
              <w:right w:val="single" w:color="000000" w:sz="8" w:space="0"/>
            </w:tcBorders>
            <w:shd w:val="clear" w:color="auto" w:fill="auto"/>
            <w:vAlign w:val="center"/>
          </w:tcPr>
          <w:p w14:paraId="16505BD0">
            <w:pPr>
              <w:spacing w:line="240" w:lineRule="auto"/>
              <w:ind w:firstLine="0" w:firstLineChars="0"/>
              <w:jc w:val="center"/>
              <w:rPr>
                <w:rFonts w:cs="Times New Roman"/>
                <w:sz w:val="21"/>
              </w:rPr>
            </w:pPr>
          </w:p>
        </w:tc>
        <w:tc>
          <w:tcPr>
            <w:tcW w:w="351" w:type="pct"/>
            <w:tcBorders>
              <w:top w:val="nil"/>
              <w:left w:val="nil"/>
              <w:bottom w:val="single" w:color="000000" w:sz="8" w:space="0"/>
              <w:right w:val="single" w:color="000000" w:sz="8" w:space="0"/>
            </w:tcBorders>
            <w:shd w:val="clear" w:color="auto" w:fill="auto"/>
            <w:vAlign w:val="center"/>
          </w:tcPr>
          <w:p w14:paraId="23DEFB01">
            <w:pPr>
              <w:spacing w:line="240" w:lineRule="auto"/>
              <w:ind w:firstLine="0" w:firstLineChars="0"/>
              <w:jc w:val="center"/>
              <w:rPr>
                <w:rFonts w:cs="Times New Roman"/>
                <w:sz w:val="21"/>
              </w:rPr>
            </w:pPr>
          </w:p>
        </w:tc>
        <w:tc>
          <w:tcPr>
            <w:tcW w:w="399" w:type="pct"/>
            <w:tcBorders>
              <w:top w:val="nil"/>
              <w:left w:val="nil"/>
              <w:bottom w:val="single" w:color="000000" w:sz="8" w:space="0"/>
              <w:right w:val="single" w:color="000000" w:sz="8" w:space="0"/>
            </w:tcBorders>
            <w:shd w:val="clear" w:color="auto" w:fill="auto"/>
            <w:vAlign w:val="center"/>
          </w:tcPr>
          <w:p w14:paraId="3C5010EF">
            <w:pPr>
              <w:spacing w:line="240" w:lineRule="auto"/>
              <w:ind w:firstLine="0" w:firstLineChars="0"/>
              <w:jc w:val="center"/>
              <w:rPr>
                <w:rFonts w:cs="Times New Roman"/>
                <w:sz w:val="21"/>
              </w:rPr>
            </w:pPr>
          </w:p>
        </w:tc>
        <w:tc>
          <w:tcPr>
            <w:tcW w:w="351" w:type="pct"/>
            <w:tcBorders>
              <w:top w:val="nil"/>
              <w:left w:val="nil"/>
              <w:bottom w:val="single" w:color="000000" w:sz="8" w:space="0"/>
              <w:right w:val="single" w:color="000000" w:sz="8" w:space="0"/>
            </w:tcBorders>
            <w:shd w:val="clear" w:color="auto" w:fill="auto"/>
            <w:vAlign w:val="center"/>
          </w:tcPr>
          <w:p w14:paraId="66A663CF">
            <w:pPr>
              <w:spacing w:line="240" w:lineRule="auto"/>
              <w:ind w:firstLine="0" w:firstLineChars="0"/>
              <w:jc w:val="center"/>
              <w:rPr>
                <w:rFonts w:cs="Times New Roman"/>
                <w:sz w:val="21"/>
              </w:rPr>
            </w:pPr>
          </w:p>
        </w:tc>
        <w:tc>
          <w:tcPr>
            <w:tcW w:w="399" w:type="pct"/>
            <w:tcBorders>
              <w:top w:val="nil"/>
              <w:left w:val="nil"/>
              <w:bottom w:val="single" w:color="000000" w:sz="8" w:space="0"/>
              <w:right w:val="single" w:color="000000" w:sz="8" w:space="0"/>
            </w:tcBorders>
            <w:shd w:val="clear" w:color="auto" w:fill="auto"/>
            <w:vAlign w:val="center"/>
          </w:tcPr>
          <w:p w14:paraId="184FE4E0">
            <w:pPr>
              <w:spacing w:line="240" w:lineRule="auto"/>
              <w:ind w:firstLine="0" w:firstLineChars="0"/>
              <w:jc w:val="center"/>
              <w:rPr>
                <w:rFonts w:cs="Times New Roman"/>
                <w:sz w:val="21"/>
              </w:rPr>
            </w:pPr>
          </w:p>
        </w:tc>
        <w:tc>
          <w:tcPr>
            <w:tcW w:w="344" w:type="pct"/>
            <w:tcBorders>
              <w:top w:val="nil"/>
              <w:left w:val="nil"/>
              <w:bottom w:val="single" w:color="000000" w:sz="8" w:space="0"/>
              <w:right w:val="single" w:color="000000" w:sz="8" w:space="0"/>
            </w:tcBorders>
            <w:shd w:val="clear" w:color="auto" w:fill="auto"/>
            <w:vAlign w:val="center"/>
          </w:tcPr>
          <w:p w14:paraId="4C0C35B3">
            <w:pPr>
              <w:spacing w:line="240" w:lineRule="auto"/>
              <w:ind w:firstLine="0" w:firstLineChars="0"/>
              <w:jc w:val="center"/>
              <w:rPr>
                <w:rFonts w:cs="Times New Roman"/>
                <w:sz w:val="21"/>
              </w:rPr>
            </w:pPr>
          </w:p>
        </w:tc>
        <w:tc>
          <w:tcPr>
            <w:tcW w:w="361" w:type="pct"/>
            <w:tcBorders>
              <w:top w:val="nil"/>
              <w:left w:val="nil"/>
              <w:bottom w:val="single" w:color="000000" w:sz="8" w:space="0"/>
              <w:right w:val="single" w:color="000000" w:sz="8" w:space="0"/>
            </w:tcBorders>
            <w:shd w:val="clear" w:color="auto" w:fill="auto"/>
            <w:vAlign w:val="center"/>
          </w:tcPr>
          <w:p w14:paraId="0B74E315">
            <w:pPr>
              <w:spacing w:line="240" w:lineRule="auto"/>
              <w:ind w:firstLine="0" w:firstLineChars="0"/>
              <w:jc w:val="center"/>
              <w:rPr>
                <w:rFonts w:cs="Times New Roman"/>
                <w:sz w:val="21"/>
              </w:rPr>
            </w:pPr>
          </w:p>
        </w:tc>
        <w:tc>
          <w:tcPr>
            <w:tcW w:w="344" w:type="pct"/>
            <w:tcBorders>
              <w:top w:val="nil"/>
              <w:left w:val="nil"/>
              <w:bottom w:val="single" w:color="000000" w:sz="8" w:space="0"/>
              <w:right w:val="single" w:color="000000" w:sz="8" w:space="0"/>
            </w:tcBorders>
            <w:shd w:val="clear" w:color="auto" w:fill="auto"/>
            <w:vAlign w:val="center"/>
          </w:tcPr>
          <w:p w14:paraId="1E3841F2">
            <w:pPr>
              <w:spacing w:line="240" w:lineRule="auto"/>
              <w:ind w:firstLine="0" w:firstLineChars="0"/>
              <w:jc w:val="center"/>
              <w:textAlignment w:val="center"/>
              <w:rPr>
                <w:rFonts w:cs="Times New Roman"/>
                <w:sz w:val="21"/>
              </w:rPr>
            </w:pPr>
            <w:r>
              <w:rPr>
                <w:rFonts w:cs="Times New Roman"/>
                <w:sz w:val="21"/>
                <w:lang w:eastAsia="zh-CN" w:bidi="ar"/>
              </w:rPr>
              <w:t>1.76</w:t>
            </w:r>
          </w:p>
        </w:tc>
        <w:tc>
          <w:tcPr>
            <w:tcW w:w="361" w:type="pct"/>
            <w:tcBorders>
              <w:top w:val="nil"/>
              <w:left w:val="nil"/>
              <w:bottom w:val="single" w:color="000000" w:sz="8" w:space="0"/>
              <w:right w:val="single" w:color="000000" w:sz="8" w:space="0"/>
            </w:tcBorders>
            <w:shd w:val="clear" w:color="auto" w:fill="auto"/>
            <w:vAlign w:val="center"/>
          </w:tcPr>
          <w:p w14:paraId="6F46A5EC">
            <w:pPr>
              <w:spacing w:line="240" w:lineRule="auto"/>
              <w:ind w:firstLine="0" w:firstLineChars="0"/>
              <w:jc w:val="center"/>
              <w:textAlignment w:val="center"/>
              <w:rPr>
                <w:rFonts w:cs="Times New Roman"/>
                <w:sz w:val="21"/>
              </w:rPr>
            </w:pPr>
            <w:r>
              <w:rPr>
                <w:rFonts w:cs="Times New Roman"/>
                <w:sz w:val="21"/>
                <w:lang w:eastAsia="zh-CN" w:bidi="ar"/>
              </w:rPr>
              <w:t>250.50</w:t>
            </w:r>
          </w:p>
        </w:tc>
      </w:tr>
      <w:tr w14:paraId="57371FE4">
        <w:tblPrEx>
          <w:tblCellMar>
            <w:top w:w="0" w:type="dxa"/>
            <w:left w:w="108" w:type="dxa"/>
            <w:bottom w:w="0" w:type="dxa"/>
            <w:right w:w="108" w:type="dxa"/>
          </w:tblCellMar>
        </w:tblPrEx>
        <w:trPr>
          <w:trHeight w:val="295" w:hRule="atLeast"/>
          <w:jc w:val="center"/>
        </w:trPr>
        <w:tc>
          <w:tcPr>
            <w:tcW w:w="322" w:type="pct"/>
            <w:vMerge w:val="continue"/>
            <w:tcBorders>
              <w:top w:val="nil"/>
              <w:left w:val="single" w:color="000000" w:sz="8" w:space="0"/>
              <w:bottom w:val="single" w:color="000000" w:sz="8" w:space="0"/>
              <w:right w:val="single" w:color="000000" w:sz="8" w:space="0"/>
            </w:tcBorders>
            <w:shd w:val="clear" w:color="auto" w:fill="auto"/>
            <w:vAlign w:val="center"/>
          </w:tcPr>
          <w:p w14:paraId="46C5ADCE">
            <w:pPr>
              <w:spacing w:line="240" w:lineRule="auto"/>
              <w:ind w:firstLine="0" w:firstLineChars="0"/>
              <w:jc w:val="center"/>
              <w:rPr>
                <w:rFonts w:cs="宋体"/>
                <w:sz w:val="21"/>
              </w:rPr>
            </w:pPr>
          </w:p>
        </w:tc>
        <w:tc>
          <w:tcPr>
            <w:tcW w:w="324" w:type="pct"/>
            <w:tcBorders>
              <w:top w:val="nil"/>
              <w:left w:val="nil"/>
              <w:bottom w:val="single" w:color="000000" w:sz="8" w:space="0"/>
              <w:right w:val="single" w:color="000000" w:sz="8" w:space="0"/>
            </w:tcBorders>
            <w:shd w:val="clear" w:color="auto" w:fill="auto"/>
            <w:vAlign w:val="center"/>
          </w:tcPr>
          <w:p w14:paraId="28A99101">
            <w:pPr>
              <w:spacing w:line="240" w:lineRule="auto"/>
              <w:ind w:firstLine="0" w:firstLineChars="0"/>
              <w:jc w:val="center"/>
              <w:textAlignment w:val="center"/>
              <w:rPr>
                <w:rFonts w:cs="宋体"/>
                <w:sz w:val="21"/>
              </w:rPr>
            </w:pPr>
            <w:r>
              <w:rPr>
                <w:rFonts w:hint="eastAsia" w:cs="宋体"/>
                <w:sz w:val="21"/>
                <w:lang w:eastAsia="zh-CN" w:bidi="ar"/>
              </w:rPr>
              <w:t>马尾松</w:t>
            </w:r>
          </w:p>
        </w:tc>
        <w:tc>
          <w:tcPr>
            <w:tcW w:w="351" w:type="pct"/>
            <w:tcBorders>
              <w:top w:val="nil"/>
              <w:left w:val="nil"/>
              <w:bottom w:val="single" w:color="000000" w:sz="8" w:space="0"/>
              <w:right w:val="single" w:color="000000" w:sz="8" w:space="0"/>
            </w:tcBorders>
            <w:shd w:val="clear" w:color="auto" w:fill="auto"/>
            <w:vAlign w:val="center"/>
          </w:tcPr>
          <w:p w14:paraId="0C2C8CB0">
            <w:pPr>
              <w:spacing w:line="240" w:lineRule="auto"/>
              <w:ind w:firstLine="0" w:firstLineChars="0"/>
              <w:jc w:val="center"/>
              <w:textAlignment w:val="center"/>
              <w:rPr>
                <w:rFonts w:cs="Times New Roman"/>
                <w:sz w:val="21"/>
              </w:rPr>
            </w:pPr>
            <w:r>
              <w:rPr>
                <w:rFonts w:cs="Times New Roman"/>
                <w:sz w:val="21"/>
                <w:lang w:eastAsia="zh-CN" w:bidi="ar"/>
              </w:rPr>
              <w:t>467.47</w:t>
            </w:r>
          </w:p>
        </w:tc>
        <w:tc>
          <w:tcPr>
            <w:tcW w:w="399" w:type="pct"/>
            <w:tcBorders>
              <w:top w:val="nil"/>
              <w:left w:val="nil"/>
              <w:bottom w:val="single" w:color="000000" w:sz="8" w:space="0"/>
              <w:right w:val="single" w:color="000000" w:sz="8" w:space="0"/>
            </w:tcBorders>
            <w:shd w:val="clear" w:color="auto" w:fill="auto"/>
            <w:vAlign w:val="center"/>
          </w:tcPr>
          <w:p w14:paraId="241DEDB1">
            <w:pPr>
              <w:spacing w:line="240" w:lineRule="auto"/>
              <w:ind w:firstLine="0" w:firstLineChars="0"/>
              <w:jc w:val="center"/>
              <w:textAlignment w:val="center"/>
              <w:rPr>
                <w:rFonts w:cs="Times New Roman"/>
                <w:sz w:val="21"/>
              </w:rPr>
            </w:pPr>
            <w:r>
              <w:rPr>
                <w:rFonts w:cs="Times New Roman"/>
                <w:sz w:val="21"/>
                <w:lang w:eastAsia="zh-CN" w:bidi="ar"/>
              </w:rPr>
              <w:t>49087.10</w:t>
            </w:r>
          </w:p>
        </w:tc>
        <w:tc>
          <w:tcPr>
            <w:tcW w:w="344" w:type="pct"/>
            <w:tcBorders>
              <w:top w:val="nil"/>
              <w:left w:val="nil"/>
              <w:bottom w:val="single" w:color="000000" w:sz="8" w:space="0"/>
              <w:right w:val="single" w:color="000000" w:sz="8" w:space="0"/>
            </w:tcBorders>
            <w:shd w:val="clear" w:color="auto" w:fill="auto"/>
            <w:vAlign w:val="center"/>
          </w:tcPr>
          <w:p w14:paraId="2B346A28">
            <w:pPr>
              <w:spacing w:line="240" w:lineRule="auto"/>
              <w:ind w:firstLine="0" w:firstLineChars="0"/>
              <w:jc w:val="center"/>
              <w:rPr>
                <w:rFonts w:cs="Times New Roman"/>
                <w:sz w:val="21"/>
              </w:rPr>
            </w:pPr>
          </w:p>
        </w:tc>
        <w:tc>
          <w:tcPr>
            <w:tcW w:w="351" w:type="pct"/>
            <w:tcBorders>
              <w:top w:val="nil"/>
              <w:left w:val="nil"/>
              <w:bottom w:val="single" w:color="000000" w:sz="8" w:space="0"/>
              <w:right w:val="single" w:color="000000" w:sz="8" w:space="0"/>
            </w:tcBorders>
            <w:shd w:val="clear" w:color="auto" w:fill="auto"/>
            <w:vAlign w:val="center"/>
          </w:tcPr>
          <w:p w14:paraId="14D9459E">
            <w:pPr>
              <w:spacing w:line="240" w:lineRule="auto"/>
              <w:ind w:firstLine="0" w:firstLineChars="0"/>
              <w:jc w:val="center"/>
              <w:rPr>
                <w:rFonts w:cs="Times New Roman"/>
                <w:sz w:val="21"/>
              </w:rPr>
            </w:pPr>
          </w:p>
        </w:tc>
        <w:tc>
          <w:tcPr>
            <w:tcW w:w="351" w:type="pct"/>
            <w:tcBorders>
              <w:top w:val="nil"/>
              <w:left w:val="nil"/>
              <w:bottom w:val="single" w:color="000000" w:sz="8" w:space="0"/>
              <w:right w:val="single" w:color="000000" w:sz="8" w:space="0"/>
            </w:tcBorders>
            <w:shd w:val="clear" w:color="auto" w:fill="auto"/>
            <w:vAlign w:val="center"/>
          </w:tcPr>
          <w:p w14:paraId="6E508401">
            <w:pPr>
              <w:spacing w:line="240" w:lineRule="auto"/>
              <w:ind w:firstLine="0" w:firstLineChars="0"/>
              <w:jc w:val="center"/>
              <w:textAlignment w:val="center"/>
              <w:rPr>
                <w:rFonts w:cs="Times New Roman"/>
                <w:sz w:val="21"/>
              </w:rPr>
            </w:pPr>
            <w:r>
              <w:rPr>
                <w:rFonts w:cs="Times New Roman"/>
                <w:sz w:val="21"/>
                <w:lang w:eastAsia="zh-CN" w:bidi="ar"/>
              </w:rPr>
              <w:t>271.52</w:t>
            </w:r>
          </w:p>
        </w:tc>
        <w:tc>
          <w:tcPr>
            <w:tcW w:w="399" w:type="pct"/>
            <w:tcBorders>
              <w:top w:val="nil"/>
              <w:left w:val="nil"/>
              <w:bottom w:val="single" w:color="000000" w:sz="8" w:space="0"/>
              <w:right w:val="single" w:color="000000" w:sz="8" w:space="0"/>
            </w:tcBorders>
            <w:shd w:val="clear" w:color="auto" w:fill="auto"/>
            <w:vAlign w:val="center"/>
          </w:tcPr>
          <w:p w14:paraId="21E510C1">
            <w:pPr>
              <w:spacing w:line="240" w:lineRule="auto"/>
              <w:ind w:firstLine="0" w:firstLineChars="0"/>
              <w:jc w:val="center"/>
              <w:textAlignment w:val="center"/>
              <w:rPr>
                <w:rFonts w:cs="Times New Roman"/>
                <w:sz w:val="21"/>
              </w:rPr>
            </w:pPr>
            <w:r>
              <w:rPr>
                <w:rFonts w:cs="Times New Roman"/>
                <w:sz w:val="21"/>
                <w:lang w:eastAsia="zh-CN" w:bidi="ar"/>
              </w:rPr>
              <w:t>21352.80</w:t>
            </w:r>
          </w:p>
        </w:tc>
        <w:tc>
          <w:tcPr>
            <w:tcW w:w="351" w:type="pct"/>
            <w:tcBorders>
              <w:top w:val="nil"/>
              <w:left w:val="nil"/>
              <w:bottom w:val="single" w:color="000000" w:sz="8" w:space="0"/>
              <w:right w:val="single" w:color="000000" w:sz="8" w:space="0"/>
            </w:tcBorders>
            <w:shd w:val="clear" w:color="auto" w:fill="auto"/>
            <w:vAlign w:val="center"/>
          </w:tcPr>
          <w:p w14:paraId="6BC06F49">
            <w:pPr>
              <w:spacing w:line="240" w:lineRule="auto"/>
              <w:ind w:firstLine="0" w:firstLineChars="0"/>
              <w:jc w:val="center"/>
              <w:textAlignment w:val="center"/>
              <w:rPr>
                <w:rFonts w:cs="Times New Roman"/>
                <w:sz w:val="21"/>
              </w:rPr>
            </w:pPr>
            <w:r>
              <w:rPr>
                <w:rFonts w:cs="Times New Roman"/>
                <w:sz w:val="21"/>
                <w:lang w:eastAsia="zh-CN" w:bidi="ar"/>
              </w:rPr>
              <w:t>19.80</w:t>
            </w:r>
          </w:p>
        </w:tc>
        <w:tc>
          <w:tcPr>
            <w:tcW w:w="399" w:type="pct"/>
            <w:tcBorders>
              <w:top w:val="nil"/>
              <w:left w:val="nil"/>
              <w:bottom w:val="single" w:color="000000" w:sz="8" w:space="0"/>
              <w:right w:val="single" w:color="000000" w:sz="8" w:space="0"/>
            </w:tcBorders>
            <w:shd w:val="clear" w:color="auto" w:fill="auto"/>
            <w:vAlign w:val="center"/>
          </w:tcPr>
          <w:p w14:paraId="507A460B">
            <w:pPr>
              <w:spacing w:line="240" w:lineRule="auto"/>
              <w:ind w:firstLine="0" w:firstLineChars="0"/>
              <w:jc w:val="center"/>
              <w:textAlignment w:val="center"/>
              <w:rPr>
                <w:rFonts w:cs="Times New Roman"/>
                <w:sz w:val="21"/>
              </w:rPr>
            </w:pPr>
            <w:r>
              <w:rPr>
                <w:rFonts w:cs="Times New Roman"/>
                <w:sz w:val="21"/>
                <w:lang w:eastAsia="zh-CN" w:bidi="ar"/>
              </w:rPr>
              <w:t>1704.80</w:t>
            </w:r>
          </w:p>
        </w:tc>
        <w:tc>
          <w:tcPr>
            <w:tcW w:w="344" w:type="pct"/>
            <w:tcBorders>
              <w:top w:val="nil"/>
              <w:left w:val="nil"/>
              <w:bottom w:val="single" w:color="000000" w:sz="8" w:space="0"/>
              <w:right w:val="single" w:color="000000" w:sz="8" w:space="0"/>
            </w:tcBorders>
            <w:shd w:val="clear" w:color="auto" w:fill="auto"/>
            <w:vAlign w:val="center"/>
          </w:tcPr>
          <w:p w14:paraId="7DDDFE04">
            <w:pPr>
              <w:spacing w:line="240" w:lineRule="auto"/>
              <w:ind w:firstLine="0" w:firstLineChars="0"/>
              <w:jc w:val="center"/>
              <w:textAlignment w:val="center"/>
              <w:rPr>
                <w:rFonts w:cs="Times New Roman"/>
                <w:sz w:val="21"/>
              </w:rPr>
            </w:pPr>
            <w:r>
              <w:rPr>
                <w:rFonts w:cs="Times New Roman"/>
                <w:sz w:val="21"/>
                <w:lang w:eastAsia="zh-CN" w:bidi="ar"/>
              </w:rPr>
              <w:t>25.53</w:t>
            </w:r>
          </w:p>
        </w:tc>
        <w:tc>
          <w:tcPr>
            <w:tcW w:w="361" w:type="pct"/>
            <w:tcBorders>
              <w:top w:val="nil"/>
              <w:left w:val="nil"/>
              <w:bottom w:val="single" w:color="000000" w:sz="8" w:space="0"/>
              <w:right w:val="single" w:color="000000" w:sz="8" w:space="0"/>
            </w:tcBorders>
            <w:shd w:val="clear" w:color="auto" w:fill="auto"/>
            <w:vAlign w:val="center"/>
          </w:tcPr>
          <w:p w14:paraId="4866E07B">
            <w:pPr>
              <w:spacing w:line="240" w:lineRule="auto"/>
              <w:ind w:firstLine="0" w:firstLineChars="0"/>
              <w:jc w:val="center"/>
              <w:textAlignment w:val="center"/>
              <w:rPr>
                <w:rFonts w:cs="Times New Roman"/>
                <w:sz w:val="21"/>
              </w:rPr>
            </w:pPr>
            <w:r>
              <w:rPr>
                <w:rFonts w:cs="Times New Roman"/>
                <w:sz w:val="21"/>
                <w:lang w:eastAsia="zh-CN" w:bidi="ar"/>
              </w:rPr>
              <w:t>2507.00</w:t>
            </w:r>
          </w:p>
        </w:tc>
        <w:tc>
          <w:tcPr>
            <w:tcW w:w="344" w:type="pct"/>
            <w:tcBorders>
              <w:top w:val="nil"/>
              <w:left w:val="nil"/>
              <w:bottom w:val="single" w:color="000000" w:sz="8" w:space="0"/>
              <w:right w:val="single" w:color="000000" w:sz="8" w:space="0"/>
            </w:tcBorders>
            <w:shd w:val="clear" w:color="auto" w:fill="auto"/>
            <w:vAlign w:val="center"/>
          </w:tcPr>
          <w:p w14:paraId="2DBEA06F">
            <w:pPr>
              <w:spacing w:line="240" w:lineRule="auto"/>
              <w:ind w:firstLine="0" w:firstLineChars="0"/>
              <w:jc w:val="center"/>
              <w:textAlignment w:val="center"/>
              <w:rPr>
                <w:rFonts w:cs="Times New Roman"/>
                <w:sz w:val="21"/>
              </w:rPr>
            </w:pPr>
            <w:r>
              <w:rPr>
                <w:rFonts w:cs="Times New Roman"/>
                <w:sz w:val="21"/>
                <w:lang w:eastAsia="zh-CN" w:bidi="ar"/>
              </w:rPr>
              <w:t>150.62</w:t>
            </w:r>
          </w:p>
        </w:tc>
        <w:tc>
          <w:tcPr>
            <w:tcW w:w="361" w:type="pct"/>
            <w:tcBorders>
              <w:top w:val="nil"/>
              <w:left w:val="nil"/>
              <w:bottom w:val="single" w:color="000000" w:sz="8" w:space="0"/>
              <w:right w:val="single" w:color="000000" w:sz="8" w:space="0"/>
            </w:tcBorders>
            <w:shd w:val="clear" w:color="auto" w:fill="auto"/>
            <w:vAlign w:val="center"/>
          </w:tcPr>
          <w:p w14:paraId="051D7C53">
            <w:pPr>
              <w:spacing w:line="240" w:lineRule="auto"/>
              <w:ind w:firstLine="0" w:firstLineChars="0"/>
              <w:jc w:val="center"/>
              <w:textAlignment w:val="center"/>
              <w:rPr>
                <w:rFonts w:cs="Times New Roman"/>
                <w:sz w:val="21"/>
              </w:rPr>
            </w:pPr>
            <w:r>
              <w:rPr>
                <w:rFonts w:cs="Times New Roman"/>
                <w:sz w:val="21"/>
                <w:lang w:eastAsia="zh-CN" w:bidi="ar"/>
              </w:rPr>
              <w:t>23522.50</w:t>
            </w:r>
          </w:p>
        </w:tc>
      </w:tr>
      <w:tr w14:paraId="76D82088">
        <w:tblPrEx>
          <w:tblCellMar>
            <w:top w:w="0" w:type="dxa"/>
            <w:left w:w="108" w:type="dxa"/>
            <w:bottom w:w="0" w:type="dxa"/>
            <w:right w:w="108" w:type="dxa"/>
          </w:tblCellMar>
        </w:tblPrEx>
        <w:trPr>
          <w:trHeight w:val="295" w:hRule="atLeast"/>
          <w:jc w:val="center"/>
        </w:trPr>
        <w:tc>
          <w:tcPr>
            <w:tcW w:w="322" w:type="pct"/>
            <w:vMerge w:val="continue"/>
            <w:tcBorders>
              <w:top w:val="nil"/>
              <w:left w:val="single" w:color="000000" w:sz="8" w:space="0"/>
              <w:bottom w:val="single" w:color="000000" w:sz="8" w:space="0"/>
              <w:right w:val="single" w:color="000000" w:sz="8" w:space="0"/>
            </w:tcBorders>
            <w:shd w:val="clear" w:color="auto" w:fill="auto"/>
            <w:vAlign w:val="center"/>
          </w:tcPr>
          <w:p w14:paraId="78CF6051">
            <w:pPr>
              <w:spacing w:line="240" w:lineRule="auto"/>
              <w:ind w:firstLine="0" w:firstLineChars="0"/>
              <w:jc w:val="center"/>
              <w:rPr>
                <w:rFonts w:cs="宋体"/>
                <w:sz w:val="21"/>
              </w:rPr>
            </w:pPr>
          </w:p>
        </w:tc>
        <w:tc>
          <w:tcPr>
            <w:tcW w:w="324" w:type="pct"/>
            <w:tcBorders>
              <w:top w:val="nil"/>
              <w:left w:val="nil"/>
              <w:bottom w:val="single" w:color="000000" w:sz="8" w:space="0"/>
              <w:right w:val="single" w:color="000000" w:sz="8" w:space="0"/>
            </w:tcBorders>
            <w:shd w:val="clear" w:color="auto" w:fill="auto"/>
            <w:vAlign w:val="center"/>
          </w:tcPr>
          <w:p w14:paraId="46AEF23F">
            <w:pPr>
              <w:spacing w:line="240" w:lineRule="auto"/>
              <w:ind w:firstLine="0" w:firstLineChars="0"/>
              <w:jc w:val="center"/>
              <w:textAlignment w:val="center"/>
              <w:rPr>
                <w:rFonts w:cs="宋体"/>
                <w:sz w:val="21"/>
              </w:rPr>
            </w:pPr>
            <w:r>
              <w:rPr>
                <w:rFonts w:hint="eastAsia" w:cs="宋体"/>
                <w:sz w:val="21"/>
                <w:lang w:eastAsia="zh-CN" w:bidi="ar"/>
              </w:rPr>
              <w:t>杉木</w:t>
            </w:r>
          </w:p>
        </w:tc>
        <w:tc>
          <w:tcPr>
            <w:tcW w:w="351" w:type="pct"/>
            <w:tcBorders>
              <w:top w:val="nil"/>
              <w:left w:val="nil"/>
              <w:bottom w:val="single" w:color="000000" w:sz="8" w:space="0"/>
              <w:right w:val="single" w:color="000000" w:sz="8" w:space="0"/>
            </w:tcBorders>
            <w:shd w:val="clear" w:color="auto" w:fill="auto"/>
            <w:vAlign w:val="center"/>
          </w:tcPr>
          <w:p w14:paraId="4090273D">
            <w:pPr>
              <w:spacing w:line="240" w:lineRule="auto"/>
              <w:ind w:firstLine="0" w:firstLineChars="0"/>
              <w:jc w:val="center"/>
              <w:textAlignment w:val="center"/>
              <w:rPr>
                <w:rFonts w:cs="Times New Roman"/>
                <w:sz w:val="21"/>
              </w:rPr>
            </w:pPr>
            <w:r>
              <w:rPr>
                <w:rFonts w:cs="Times New Roman"/>
                <w:sz w:val="21"/>
                <w:lang w:eastAsia="zh-CN" w:bidi="ar"/>
              </w:rPr>
              <w:t>1444.26</w:t>
            </w:r>
          </w:p>
        </w:tc>
        <w:tc>
          <w:tcPr>
            <w:tcW w:w="399" w:type="pct"/>
            <w:tcBorders>
              <w:top w:val="nil"/>
              <w:left w:val="nil"/>
              <w:bottom w:val="single" w:color="000000" w:sz="8" w:space="0"/>
              <w:right w:val="single" w:color="000000" w:sz="8" w:space="0"/>
            </w:tcBorders>
            <w:shd w:val="clear" w:color="auto" w:fill="auto"/>
            <w:vAlign w:val="center"/>
          </w:tcPr>
          <w:p w14:paraId="753E2C85">
            <w:pPr>
              <w:spacing w:line="240" w:lineRule="auto"/>
              <w:ind w:firstLine="0" w:firstLineChars="0"/>
              <w:jc w:val="center"/>
              <w:textAlignment w:val="center"/>
              <w:rPr>
                <w:rFonts w:cs="Times New Roman"/>
                <w:sz w:val="21"/>
              </w:rPr>
            </w:pPr>
            <w:r>
              <w:rPr>
                <w:rFonts w:cs="Times New Roman"/>
                <w:sz w:val="21"/>
                <w:lang w:eastAsia="zh-CN" w:bidi="ar"/>
              </w:rPr>
              <w:t>222990.30</w:t>
            </w:r>
          </w:p>
        </w:tc>
        <w:tc>
          <w:tcPr>
            <w:tcW w:w="344" w:type="pct"/>
            <w:tcBorders>
              <w:top w:val="nil"/>
              <w:left w:val="nil"/>
              <w:bottom w:val="single" w:color="000000" w:sz="8" w:space="0"/>
              <w:right w:val="single" w:color="000000" w:sz="8" w:space="0"/>
            </w:tcBorders>
            <w:shd w:val="clear" w:color="auto" w:fill="auto"/>
            <w:vAlign w:val="center"/>
          </w:tcPr>
          <w:p w14:paraId="6D3ED097">
            <w:pPr>
              <w:spacing w:line="240" w:lineRule="auto"/>
              <w:ind w:firstLine="0" w:firstLineChars="0"/>
              <w:jc w:val="center"/>
              <w:textAlignment w:val="center"/>
              <w:rPr>
                <w:rFonts w:cs="Times New Roman"/>
                <w:sz w:val="21"/>
              </w:rPr>
            </w:pPr>
            <w:r>
              <w:rPr>
                <w:rFonts w:cs="Times New Roman"/>
                <w:sz w:val="21"/>
                <w:lang w:eastAsia="zh-CN" w:bidi="ar"/>
              </w:rPr>
              <w:t>161.37</w:t>
            </w:r>
          </w:p>
        </w:tc>
        <w:tc>
          <w:tcPr>
            <w:tcW w:w="351" w:type="pct"/>
            <w:tcBorders>
              <w:top w:val="nil"/>
              <w:left w:val="nil"/>
              <w:bottom w:val="single" w:color="000000" w:sz="8" w:space="0"/>
              <w:right w:val="single" w:color="000000" w:sz="8" w:space="0"/>
            </w:tcBorders>
            <w:shd w:val="clear" w:color="auto" w:fill="auto"/>
            <w:vAlign w:val="center"/>
          </w:tcPr>
          <w:p w14:paraId="1DD52ED0">
            <w:pPr>
              <w:spacing w:line="240" w:lineRule="auto"/>
              <w:ind w:firstLine="0" w:firstLineChars="0"/>
              <w:jc w:val="center"/>
              <w:textAlignment w:val="center"/>
              <w:rPr>
                <w:rFonts w:cs="Times New Roman"/>
                <w:sz w:val="21"/>
              </w:rPr>
            </w:pPr>
            <w:r>
              <w:rPr>
                <w:rFonts w:cs="Times New Roman"/>
                <w:sz w:val="21"/>
                <w:lang w:eastAsia="zh-CN" w:bidi="ar"/>
              </w:rPr>
              <w:t>5124.10</w:t>
            </w:r>
          </w:p>
        </w:tc>
        <w:tc>
          <w:tcPr>
            <w:tcW w:w="351" w:type="pct"/>
            <w:tcBorders>
              <w:top w:val="nil"/>
              <w:left w:val="nil"/>
              <w:bottom w:val="single" w:color="000000" w:sz="8" w:space="0"/>
              <w:right w:val="single" w:color="000000" w:sz="8" w:space="0"/>
            </w:tcBorders>
            <w:shd w:val="clear" w:color="auto" w:fill="auto"/>
            <w:vAlign w:val="center"/>
          </w:tcPr>
          <w:p w14:paraId="1671A214">
            <w:pPr>
              <w:spacing w:line="240" w:lineRule="auto"/>
              <w:ind w:firstLine="0" w:firstLineChars="0"/>
              <w:jc w:val="center"/>
              <w:textAlignment w:val="center"/>
              <w:rPr>
                <w:rFonts w:cs="Times New Roman"/>
                <w:sz w:val="21"/>
              </w:rPr>
            </w:pPr>
            <w:r>
              <w:rPr>
                <w:rFonts w:cs="Times New Roman"/>
                <w:sz w:val="21"/>
                <w:lang w:eastAsia="zh-CN" w:bidi="ar"/>
              </w:rPr>
              <w:t>926.32</w:t>
            </w:r>
          </w:p>
        </w:tc>
        <w:tc>
          <w:tcPr>
            <w:tcW w:w="399" w:type="pct"/>
            <w:tcBorders>
              <w:top w:val="nil"/>
              <w:left w:val="nil"/>
              <w:bottom w:val="single" w:color="000000" w:sz="8" w:space="0"/>
              <w:right w:val="single" w:color="000000" w:sz="8" w:space="0"/>
            </w:tcBorders>
            <w:shd w:val="clear" w:color="auto" w:fill="auto"/>
            <w:vAlign w:val="center"/>
          </w:tcPr>
          <w:p w14:paraId="20639BCE">
            <w:pPr>
              <w:spacing w:line="240" w:lineRule="auto"/>
              <w:ind w:firstLine="0" w:firstLineChars="0"/>
              <w:jc w:val="center"/>
              <w:textAlignment w:val="center"/>
              <w:rPr>
                <w:rFonts w:cs="Times New Roman"/>
                <w:sz w:val="21"/>
              </w:rPr>
            </w:pPr>
            <w:r>
              <w:rPr>
                <w:rFonts w:cs="Times New Roman"/>
                <w:sz w:val="21"/>
                <w:lang w:eastAsia="zh-CN" w:bidi="ar"/>
              </w:rPr>
              <w:t>130536.20</w:t>
            </w:r>
          </w:p>
        </w:tc>
        <w:tc>
          <w:tcPr>
            <w:tcW w:w="351" w:type="pct"/>
            <w:tcBorders>
              <w:top w:val="nil"/>
              <w:left w:val="nil"/>
              <w:bottom w:val="single" w:color="000000" w:sz="8" w:space="0"/>
              <w:right w:val="single" w:color="000000" w:sz="8" w:space="0"/>
            </w:tcBorders>
            <w:shd w:val="clear" w:color="auto" w:fill="auto"/>
            <w:vAlign w:val="center"/>
          </w:tcPr>
          <w:p w14:paraId="285CECB4">
            <w:pPr>
              <w:spacing w:line="240" w:lineRule="auto"/>
              <w:ind w:firstLine="0" w:firstLineChars="0"/>
              <w:jc w:val="center"/>
              <w:textAlignment w:val="center"/>
              <w:rPr>
                <w:rFonts w:cs="Times New Roman"/>
                <w:sz w:val="21"/>
              </w:rPr>
            </w:pPr>
            <w:r>
              <w:rPr>
                <w:rFonts w:cs="Times New Roman"/>
                <w:sz w:val="21"/>
                <w:lang w:eastAsia="zh-CN" w:bidi="ar"/>
              </w:rPr>
              <w:t>343.36</w:t>
            </w:r>
          </w:p>
        </w:tc>
        <w:tc>
          <w:tcPr>
            <w:tcW w:w="399" w:type="pct"/>
            <w:tcBorders>
              <w:top w:val="nil"/>
              <w:left w:val="nil"/>
              <w:bottom w:val="single" w:color="000000" w:sz="8" w:space="0"/>
              <w:right w:val="single" w:color="000000" w:sz="8" w:space="0"/>
            </w:tcBorders>
            <w:shd w:val="clear" w:color="auto" w:fill="auto"/>
            <w:vAlign w:val="center"/>
          </w:tcPr>
          <w:p w14:paraId="0FF17814">
            <w:pPr>
              <w:spacing w:line="240" w:lineRule="auto"/>
              <w:ind w:firstLine="0" w:firstLineChars="0"/>
              <w:jc w:val="center"/>
              <w:textAlignment w:val="center"/>
              <w:rPr>
                <w:rFonts w:cs="Times New Roman"/>
                <w:sz w:val="21"/>
              </w:rPr>
            </w:pPr>
            <w:r>
              <w:rPr>
                <w:rFonts w:cs="Times New Roman"/>
                <w:sz w:val="21"/>
                <w:lang w:eastAsia="zh-CN" w:bidi="ar"/>
              </w:rPr>
              <w:t>83428.20</w:t>
            </w:r>
          </w:p>
        </w:tc>
        <w:tc>
          <w:tcPr>
            <w:tcW w:w="344" w:type="pct"/>
            <w:tcBorders>
              <w:top w:val="nil"/>
              <w:left w:val="nil"/>
              <w:bottom w:val="single" w:color="000000" w:sz="8" w:space="0"/>
              <w:right w:val="single" w:color="000000" w:sz="8" w:space="0"/>
            </w:tcBorders>
            <w:shd w:val="clear" w:color="auto" w:fill="auto"/>
            <w:vAlign w:val="center"/>
          </w:tcPr>
          <w:p w14:paraId="3D986411">
            <w:pPr>
              <w:spacing w:line="240" w:lineRule="auto"/>
              <w:ind w:firstLine="0" w:firstLineChars="0"/>
              <w:jc w:val="center"/>
              <w:textAlignment w:val="center"/>
              <w:rPr>
                <w:rFonts w:cs="Times New Roman"/>
                <w:sz w:val="21"/>
              </w:rPr>
            </w:pPr>
            <w:r>
              <w:rPr>
                <w:rFonts w:cs="Times New Roman"/>
                <w:sz w:val="21"/>
                <w:lang w:eastAsia="zh-CN" w:bidi="ar"/>
              </w:rPr>
              <w:t>13.20</w:t>
            </w:r>
          </w:p>
        </w:tc>
        <w:tc>
          <w:tcPr>
            <w:tcW w:w="361" w:type="pct"/>
            <w:tcBorders>
              <w:top w:val="nil"/>
              <w:left w:val="nil"/>
              <w:bottom w:val="single" w:color="000000" w:sz="8" w:space="0"/>
              <w:right w:val="single" w:color="000000" w:sz="8" w:space="0"/>
            </w:tcBorders>
            <w:shd w:val="clear" w:color="auto" w:fill="auto"/>
            <w:vAlign w:val="center"/>
          </w:tcPr>
          <w:p w14:paraId="1A43C0FC">
            <w:pPr>
              <w:spacing w:line="240" w:lineRule="auto"/>
              <w:ind w:firstLine="0" w:firstLineChars="0"/>
              <w:jc w:val="center"/>
              <w:textAlignment w:val="center"/>
              <w:rPr>
                <w:rFonts w:cs="Times New Roman"/>
                <w:sz w:val="21"/>
              </w:rPr>
            </w:pPr>
            <w:r>
              <w:rPr>
                <w:rFonts w:cs="Times New Roman"/>
                <w:sz w:val="21"/>
                <w:lang w:eastAsia="zh-CN" w:bidi="ar"/>
              </w:rPr>
              <w:t>3901.80</w:t>
            </w:r>
          </w:p>
        </w:tc>
        <w:tc>
          <w:tcPr>
            <w:tcW w:w="344" w:type="pct"/>
            <w:tcBorders>
              <w:top w:val="nil"/>
              <w:left w:val="nil"/>
              <w:bottom w:val="single" w:color="000000" w:sz="8" w:space="0"/>
              <w:right w:val="single" w:color="000000" w:sz="8" w:space="0"/>
            </w:tcBorders>
            <w:shd w:val="clear" w:color="auto" w:fill="auto"/>
            <w:vAlign w:val="center"/>
          </w:tcPr>
          <w:p w14:paraId="344F5119">
            <w:pPr>
              <w:spacing w:line="240" w:lineRule="auto"/>
              <w:ind w:firstLine="0" w:firstLineChars="0"/>
              <w:jc w:val="center"/>
              <w:rPr>
                <w:rFonts w:cs="Times New Roman"/>
                <w:sz w:val="21"/>
              </w:rPr>
            </w:pPr>
          </w:p>
        </w:tc>
        <w:tc>
          <w:tcPr>
            <w:tcW w:w="361" w:type="pct"/>
            <w:tcBorders>
              <w:top w:val="nil"/>
              <w:left w:val="nil"/>
              <w:bottom w:val="single" w:color="000000" w:sz="8" w:space="0"/>
              <w:right w:val="single" w:color="000000" w:sz="8" w:space="0"/>
            </w:tcBorders>
            <w:shd w:val="clear" w:color="auto" w:fill="auto"/>
            <w:vAlign w:val="center"/>
          </w:tcPr>
          <w:p w14:paraId="61E705D8">
            <w:pPr>
              <w:spacing w:line="240" w:lineRule="auto"/>
              <w:ind w:firstLine="0" w:firstLineChars="0"/>
              <w:jc w:val="center"/>
              <w:rPr>
                <w:rFonts w:cs="Times New Roman"/>
                <w:sz w:val="21"/>
              </w:rPr>
            </w:pPr>
          </w:p>
        </w:tc>
      </w:tr>
      <w:tr w14:paraId="223B5C23">
        <w:tblPrEx>
          <w:tblCellMar>
            <w:top w:w="0" w:type="dxa"/>
            <w:left w:w="108" w:type="dxa"/>
            <w:bottom w:w="0" w:type="dxa"/>
            <w:right w:w="108" w:type="dxa"/>
          </w:tblCellMar>
        </w:tblPrEx>
        <w:trPr>
          <w:trHeight w:val="295" w:hRule="atLeast"/>
          <w:jc w:val="center"/>
        </w:trPr>
        <w:tc>
          <w:tcPr>
            <w:tcW w:w="322" w:type="pct"/>
            <w:vMerge w:val="continue"/>
            <w:tcBorders>
              <w:top w:val="nil"/>
              <w:left w:val="single" w:color="000000" w:sz="8" w:space="0"/>
              <w:bottom w:val="single" w:color="000000" w:sz="8" w:space="0"/>
              <w:right w:val="single" w:color="000000" w:sz="8" w:space="0"/>
            </w:tcBorders>
            <w:shd w:val="clear" w:color="auto" w:fill="auto"/>
            <w:vAlign w:val="center"/>
          </w:tcPr>
          <w:p w14:paraId="5C650547">
            <w:pPr>
              <w:spacing w:line="240" w:lineRule="auto"/>
              <w:ind w:firstLine="0" w:firstLineChars="0"/>
              <w:jc w:val="center"/>
              <w:rPr>
                <w:rFonts w:cs="宋体"/>
                <w:sz w:val="21"/>
              </w:rPr>
            </w:pPr>
          </w:p>
        </w:tc>
        <w:tc>
          <w:tcPr>
            <w:tcW w:w="324" w:type="pct"/>
            <w:tcBorders>
              <w:top w:val="nil"/>
              <w:left w:val="nil"/>
              <w:bottom w:val="single" w:color="000000" w:sz="8" w:space="0"/>
              <w:right w:val="single" w:color="000000" w:sz="8" w:space="0"/>
            </w:tcBorders>
            <w:shd w:val="clear" w:color="auto" w:fill="auto"/>
            <w:vAlign w:val="center"/>
          </w:tcPr>
          <w:p w14:paraId="2A886902">
            <w:pPr>
              <w:spacing w:line="240" w:lineRule="auto"/>
              <w:ind w:firstLine="0" w:firstLineChars="0"/>
              <w:jc w:val="center"/>
              <w:textAlignment w:val="center"/>
              <w:rPr>
                <w:rFonts w:cs="宋体"/>
                <w:sz w:val="21"/>
              </w:rPr>
            </w:pPr>
            <w:r>
              <w:rPr>
                <w:rFonts w:hint="eastAsia" w:cs="宋体"/>
                <w:sz w:val="21"/>
                <w:lang w:eastAsia="zh-CN" w:bidi="ar"/>
              </w:rPr>
              <w:t>湿地松</w:t>
            </w:r>
          </w:p>
        </w:tc>
        <w:tc>
          <w:tcPr>
            <w:tcW w:w="351" w:type="pct"/>
            <w:tcBorders>
              <w:top w:val="nil"/>
              <w:left w:val="nil"/>
              <w:bottom w:val="single" w:color="000000" w:sz="8" w:space="0"/>
              <w:right w:val="single" w:color="000000" w:sz="8" w:space="0"/>
            </w:tcBorders>
            <w:shd w:val="clear" w:color="auto" w:fill="auto"/>
            <w:vAlign w:val="center"/>
          </w:tcPr>
          <w:p w14:paraId="4E314100">
            <w:pPr>
              <w:spacing w:line="240" w:lineRule="auto"/>
              <w:ind w:firstLine="0" w:firstLineChars="0"/>
              <w:jc w:val="center"/>
              <w:textAlignment w:val="center"/>
              <w:rPr>
                <w:rFonts w:cs="Times New Roman"/>
                <w:sz w:val="21"/>
              </w:rPr>
            </w:pPr>
            <w:r>
              <w:rPr>
                <w:rFonts w:cs="Times New Roman"/>
                <w:sz w:val="21"/>
                <w:lang w:eastAsia="zh-CN" w:bidi="ar"/>
              </w:rPr>
              <w:t>3.67</w:t>
            </w:r>
          </w:p>
        </w:tc>
        <w:tc>
          <w:tcPr>
            <w:tcW w:w="399" w:type="pct"/>
            <w:tcBorders>
              <w:top w:val="nil"/>
              <w:left w:val="nil"/>
              <w:bottom w:val="single" w:color="000000" w:sz="8" w:space="0"/>
              <w:right w:val="single" w:color="000000" w:sz="8" w:space="0"/>
            </w:tcBorders>
            <w:shd w:val="clear" w:color="auto" w:fill="auto"/>
            <w:vAlign w:val="center"/>
          </w:tcPr>
          <w:p w14:paraId="52977D95">
            <w:pPr>
              <w:spacing w:line="240" w:lineRule="auto"/>
              <w:ind w:firstLine="0" w:firstLineChars="0"/>
              <w:jc w:val="center"/>
              <w:textAlignment w:val="center"/>
              <w:rPr>
                <w:rFonts w:cs="Times New Roman"/>
                <w:sz w:val="21"/>
              </w:rPr>
            </w:pPr>
            <w:r>
              <w:rPr>
                <w:rFonts w:cs="Times New Roman"/>
                <w:sz w:val="21"/>
                <w:lang w:eastAsia="zh-CN" w:bidi="ar"/>
              </w:rPr>
              <w:t>413.70</w:t>
            </w:r>
          </w:p>
        </w:tc>
        <w:tc>
          <w:tcPr>
            <w:tcW w:w="344" w:type="pct"/>
            <w:tcBorders>
              <w:top w:val="nil"/>
              <w:left w:val="nil"/>
              <w:bottom w:val="single" w:color="000000" w:sz="8" w:space="0"/>
              <w:right w:val="single" w:color="000000" w:sz="8" w:space="0"/>
            </w:tcBorders>
            <w:shd w:val="clear" w:color="auto" w:fill="auto"/>
            <w:vAlign w:val="center"/>
          </w:tcPr>
          <w:p w14:paraId="18B99C24">
            <w:pPr>
              <w:spacing w:line="240" w:lineRule="auto"/>
              <w:ind w:firstLine="0" w:firstLineChars="0"/>
              <w:jc w:val="center"/>
              <w:rPr>
                <w:rFonts w:cs="Times New Roman"/>
                <w:sz w:val="21"/>
              </w:rPr>
            </w:pPr>
          </w:p>
        </w:tc>
        <w:tc>
          <w:tcPr>
            <w:tcW w:w="351" w:type="pct"/>
            <w:tcBorders>
              <w:top w:val="nil"/>
              <w:left w:val="nil"/>
              <w:bottom w:val="single" w:color="000000" w:sz="8" w:space="0"/>
              <w:right w:val="single" w:color="000000" w:sz="8" w:space="0"/>
            </w:tcBorders>
            <w:shd w:val="clear" w:color="auto" w:fill="auto"/>
            <w:vAlign w:val="center"/>
          </w:tcPr>
          <w:p w14:paraId="23A7D0D8">
            <w:pPr>
              <w:spacing w:line="240" w:lineRule="auto"/>
              <w:ind w:firstLine="0" w:firstLineChars="0"/>
              <w:jc w:val="center"/>
              <w:rPr>
                <w:rFonts w:cs="Times New Roman"/>
                <w:sz w:val="21"/>
              </w:rPr>
            </w:pPr>
          </w:p>
        </w:tc>
        <w:tc>
          <w:tcPr>
            <w:tcW w:w="351" w:type="pct"/>
            <w:tcBorders>
              <w:top w:val="nil"/>
              <w:left w:val="nil"/>
              <w:bottom w:val="single" w:color="000000" w:sz="8" w:space="0"/>
              <w:right w:val="single" w:color="000000" w:sz="8" w:space="0"/>
            </w:tcBorders>
            <w:shd w:val="clear" w:color="auto" w:fill="auto"/>
            <w:vAlign w:val="center"/>
          </w:tcPr>
          <w:p w14:paraId="7803B80C">
            <w:pPr>
              <w:spacing w:line="240" w:lineRule="auto"/>
              <w:ind w:firstLine="0" w:firstLineChars="0"/>
              <w:jc w:val="center"/>
              <w:rPr>
                <w:rFonts w:cs="Times New Roman"/>
                <w:sz w:val="21"/>
              </w:rPr>
            </w:pPr>
          </w:p>
        </w:tc>
        <w:tc>
          <w:tcPr>
            <w:tcW w:w="399" w:type="pct"/>
            <w:tcBorders>
              <w:top w:val="nil"/>
              <w:left w:val="nil"/>
              <w:bottom w:val="single" w:color="000000" w:sz="8" w:space="0"/>
              <w:right w:val="single" w:color="000000" w:sz="8" w:space="0"/>
            </w:tcBorders>
            <w:shd w:val="clear" w:color="auto" w:fill="auto"/>
            <w:vAlign w:val="center"/>
          </w:tcPr>
          <w:p w14:paraId="41B88C6F">
            <w:pPr>
              <w:spacing w:line="240" w:lineRule="auto"/>
              <w:ind w:firstLine="0" w:firstLineChars="0"/>
              <w:jc w:val="center"/>
              <w:rPr>
                <w:rFonts w:cs="Times New Roman"/>
                <w:sz w:val="21"/>
              </w:rPr>
            </w:pPr>
          </w:p>
        </w:tc>
        <w:tc>
          <w:tcPr>
            <w:tcW w:w="351" w:type="pct"/>
            <w:tcBorders>
              <w:top w:val="nil"/>
              <w:left w:val="nil"/>
              <w:bottom w:val="single" w:color="000000" w:sz="8" w:space="0"/>
              <w:right w:val="single" w:color="000000" w:sz="8" w:space="0"/>
            </w:tcBorders>
            <w:shd w:val="clear" w:color="auto" w:fill="auto"/>
            <w:vAlign w:val="center"/>
          </w:tcPr>
          <w:p w14:paraId="5FF063B3">
            <w:pPr>
              <w:spacing w:line="240" w:lineRule="auto"/>
              <w:ind w:firstLine="0" w:firstLineChars="0"/>
              <w:jc w:val="center"/>
              <w:rPr>
                <w:rFonts w:cs="Times New Roman"/>
                <w:sz w:val="21"/>
              </w:rPr>
            </w:pPr>
          </w:p>
        </w:tc>
        <w:tc>
          <w:tcPr>
            <w:tcW w:w="399" w:type="pct"/>
            <w:tcBorders>
              <w:top w:val="nil"/>
              <w:left w:val="nil"/>
              <w:bottom w:val="single" w:color="000000" w:sz="8" w:space="0"/>
              <w:right w:val="single" w:color="000000" w:sz="8" w:space="0"/>
            </w:tcBorders>
            <w:shd w:val="clear" w:color="auto" w:fill="auto"/>
            <w:vAlign w:val="center"/>
          </w:tcPr>
          <w:p w14:paraId="242DC104">
            <w:pPr>
              <w:spacing w:line="240" w:lineRule="auto"/>
              <w:ind w:firstLine="0" w:firstLineChars="0"/>
              <w:jc w:val="center"/>
              <w:rPr>
                <w:rFonts w:cs="Times New Roman"/>
                <w:sz w:val="21"/>
              </w:rPr>
            </w:pPr>
          </w:p>
        </w:tc>
        <w:tc>
          <w:tcPr>
            <w:tcW w:w="344" w:type="pct"/>
            <w:tcBorders>
              <w:top w:val="nil"/>
              <w:left w:val="nil"/>
              <w:bottom w:val="single" w:color="000000" w:sz="8" w:space="0"/>
              <w:right w:val="single" w:color="000000" w:sz="8" w:space="0"/>
            </w:tcBorders>
            <w:shd w:val="clear" w:color="auto" w:fill="auto"/>
            <w:vAlign w:val="center"/>
          </w:tcPr>
          <w:p w14:paraId="0A527B04">
            <w:pPr>
              <w:spacing w:line="240" w:lineRule="auto"/>
              <w:ind w:firstLine="0" w:firstLineChars="0"/>
              <w:jc w:val="center"/>
              <w:textAlignment w:val="center"/>
              <w:rPr>
                <w:rFonts w:cs="Times New Roman"/>
                <w:sz w:val="21"/>
              </w:rPr>
            </w:pPr>
            <w:r>
              <w:rPr>
                <w:rFonts w:cs="Times New Roman"/>
                <w:sz w:val="21"/>
                <w:lang w:eastAsia="zh-CN" w:bidi="ar"/>
              </w:rPr>
              <w:t>3.67</w:t>
            </w:r>
          </w:p>
        </w:tc>
        <w:tc>
          <w:tcPr>
            <w:tcW w:w="361" w:type="pct"/>
            <w:tcBorders>
              <w:top w:val="nil"/>
              <w:left w:val="nil"/>
              <w:bottom w:val="single" w:color="000000" w:sz="8" w:space="0"/>
              <w:right w:val="single" w:color="000000" w:sz="8" w:space="0"/>
            </w:tcBorders>
            <w:shd w:val="clear" w:color="auto" w:fill="auto"/>
            <w:vAlign w:val="center"/>
          </w:tcPr>
          <w:p w14:paraId="194603A6">
            <w:pPr>
              <w:spacing w:line="240" w:lineRule="auto"/>
              <w:ind w:firstLine="0" w:firstLineChars="0"/>
              <w:jc w:val="center"/>
              <w:textAlignment w:val="center"/>
              <w:rPr>
                <w:rFonts w:cs="Times New Roman"/>
                <w:sz w:val="21"/>
              </w:rPr>
            </w:pPr>
            <w:r>
              <w:rPr>
                <w:rFonts w:cs="Times New Roman"/>
                <w:sz w:val="21"/>
                <w:lang w:eastAsia="zh-CN" w:bidi="ar"/>
              </w:rPr>
              <w:t>413.70</w:t>
            </w:r>
          </w:p>
        </w:tc>
        <w:tc>
          <w:tcPr>
            <w:tcW w:w="344" w:type="pct"/>
            <w:tcBorders>
              <w:top w:val="nil"/>
              <w:left w:val="nil"/>
              <w:bottom w:val="single" w:color="000000" w:sz="8" w:space="0"/>
              <w:right w:val="single" w:color="000000" w:sz="8" w:space="0"/>
            </w:tcBorders>
            <w:shd w:val="clear" w:color="auto" w:fill="auto"/>
            <w:vAlign w:val="center"/>
          </w:tcPr>
          <w:p w14:paraId="2E06BDD0">
            <w:pPr>
              <w:spacing w:line="240" w:lineRule="auto"/>
              <w:ind w:firstLine="0" w:firstLineChars="0"/>
              <w:jc w:val="center"/>
              <w:rPr>
                <w:rFonts w:cs="Times New Roman"/>
                <w:sz w:val="21"/>
              </w:rPr>
            </w:pPr>
          </w:p>
        </w:tc>
        <w:tc>
          <w:tcPr>
            <w:tcW w:w="361" w:type="pct"/>
            <w:tcBorders>
              <w:top w:val="nil"/>
              <w:left w:val="nil"/>
              <w:bottom w:val="single" w:color="000000" w:sz="8" w:space="0"/>
              <w:right w:val="single" w:color="000000" w:sz="8" w:space="0"/>
            </w:tcBorders>
            <w:shd w:val="clear" w:color="auto" w:fill="auto"/>
            <w:vAlign w:val="center"/>
          </w:tcPr>
          <w:p w14:paraId="53ACAB7A">
            <w:pPr>
              <w:spacing w:line="240" w:lineRule="auto"/>
              <w:ind w:firstLine="0" w:firstLineChars="0"/>
              <w:jc w:val="center"/>
              <w:rPr>
                <w:rFonts w:cs="Times New Roman"/>
                <w:sz w:val="21"/>
              </w:rPr>
            </w:pPr>
          </w:p>
        </w:tc>
      </w:tr>
      <w:tr w14:paraId="7A0927ED">
        <w:tblPrEx>
          <w:tblCellMar>
            <w:top w:w="0" w:type="dxa"/>
            <w:left w:w="108" w:type="dxa"/>
            <w:bottom w:w="0" w:type="dxa"/>
            <w:right w:w="108" w:type="dxa"/>
          </w:tblCellMar>
        </w:tblPrEx>
        <w:trPr>
          <w:trHeight w:val="295" w:hRule="atLeast"/>
          <w:jc w:val="center"/>
        </w:trPr>
        <w:tc>
          <w:tcPr>
            <w:tcW w:w="322" w:type="pct"/>
            <w:vMerge w:val="continue"/>
            <w:tcBorders>
              <w:top w:val="nil"/>
              <w:left w:val="single" w:color="000000" w:sz="8" w:space="0"/>
              <w:bottom w:val="single" w:color="000000" w:sz="8" w:space="0"/>
              <w:right w:val="single" w:color="000000" w:sz="8" w:space="0"/>
            </w:tcBorders>
            <w:shd w:val="clear" w:color="auto" w:fill="auto"/>
            <w:vAlign w:val="center"/>
          </w:tcPr>
          <w:p w14:paraId="5A4A6502">
            <w:pPr>
              <w:spacing w:line="240" w:lineRule="auto"/>
              <w:ind w:firstLine="0" w:firstLineChars="0"/>
              <w:jc w:val="center"/>
              <w:rPr>
                <w:rFonts w:cs="宋体"/>
                <w:sz w:val="21"/>
              </w:rPr>
            </w:pPr>
          </w:p>
        </w:tc>
        <w:tc>
          <w:tcPr>
            <w:tcW w:w="324" w:type="pct"/>
            <w:tcBorders>
              <w:top w:val="nil"/>
              <w:left w:val="nil"/>
              <w:bottom w:val="single" w:color="000000" w:sz="8" w:space="0"/>
              <w:right w:val="single" w:color="000000" w:sz="8" w:space="0"/>
            </w:tcBorders>
            <w:shd w:val="clear" w:color="auto" w:fill="auto"/>
            <w:vAlign w:val="center"/>
          </w:tcPr>
          <w:p w14:paraId="7311E3B4">
            <w:pPr>
              <w:spacing w:line="240" w:lineRule="auto"/>
              <w:ind w:firstLine="0" w:firstLineChars="0"/>
              <w:jc w:val="center"/>
              <w:textAlignment w:val="center"/>
              <w:rPr>
                <w:rFonts w:cs="宋体"/>
                <w:sz w:val="21"/>
              </w:rPr>
            </w:pPr>
            <w:r>
              <w:rPr>
                <w:rFonts w:hint="eastAsia" w:cs="宋体"/>
                <w:sz w:val="21"/>
                <w:lang w:eastAsia="zh-CN" w:bidi="ar"/>
              </w:rPr>
              <w:t>针叶混</w:t>
            </w:r>
          </w:p>
        </w:tc>
        <w:tc>
          <w:tcPr>
            <w:tcW w:w="351" w:type="pct"/>
            <w:tcBorders>
              <w:top w:val="nil"/>
              <w:left w:val="nil"/>
              <w:bottom w:val="single" w:color="000000" w:sz="8" w:space="0"/>
              <w:right w:val="single" w:color="000000" w:sz="8" w:space="0"/>
            </w:tcBorders>
            <w:shd w:val="clear" w:color="auto" w:fill="auto"/>
            <w:vAlign w:val="center"/>
          </w:tcPr>
          <w:p w14:paraId="10595266">
            <w:pPr>
              <w:spacing w:line="240" w:lineRule="auto"/>
              <w:ind w:firstLine="0" w:firstLineChars="0"/>
              <w:jc w:val="center"/>
              <w:textAlignment w:val="center"/>
              <w:rPr>
                <w:rFonts w:cs="Times New Roman"/>
                <w:sz w:val="21"/>
              </w:rPr>
            </w:pPr>
            <w:r>
              <w:rPr>
                <w:rFonts w:cs="Times New Roman"/>
                <w:sz w:val="21"/>
                <w:lang w:eastAsia="zh-CN" w:bidi="ar"/>
              </w:rPr>
              <w:t>20.66</w:t>
            </w:r>
          </w:p>
        </w:tc>
        <w:tc>
          <w:tcPr>
            <w:tcW w:w="399" w:type="pct"/>
            <w:tcBorders>
              <w:top w:val="nil"/>
              <w:left w:val="nil"/>
              <w:bottom w:val="single" w:color="000000" w:sz="8" w:space="0"/>
              <w:right w:val="single" w:color="000000" w:sz="8" w:space="0"/>
            </w:tcBorders>
            <w:shd w:val="clear" w:color="auto" w:fill="auto"/>
            <w:vAlign w:val="center"/>
          </w:tcPr>
          <w:p w14:paraId="4DBADD02">
            <w:pPr>
              <w:spacing w:line="240" w:lineRule="auto"/>
              <w:ind w:firstLine="0" w:firstLineChars="0"/>
              <w:jc w:val="center"/>
              <w:textAlignment w:val="center"/>
              <w:rPr>
                <w:rFonts w:cs="Times New Roman"/>
                <w:sz w:val="21"/>
              </w:rPr>
            </w:pPr>
            <w:r>
              <w:rPr>
                <w:rFonts w:cs="Times New Roman"/>
                <w:sz w:val="21"/>
                <w:lang w:eastAsia="zh-CN" w:bidi="ar"/>
              </w:rPr>
              <w:t>0.00</w:t>
            </w:r>
          </w:p>
        </w:tc>
        <w:tc>
          <w:tcPr>
            <w:tcW w:w="344" w:type="pct"/>
            <w:tcBorders>
              <w:top w:val="nil"/>
              <w:left w:val="nil"/>
              <w:bottom w:val="single" w:color="000000" w:sz="8" w:space="0"/>
              <w:right w:val="single" w:color="000000" w:sz="8" w:space="0"/>
            </w:tcBorders>
            <w:shd w:val="clear" w:color="auto" w:fill="auto"/>
            <w:vAlign w:val="center"/>
          </w:tcPr>
          <w:p w14:paraId="14BD7A49">
            <w:pPr>
              <w:spacing w:line="240" w:lineRule="auto"/>
              <w:ind w:firstLine="0" w:firstLineChars="0"/>
              <w:jc w:val="center"/>
              <w:textAlignment w:val="center"/>
              <w:rPr>
                <w:rFonts w:cs="Times New Roman"/>
                <w:sz w:val="21"/>
              </w:rPr>
            </w:pPr>
            <w:r>
              <w:rPr>
                <w:rFonts w:cs="Times New Roman"/>
                <w:sz w:val="21"/>
                <w:lang w:eastAsia="zh-CN" w:bidi="ar"/>
              </w:rPr>
              <w:t>20.66</w:t>
            </w:r>
          </w:p>
        </w:tc>
        <w:tc>
          <w:tcPr>
            <w:tcW w:w="351" w:type="pct"/>
            <w:tcBorders>
              <w:top w:val="nil"/>
              <w:left w:val="nil"/>
              <w:bottom w:val="single" w:color="000000" w:sz="8" w:space="0"/>
              <w:right w:val="single" w:color="000000" w:sz="8" w:space="0"/>
            </w:tcBorders>
            <w:shd w:val="clear" w:color="auto" w:fill="auto"/>
            <w:vAlign w:val="center"/>
          </w:tcPr>
          <w:p w14:paraId="4408ECDB">
            <w:pPr>
              <w:spacing w:line="240" w:lineRule="auto"/>
              <w:ind w:firstLine="0" w:firstLineChars="0"/>
              <w:jc w:val="center"/>
              <w:rPr>
                <w:rFonts w:cs="Times New Roman"/>
                <w:sz w:val="21"/>
              </w:rPr>
            </w:pPr>
          </w:p>
        </w:tc>
        <w:tc>
          <w:tcPr>
            <w:tcW w:w="351" w:type="pct"/>
            <w:tcBorders>
              <w:top w:val="nil"/>
              <w:left w:val="nil"/>
              <w:bottom w:val="single" w:color="000000" w:sz="8" w:space="0"/>
              <w:right w:val="single" w:color="000000" w:sz="8" w:space="0"/>
            </w:tcBorders>
            <w:shd w:val="clear" w:color="auto" w:fill="auto"/>
            <w:vAlign w:val="center"/>
          </w:tcPr>
          <w:p w14:paraId="25735917">
            <w:pPr>
              <w:spacing w:line="240" w:lineRule="auto"/>
              <w:ind w:firstLine="0" w:firstLineChars="0"/>
              <w:jc w:val="center"/>
              <w:rPr>
                <w:rFonts w:cs="Times New Roman"/>
                <w:sz w:val="21"/>
              </w:rPr>
            </w:pPr>
          </w:p>
        </w:tc>
        <w:tc>
          <w:tcPr>
            <w:tcW w:w="399" w:type="pct"/>
            <w:tcBorders>
              <w:top w:val="nil"/>
              <w:left w:val="nil"/>
              <w:bottom w:val="single" w:color="000000" w:sz="8" w:space="0"/>
              <w:right w:val="single" w:color="000000" w:sz="8" w:space="0"/>
            </w:tcBorders>
            <w:shd w:val="clear" w:color="auto" w:fill="auto"/>
            <w:vAlign w:val="center"/>
          </w:tcPr>
          <w:p w14:paraId="552D7E6D">
            <w:pPr>
              <w:spacing w:line="240" w:lineRule="auto"/>
              <w:ind w:firstLine="0" w:firstLineChars="0"/>
              <w:jc w:val="center"/>
              <w:rPr>
                <w:rFonts w:cs="Times New Roman"/>
                <w:sz w:val="21"/>
              </w:rPr>
            </w:pPr>
          </w:p>
        </w:tc>
        <w:tc>
          <w:tcPr>
            <w:tcW w:w="351" w:type="pct"/>
            <w:tcBorders>
              <w:top w:val="nil"/>
              <w:left w:val="nil"/>
              <w:bottom w:val="single" w:color="000000" w:sz="8" w:space="0"/>
              <w:right w:val="single" w:color="000000" w:sz="8" w:space="0"/>
            </w:tcBorders>
            <w:shd w:val="clear" w:color="auto" w:fill="auto"/>
            <w:vAlign w:val="center"/>
          </w:tcPr>
          <w:p w14:paraId="4D5808D8">
            <w:pPr>
              <w:spacing w:line="240" w:lineRule="auto"/>
              <w:ind w:firstLine="0" w:firstLineChars="0"/>
              <w:jc w:val="center"/>
              <w:rPr>
                <w:rFonts w:cs="Times New Roman"/>
                <w:sz w:val="21"/>
              </w:rPr>
            </w:pPr>
          </w:p>
        </w:tc>
        <w:tc>
          <w:tcPr>
            <w:tcW w:w="399" w:type="pct"/>
            <w:tcBorders>
              <w:top w:val="nil"/>
              <w:left w:val="nil"/>
              <w:bottom w:val="single" w:color="000000" w:sz="8" w:space="0"/>
              <w:right w:val="single" w:color="000000" w:sz="8" w:space="0"/>
            </w:tcBorders>
            <w:shd w:val="clear" w:color="auto" w:fill="auto"/>
            <w:vAlign w:val="center"/>
          </w:tcPr>
          <w:p w14:paraId="455819DD">
            <w:pPr>
              <w:spacing w:line="240" w:lineRule="auto"/>
              <w:ind w:firstLine="0" w:firstLineChars="0"/>
              <w:jc w:val="center"/>
              <w:rPr>
                <w:rFonts w:cs="Times New Roman"/>
                <w:sz w:val="21"/>
              </w:rPr>
            </w:pPr>
          </w:p>
        </w:tc>
        <w:tc>
          <w:tcPr>
            <w:tcW w:w="344" w:type="pct"/>
            <w:tcBorders>
              <w:top w:val="nil"/>
              <w:left w:val="nil"/>
              <w:bottom w:val="single" w:color="000000" w:sz="8" w:space="0"/>
              <w:right w:val="single" w:color="000000" w:sz="8" w:space="0"/>
            </w:tcBorders>
            <w:shd w:val="clear" w:color="auto" w:fill="auto"/>
            <w:vAlign w:val="center"/>
          </w:tcPr>
          <w:p w14:paraId="5FE5137E">
            <w:pPr>
              <w:spacing w:line="240" w:lineRule="auto"/>
              <w:ind w:firstLine="0" w:firstLineChars="0"/>
              <w:jc w:val="center"/>
              <w:rPr>
                <w:rFonts w:cs="Times New Roman"/>
                <w:sz w:val="21"/>
              </w:rPr>
            </w:pPr>
          </w:p>
        </w:tc>
        <w:tc>
          <w:tcPr>
            <w:tcW w:w="361" w:type="pct"/>
            <w:tcBorders>
              <w:top w:val="nil"/>
              <w:left w:val="nil"/>
              <w:bottom w:val="single" w:color="000000" w:sz="8" w:space="0"/>
              <w:right w:val="single" w:color="000000" w:sz="8" w:space="0"/>
            </w:tcBorders>
            <w:shd w:val="clear" w:color="auto" w:fill="auto"/>
            <w:vAlign w:val="center"/>
          </w:tcPr>
          <w:p w14:paraId="7229AB4D">
            <w:pPr>
              <w:spacing w:line="240" w:lineRule="auto"/>
              <w:ind w:firstLine="0" w:firstLineChars="0"/>
              <w:jc w:val="center"/>
              <w:rPr>
                <w:rFonts w:cs="Times New Roman"/>
                <w:sz w:val="21"/>
              </w:rPr>
            </w:pPr>
          </w:p>
        </w:tc>
        <w:tc>
          <w:tcPr>
            <w:tcW w:w="344" w:type="pct"/>
            <w:tcBorders>
              <w:top w:val="nil"/>
              <w:left w:val="nil"/>
              <w:bottom w:val="single" w:color="000000" w:sz="8" w:space="0"/>
              <w:right w:val="single" w:color="000000" w:sz="8" w:space="0"/>
            </w:tcBorders>
            <w:shd w:val="clear" w:color="auto" w:fill="auto"/>
            <w:vAlign w:val="center"/>
          </w:tcPr>
          <w:p w14:paraId="439DA3B5">
            <w:pPr>
              <w:spacing w:line="240" w:lineRule="auto"/>
              <w:ind w:firstLine="0" w:firstLineChars="0"/>
              <w:jc w:val="center"/>
              <w:rPr>
                <w:rFonts w:cs="Times New Roman"/>
                <w:sz w:val="21"/>
              </w:rPr>
            </w:pPr>
          </w:p>
        </w:tc>
        <w:tc>
          <w:tcPr>
            <w:tcW w:w="361" w:type="pct"/>
            <w:tcBorders>
              <w:top w:val="nil"/>
              <w:left w:val="nil"/>
              <w:bottom w:val="single" w:color="000000" w:sz="8" w:space="0"/>
              <w:right w:val="single" w:color="000000" w:sz="8" w:space="0"/>
            </w:tcBorders>
            <w:shd w:val="clear" w:color="auto" w:fill="auto"/>
            <w:vAlign w:val="center"/>
          </w:tcPr>
          <w:p w14:paraId="119E1E9D">
            <w:pPr>
              <w:spacing w:line="240" w:lineRule="auto"/>
              <w:ind w:firstLine="0" w:firstLineChars="0"/>
              <w:jc w:val="center"/>
              <w:rPr>
                <w:rFonts w:cs="Times New Roman"/>
                <w:sz w:val="21"/>
              </w:rPr>
            </w:pPr>
          </w:p>
        </w:tc>
      </w:tr>
    </w:tbl>
    <w:p w14:paraId="4C4DA675">
      <w:pPr>
        <w:kinsoku/>
        <w:autoSpaceDE/>
        <w:autoSpaceDN/>
        <w:adjustRightInd/>
        <w:snapToGrid/>
        <w:spacing w:line="240" w:lineRule="auto"/>
        <w:ind w:firstLine="0" w:firstLineChars="0"/>
        <w:jc w:val="left"/>
        <w:textAlignment w:val="auto"/>
        <w:rPr>
          <w:rFonts w:eastAsia="黑体" w:cs="Times New Roman"/>
          <w:b/>
          <w:szCs w:val="24"/>
          <w:lang w:eastAsia="zh-CN"/>
        </w:rPr>
      </w:pPr>
      <w:r>
        <w:rPr>
          <w:rFonts w:hint="eastAsia" w:eastAsia="黑体" w:cs="Times New Roman"/>
          <w:b/>
          <w:szCs w:val="24"/>
          <w:lang w:eastAsia="zh-CN"/>
        </w:rPr>
        <w:br w:type="page"/>
      </w:r>
    </w:p>
    <w:p w14:paraId="59F7BDFB">
      <w:pPr>
        <w:pStyle w:val="7"/>
        <w:spacing w:line="240" w:lineRule="auto"/>
        <w:ind w:firstLine="0" w:firstLineChars="0"/>
        <w:jc w:val="center"/>
        <w:rPr>
          <w:rFonts w:eastAsia="黑体" w:cs="Times New Roman"/>
          <w:b/>
          <w:szCs w:val="24"/>
          <w:lang w:eastAsia="zh-CN"/>
        </w:rPr>
      </w:pPr>
      <w:r>
        <w:rPr>
          <w:rFonts w:eastAsia="黑体" w:cs="Times New Roman"/>
          <w:b/>
          <w:szCs w:val="24"/>
          <w:lang w:eastAsia="zh-CN"/>
        </w:rPr>
        <w:t>附表3</w:t>
      </w:r>
      <w:r>
        <w:rPr>
          <w:rFonts w:hint="eastAsia" w:eastAsia="黑体" w:cs="Times New Roman"/>
          <w:b/>
          <w:szCs w:val="24"/>
          <w:lang w:eastAsia="zh-CN"/>
        </w:rPr>
        <w:t>森林经营类型设计表</w:t>
      </w:r>
    </w:p>
    <w:p w14:paraId="10401A1B">
      <w:pPr>
        <w:spacing w:line="240" w:lineRule="auto"/>
        <w:ind w:firstLine="0" w:firstLineChars="0"/>
        <w:jc w:val="right"/>
        <w:rPr>
          <w:rFonts w:cs="Times New Roman"/>
          <w:sz w:val="21"/>
          <w:lang w:eastAsia="zh-CN"/>
        </w:rPr>
      </w:pPr>
      <w:r>
        <w:rPr>
          <w:rFonts w:cs="Times New Roman"/>
          <w:sz w:val="21"/>
          <w:lang w:eastAsia="zh-CN"/>
        </w:rPr>
        <w:t>单位</w:t>
      </w:r>
      <w:r>
        <w:rPr>
          <w:rFonts w:hint="eastAsia" w:cs="Times New Roman"/>
          <w:sz w:val="21"/>
          <w:lang w:eastAsia="zh-CN"/>
        </w:rPr>
        <w:t>：</w:t>
      </w:r>
      <w:r>
        <w:rPr>
          <w:rFonts w:cs="Times New Roman"/>
          <w:sz w:val="21"/>
          <w:lang w:eastAsia="zh-CN"/>
        </w:rPr>
        <w:t>hm</w:t>
      </w:r>
      <w:r>
        <w:rPr>
          <w:rFonts w:cs="Times New Roman"/>
          <w:sz w:val="21"/>
          <w:vertAlign w:val="superscript"/>
          <w:lang w:eastAsia="zh-CN"/>
        </w:rPr>
        <w:t>2</w:t>
      </w:r>
    </w:p>
    <w:tbl>
      <w:tblPr>
        <w:tblStyle w:val="21"/>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53"/>
        <w:gridCol w:w="752"/>
        <w:gridCol w:w="1665"/>
        <w:gridCol w:w="581"/>
        <w:gridCol w:w="1691"/>
        <w:gridCol w:w="8227"/>
      </w:tblGrid>
      <w:tr w14:paraId="483E4B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jc w:val="center"/>
        </w:trPr>
        <w:tc>
          <w:tcPr>
            <w:tcW w:w="377" w:type="pct"/>
            <w:vAlign w:val="center"/>
          </w:tcPr>
          <w:p w14:paraId="06364212">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pacing w:val="-2"/>
                <w:sz w:val="18"/>
                <w:szCs w:val="18"/>
              </w:rPr>
              <w:t>森林经营类型代号</w:t>
            </w:r>
          </w:p>
        </w:tc>
        <w:tc>
          <w:tcPr>
            <w:tcW w:w="269" w:type="pct"/>
            <w:vAlign w:val="center"/>
          </w:tcPr>
          <w:p w14:paraId="6A917238">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pacing w:val="-1"/>
                <w:sz w:val="18"/>
                <w:szCs w:val="18"/>
              </w:rPr>
              <w:t>森林经营类</w:t>
            </w:r>
            <w:r>
              <w:rPr>
                <w:rFonts w:hint="default" w:ascii="Times New Roman" w:hAnsi="Times New Roman" w:cs="Times New Roman"/>
                <w:sz w:val="18"/>
                <w:szCs w:val="18"/>
              </w:rPr>
              <w:t>型</w:t>
            </w:r>
          </w:p>
        </w:tc>
        <w:tc>
          <w:tcPr>
            <w:tcW w:w="596" w:type="pct"/>
            <w:vAlign w:val="center"/>
          </w:tcPr>
          <w:p w14:paraId="68D7CBB2">
            <w:pPr>
              <w:spacing w:line="240" w:lineRule="auto"/>
              <w:ind w:firstLine="0" w:firstLineChars="0"/>
              <w:jc w:val="center"/>
              <w:rPr>
                <w:rFonts w:hint="default" w:ascii="Times New Roman" w:hAnsi="Times New Roman" w:cs="Times New Roman"/>
                <w:sz w:val="18"/>
                <w:szCs w:val="18"/>
                <w:lang w:eastAsia="zh-CN"/>
              </w:rPr>
            </w:pPr>
            <w:r>
              <w:rPr>
                <w:rFonts w:hint="default" w:ascii="Times New Roman" w:hAnsi="Times New Roman" w:cs="Times New Roman"/>
                <w:spacing w:val="-2"/>
                <w:position w:val="4"/>
                <w:sz w:val="18"/>
                <w:szCs w:val="18"/>
              </w:rPr>
              <w:t>森林发展</w:t>
            </w:r>
            <w:r>
              <w:rPr>
                <w:rFonts w:hint="default" w:ascii="Times New Roman" w:hAnsi="Times New Roman" w:cs="Times New Roman"/>
                <w:spacing w:val="-2"/>
                <w:position w:val="4"/>
                <w:sz w:val="18"/>
                <w:szCs w:val="18"/>
                <w:lang w:eastAsia="zh-CN"/>
              </w:rPr>
              <w:t>阶段</w:t>
            </w:r>
          </w:p>
        </w:tc>
        <w:tc>
          <w:tcPr>
            <w:tcW w:w="208" w:type="pct"/>
            <w:vAlign w:val="center"/>
          </w:tcPr>
          <w:p w14:paraId="39AE6772">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pacing w:val="-2"/>
                <w:sz w:val="18"/>
                <w:szCs w:val="18"/>
              </w:rPr>
              <w:t>林龄范围</w:t>
            </w:r>
          </w:p>
        </w:tc>
        <w:tc>
          <w:tcPr>
            <w:tcW w:w="605" w:type="pct"/>
            <w:vAlign w:val="center"/>
          </w:tcPr>
          <w:p w14:paraId="72C35CF3">
            <w:pPr>
              <w:spacing w:line="240" w:lineRule="auto"/>
              <w:ind w:firstLine="0" w:firstLineChars="0"/>
              <w:jc w:val="center"/>
              <w:rPr>
                <w:rFonts w:hint="default" w:ascii="Times New Roman" w:hAnsi="Times New Roman" w:eastAsia="宋体" w:cs="Times New Roman"/>
                <w:sz w:val="18"/>
                <w:szCs w:val="18"/>
                <w:lang w:eastAsia="zh-CN"/>
              </w:rPr>
            </w:pPr>
            <w:r>
              <w:rPr>
                <w:rFonts w:hint="default" w:ascii="Times New Roman" w:hAnsi="Times New Roman" w:cs="Times New Roman"/>
                <w:spacing w:val="-2"/>
                <w:sz w:val="18"/>
                <w:szCs w:val="18"/>
              </w:rPr>
              <w:t>经营密度</w:t>
            </w:r>
            <w:r>
              <w:rPr>
                <w:rFonts w:hint="default" w:ascii="Times New Roman" w:hAnsi="Times New Roman" w:cs="Times New Roman"/>
                <w:spacing w:val="-3"/>
                <w:sz w:val="18"/>
                <w:szCs w:val="18"/>
                <w:lang w:eastAsia="zh-CN"/>
              </w:rPr>
              <w:t>(</w:t>
            </w:r>
            <w:r>
              <w:rPr>
                <w:rFonts w:hint="default" w:ascii="Times New Roman" w:hAnsi="Times New Roman" w:cs="Times New Roman"/>
                <w:spacing w:val="-3"/>
                <w:sz w:val="18"/>
                <w:szCs w:val="18"/>
              </w:rPr>
              <w:t>株</w:t>
            </w:r>
            <w:r>
              <w:rPr>
                <w:rFonts w:hint="default" w:ascii="Times New Roman" w:hAnsi="Times New Roman" w:eastAsia="Times New Roman" w:cs="Times New Roman"/>
                <w:b/>
                <w:bCs/>
                <w:spacing w:val="-3"/>
                <w:sz w:val="18"/>
                <w:szCs w:val="18"/>
              </w:rPr>
              <w:t>/</w:t>
            </w:r>
            <w:r>
              <w:rPr>
                <w:rFonts w:hint="default" w:ascii="Times New Roman" w:hAnsi="Times New Roman" w:cs="Times New Roman"/>
                <w:spacing w:val="-3"/>
                <w:sz w:val="18"/>
                <w:szCs w:val="18"/>
              </w:rPr>
              <w:t>公</w:t>
            </w:r>
            <w:r>
              <w:rPr>
                <w:rFonts w:hint="default" w:ascii="Times New Roman" w:hAnsi="Times New Roman" w:cs="Times New Roman"/>
                <w:spacing w:val="-8"/>
                <w:sz w:val="18"/>
                <w:szCs w:val="18"/>
              </w:rPr>
              <w:t>顷</w:t>
            </w:r>
            <w:r>
              <w:rPr>
                <w:rFonts w:hint="default" w:ascii="Times New Roman" w:hAnsi="Times New Roman" w:cs="Times New Roman"/>
                <w:spacing w:val="-8"/>
                <w:sz w:val="18"/>
                <w:szCs w:val="18"/>
                <w:lang w:eastAsia="zh-CN"/>
              </w:rPr>
              <w:t>)</w:t>
            </w:r>
          </w:p>
        </w:tc>
        <w:tc>
          <w:tcPr>
            <w:tcW w:w="2944" w:type="pct"/>
            <w:vAlign w:val="center"/>
          </w:tcPr>
          <w:p w14:paraId="4BD1BCA1">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pacing w:val="-1"/>
                <w:sz w:val="18"/>
                <w:szCs w:val="18"/>
              </w:rPr>
              <w:t>主要经营措施</w:t>
            </w:r>
          </w:p>
        </w:tc>
      </w:tr>
      <w:tr w14:paraId="60AB19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jc w:val="center"/>
        </w:trPr>
        <w:tc>
          <w:tcPr>
            <w:tcW w:w="377" w:type="pct"/>
            <w:vMerge w:val="restart"/>
            <w:tcBorders>
              <w:right w:val="single" w:color="auto" w:sz="4" w:space="0"/>
            </w:tcBorders>
            <w:vAlign w:val="center"/>
          </w:tcPr>
          <w:p w14:paraId="18D4CDEA">
            <w:pPr>
              <w:spacing w:line="240" w:lineRule="auto"/>
              <w:ind w:firstLine="0" w:firstLineChars="0"/>
              <w:jc w:val="center"/>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1</w:t>
            </w:r>
          </w:p>
        </w:tc>
        <w:tc>
          <w:tcPr>
            <w:tcW w:w="269" w:type="pct"/>
            <w:vMerge w:val="restart"/>
            <w:tcBorders>
              <w:top w:val="single" w:color="auto" w:sz="4" w:space="0"/>
              <w:left w:val="single" w:color="auto" w:sz="4" w:space="0"/>
              <w:bottom w:val="single" w:color="auto" w:sz="4" w:space="0"/>
              <w:right w:val="single" w:color="auto" w:sz="4" w:space="0"/>
            </w:tcBorders>
            <w:vAlign w:val="center"/>
          </w:tcPr>
          <w:p w14:paraId="36EC41D5">
            <w:pPr>
              <w:spacing w:line="240" w:lineRule="auto"/>
              <w:ind w:firstLine="0" w:firstLineChars="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eastAsia="zh-CN"/>
              </w:rPr>
              <w:t>杉木</w:t>
            </w:r>
            <w:r>
              <w:rPr>
                <w:rFonts w:hint="eastAsia" w:cs="Times New Roman"/>
                <w:sz w:val="18"/>
                <w:szCs w:val="18"/>
                <w:lang w:val="en-US" w:eastAsia="zh-CN"/>
              </w:rPr>
              <w:t>防护林重点保护型</w:t>
            </w:r>
          </w:p>
        </w:tc>
        <w:tc>
          <w:tcPr>
            <w:tcW w:w="596" w:type="pct"/>
            <w:tcBorders>
              <w:top w:val="single" w:color="auto" w:sz="4" w:space="0"/>
              <w:left w:val="single" w:color="auto" w:sz="4" w:space="0"/>
              <w:bottom w:val="single" w:color="auto" w:sz="4" w:space="0"/>
              <w:right w:val="single" w:color="auto" w:sz="4" w:space="0"/>
            </w:tcBorders>
            <w:vAlign w:val="center"/>
          </w:tcPr>
          <w:p w14:paraId="20A64838">
            <w:pPr>
              <w:spacing w:line="240" w:lineRule="auto"/>
              <w:ind w:firstLine="0" w:firstLineChars="0"/>
              <w:jc w:val="center"/>
              <w:rPr>
                <w:rFonts w:hint="default" w:ascii="Times New Roman" w:hAnsi="Times New Roman" w:cs="Times New Roman"/>
                <w:sz w:val="18"/>
                <w:szCs w:val="18"/>
                <w:lang w:eastAsia="zh-CN"/>
              </w:rPr>
            </w:pPr>
            <w:r>
              <w:rPr>
                <w:rFonts w:hint="default" w:ascii="Times New Roman" w:hAnsi="Times New Roman" w:cs="Times New Roman"/>
                <w:spacing w:val="-1"/>
                <w:sz w:val="18"/>
                <w:szCs w:val="18"/>
              </w:rPr>
              <w:t>郁闭后树高生长阶</w:t>
            </w:r>
            <w:r>
              <w:rPr>
                <w:rFonts w:hint="default" w:ascii="Times New Roman" w:hAnsi="Times New Roman" w:cs="Times New Roman"/>
                <w:sz w:val="18"/>
                <w:szCs w:val="18"/>
              </w:rPr>
              <w:t>段</w:t>
            </w:r>
          </w:p>
        </w:tc>
        <w:tc>
          <w:tcPr>
            <w:tcW w:w="208" w:type="pct"/>
            <w:tcBorders>
              <w:top w:val="single" w:color="auto" w:sz="4" w:space="0"/>
              <w:left w:val="single" w:color="auto" w:sz="4" w:space="0"/>
              <w:bottom w:val="single" w:color="auto" w:sz="4" w:space="0"/>
              <w:right w:val="single" w:color="auto" w:sz="4" w:space="0"/>
            </w:tcBorders>
            <w:vAlign w:val="center"/>
          </w:tcPr>
          <w:p w14:paraId="262D5CE5">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eastAsia="Times New Roman" w:cs="Times New Roman"/>
                <w:spacing w:val="-4"/>
                <w:sz w:val="18"/>
                <w:szCs w:val="18"/>
              </w:rPr>
              <w:t>11-20</w:t>
            </w:r>
            <w:r>
              <w:rPr>
                <w:rFonts w:hint="default" w:ascii="Times New Roman" w:hAnsi="Times New Roman" w:cs="Times New Roman"/>
                <w:spacing w:val="-4"/>
                <w:sz w:val="18"/>
                <w:szCs w:val="18"/>
              </w:rPr>
              <w:t>年</w:t>
            </w:r>
          </w:p>
        </w:tc>
        <w:tc>
          <w:tcPr>
            <w:tcW w:w="605" w:type="pct"/>
            <w:tcBorders>
              <w:left w:val="single" w:color="auto" w:sz="4" w:space="0"/>
            </w:tcBorders>
            <w:vAlign w:val="center"/>
          </w:tcPr>
          <w:p w14:paraId="35517AC9">
            <w:pPr>
              <w:spacing w:line="240" w:lineRule="auto"/>
              <w:ind w:firstLine="0" w:firstLineChars="0"/>
              <w:jc w:val="center"/>
              <w:rPr>
                <w:rFonts w:hint="default" w:ascii="Times New Roman" w:hAnsi="Times New Roman" w:eastAsia="Times New Roman" w:cs="Times New Roman"/>
                <w:sz w:val="18"/>
                <w:szCs w:val="18"/>
              </w:rPr>
            </w:pPr>
            <w:r>
              <w:rPr>
                <w:rFonts w:hint="default" w:ascii="Times New Roman" w:hAnsi="Times New Roman" w:eastAsia="Times New Roman" w:cs="Times New Roman"/>
                <w:spacing w:val="-4"/>
                <w:sz w:val="18"/>
                <w:szCs w:val="18"/>
              </w:rPr>
              <w:t>900-1400</w:t>
            </w:r>
          </w:p>
        </w:tc>
        <w:tc>
          <w:tcPr>
            <w:tcW w:w="2944" w:type="pct"/>
            <w:vAlign w:val="center"/>
          </w:tcPr>
          <w:p w14:paraId="11E03056">
            <w:pPr>
              <w:spacing w:line="240" w:lineRule="auto"/>
              <w:ind w:firstLine="0" w:firstLineChars="0"/>
              <w:rPr>
                <w:rFonts w:hint="default" w:ascii="Times New Roman" w:hAnsi="Times New Roman" w:cs="Times New Roman"/>
                <w:sz w:val="18"/>
                <w:szCs w:val="18"/>
                <w:lang w:eastAsia="zh-CN"/>
              </w:rPr>
            </w:pPr>
            <w:r>
              <w:rPr>
                <w:rFonts w:hint="default" w:ascii="Times New Roman" w:hAnsi="Times New Roman" w:cs="Times New Roman"/>
                <w:spacing w:val="-4"/>
                <w:sz w:val="18"/>
                <w:szCs w:val="18"/>
                <w:lang w:eastAsia="zh-CN"/>
              </w:rPr>
              <w:t>在幼林充分郁闭后进行</w:t>
            </w:r>
            <w:r>
              <w:rPr>
                <w:rFonts w:hint="default" w:ascii="Times New Roman" w:hAnsi="Times New Roman" w:eastAsia="Times New Roman" w:cs="Times New Roman"/>
                <w:spacing w:val="-4"/>
                <w:sz w:val="18"/>
                <w:szCs w:val="18"/>
                <w:lang w:eastAsia="zh-CN"/>
              </w:rPr>
              <w:t>1-2</w:t>
            </w:r>
            <w:r>
              <w:rPr>
                <w:rFonts w:hint="default" w:ascii="Times New Roman" w:hAnsi="Times New Roman" w:cs="Times New Roman"/>
                <w:spacing w:val="-4"/>
                <w:sz w:val="18"/>
                <w:szCs w:val="18"/>
                <w:lang w:eastAsia="zh-CN"/>
              </w:rPr>
              <w:t>次疏伐。选择标记和保护目标树，</w:t>
            </w:r>
            <w:r>
              <w:rPr>
                <w:rFonts w:hint="default" w:ascii="Times New Roman" w:hAnsi="Times New Roman" w:eastAsia="Times New Roman" w:cs="Times New Roman"/>
                <w:spacing w:val="-4"/>
                <w:sz w:val="18"/>
                <w:szCs w:val="18"/>
                <w:lang w:eastAsia="zh-CN"/>
              </w:rPr>
              <w:t>250-350</w:t>
            </w:r>
            <w:r>
              <w:rPr>
                <w:rFonts w:hint="default" w:ascii="Times New Roman" w:hAnsi="Times New Roman" w:cs="Times New Roman"/>
                <w:spacing w:val="-4"/>
                <w:sz w:val="18"/>
                <w:szCs w:val="18"/>
                <w:lang w:eastAsia="zh-CN"/>
              </w:rPr>
              <w:t>株</w:t>
            </w:r>
            <w:r>
              <w:rPr>
                <w:rFonts w:hint="default" w:ascii="Times New Roman" w:hAnsi="Times New Roman" w:eastAsia="Times New Roman" w:cs="Times New Roman"/>
                <w:spacing w:val="-4"/>
                <w:sz w:val="18"/>
                <w:szCs w:val="18"/>
                <w:lang w:eastAsia="zh-CN"/>
              </w:rPr>
              <w:t>/</w:t>
            </w:r>
            <w:r>
              <w:rPr>
                <w:rFonts w:hint="default" w:ascii="Times New Roman" w:hAnsi="Times New Roman" w:cs="Times New Roman"/>
                <w:lang w:eastAsia="zh-CN"/>
              </w:rPr>
              <w:t xml:space="preserve"> </w:t>
            </w:r>
            <w:r>
              <w:rPr>
                <w:rFonts w:hint="default" w:ascii="Times New Roman" w:hAnsi="Times New Roman" w:cs="Times New Roman"/>
                <w:spacing w:val="-4"/>
                <w:sz w:val="18"/>
                <w:szCs w:val="18"/>
                <w:lang w:eastAsia="zh-CN"/>
              </w:rPr>
              <w:t>hm</w:t>
            </w:r>
            <w:r>
              <w:rPr>
                <w:rFonts w:hint="default" w:ascii="Times New Roman" w:hAnsi="Times New Roman" w:cs="Times New Roman"/>
                <w:spacing w:val="-4"/>
                <w:sz w:val="18"/>
                <w:szCs w:val="18"/>
                <w:vertAlign w:val="superscript"/>
                <w:lang w:eastAsia="zh-CN"/>
              </w:rPr>
              <w:t>2</w:t>
            </w:r>
            <w:r>
              <w:rPr>
                <w:rFonts w:hint="default" w:ascii="Times New Roman" w:hAnsi="Times New Roman" w:cs="Times New Roman"/>
                <w:spacing w:val="-4"/>
                <w:sz w:val="18"/>
                <w:szCs w:val="18"/>
                <w:lang w:eastAsia="zh-CN"/>
              </w:rPr>
              <w:t>。在间伐后补植光皮桦</w:t>
            </w:r>
            <w:r>
              <w:rPr>
                <w:rFonts w:hint="default" w:ascii="Times New Roman" w:hAnsi="Times New Roman" w:cs="Times New Roman"/>
                <w:spacing w:val="-5"/>
                <w:sz w:val="18"/>
                <w:szCs w:val="18"/>
                <w:lang w:eastAsia="zh-CN"/>
              </w:rPr>
              <w:t>等阔叶树种，</w:t>
            </w:r>
            <w:r>
              <w:rPr>
                <w:rFonts w:hint="default" w:ascii="Times New Roman" w:hAnsi="Times New Roman" w:cs="Times New Roman"/>
                <w:spacing w:val="-2"/>
                <w:sz w:val="18"/>
                <w:szCs w:val="18"/>
                <w:lang w:eastAsia="zh-CN"/>
              </w:rPr>
              <w:t>密度约</w:t>
            </w:r>
            <w:r>
              <w:rPr>
                <w:rFonts w:hint="default" w:ascii="Times New Roman" w:hAnsi="Times New Roman" w:eastAsia="Times New Roman" w:cs="Times New Roman"/>
                <w:spacing w:val="-2"/>
                <w:sz w:val="18"/>
                <w:szCs w:val="18"/>
                <w:lang w:eastAsia="zh-CN"/>
              </w:rPr>
              <w:t>600-800</w:t>
            </w:r>
            <w:r>
              <w:rPr>
                <w:rFonts w:hint="default" w:ascii="Times New Roman" w:hAnsi="Times New Roman" w:cs="Times New Roman"/>
                <w:spacing w:val="-2"/>
                <w:sz w:val="18"/>
                <w:szCs w:val="18"/>
                <w:lang w:eastAsia="zh-CN"/>
              </w:rPr>
              <w:t>株</w:t>
            </w:r>
            <w:r>
              <w:rPr>
                <w:rFonts w:hint="default" w:ascii="Times New Roman" w:hAnsi="Times New Roman" w:eastAsia="Times New Roman" w:cs="Times New Roman"/>
                <w:spacing w:val="-2"/>
                <w:sz w:val="18"/>
                <w:szCs w:val="18"/>
                <w:lang w:eastAsia="zh-CN"/>
              </w:rPr>
              <w:t>/</w:t>
            </w:r>
            <w:r>
              <w:rPr>
                <w:rFonts w:hint="default" w:ascii="Times New Roman" w:hAnsi="Times New Roman" w:cs="Times New Roman"/>
                <w:spacing w:val="-4"/>
                <w:sz w:val="18"/>
                <w:szCs w:val="18"/>
                <w:lang w:eastAsia="zh-CN"/>
              </w:rPr>
              <w:t xml:space="preserve"> hm</w:t>
            </w:r>
            <w:r>
              <w:rPr>
                <w:rFonts w:hint="default" w:ascii="Times New Roman" w:hAnsi="Times New Roman" w:cs="Times New Roman"/>
                <w:spacing w:val="-4"/>
                <w:sz w:val="18"/>
                <w:szCs w:val="18"/>
                <w:vertAlign w:val="superscript"/>
                <w:lang w:eastAsia="zh-CN"/>
              </w:rPr>
              <w:t>2</w:t>
            </w:r>
            <w:r>
              <w:rPr>
                <w:rFonts w:hint="default" w:ascii="Times New Roman" w:hAnsi="Times New Roman" w:cs="Times New Roman"/>
                <w:spacing w:val="-2"/>
                <w:sz w:val="18"/>
                <w:szCs w:val="18"/>
                <w:lang w:eastAsia="zh-CN"/>
              </w:rPr>
              <w:t>。</w:t>
            </w:r>
          </w:p>
        </w:tc>
      </w:tr>
      <w:tr w14:paraId="6549B4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377" w:type="pct"/>
            <w:vMerge w:val="continue"/>
            <w:tcBorders>
              <w:right w:val="single" w:color="auto" w:sz="4" w:space="0"/>
            </w:tcBorders>
            <w:vAlign w:val="center"/>
          </w:tcPr>
          <w:p w14:paraId="1EF95251">
            <w:pPr>
              <w:spacing w:line="240" w:lineRule="auto"/>
              <w:ind w:firstLine="0" w:firstLineChars="0"/>
              <w:jc w:val="center"/>
              <w:rPr>
                <w:rFonts w:hint="default" w:ascii="Times New Roman" w:hAnsi="Times New Roman" w:cs="Times New Roman"/>
                <w:lang w:eastAsia="zh-CN"/>
              </w:rPr>
            </w:pPr>
          </w:p>
        </w:tc>
        <w:tc>
          <w:tcPr>
            <w:tcW w:w="269" w:type="pct"/>
            <w:vMerge w:val="continue"/>
            <w:tcBorders>
              <w:top w:val="single" w:color="auto" w:sz="4" w:space="0"/>
              <w:left w:val="single" w:color="auto" w:sz="4" w:space="0"/>
              <w:bottom w:val="single" w:color="auto" w:sz="4" w:space="0"/>
              <w:right w:val="single" w:color="auto" w:sz="4" w:space="0"/>
            </w:tcBorders>
            <w:vAlign w:val="center"/>
          </w:tcPr>
          <w:p w14:paraId="5DD7AA1E">
            <w:pPr>
              <w:spacing w:line="240" w:lineRule="auto"/>
              <w:ind w:firstLine="0" w:firstLineChars="0"/>
              <w:jc w:val="center"/>
              <w:rPr>
                <w:rFonts w:hint="default" w:ascii="Times New Roman" w:hAnsi="Times New Roman" w:cs="Times New Roman"/>
                <w:lang w:eastAsia="zh-CN"/>
              </w:rPr>
            </w:pPr>
          </w:p>
        </w:tc>
        <w:tc>
          <w:tcPr>
            <w:tcW w:w="596" w:type="pct"/>
            <w:tcBorders>
              <w:top w:val="single" w:color="auto" w:sz="4" w:space="0"/>
              <w:left w:val="single" w:color="auto" w:sz="4" w:space="0"/>
              <w:bottom w:val="single" w:color="auto" w:sz="4" w:space="0"/>
              <w:right w:val="single" w:color="auto" w:sz="4" w:space="0"/>
            </w:tcBorders>
            <w:vAlign w:val="center"/>
          </w:tcPr>
          <w:p w14:paraId="35A61FAF">
            <w:pPr>
              <w:spacing w:line="240" w:lineRule="auto"/>
              <w:ind w:firstLine="0" w:firstLineChars="0"/>
              <w:jc w:val="center"/>
              <w:rPr>
                <w:rFonts w:hint="default" w:ascii="Times New Roman" w:hAnsi="Times New Roman" w:cs="Times New Roman"/>
                <w:sz w:val="18"/>
                <w:szCs w:val="18"/>
                <w:lang w:eastAsia="zh-CN"/>
              </w:rPr>
            </w:pPr>
            <w:r>
              <w:rPr>
                <w:rFonts w:hint="default" w:ascii="Times New Roman" w:hAnsi="Times New Roman" w:cs="Times New Roman"/>
                <w:spacing w:val="-1"/>
                <w:sz w:val="18"/>
                <w:szCs w:val="18"/>
                <w:lang w:eastAsia="zh-CN"/>
              </w:rPr>
              <w:t>树高生长和质量形</w:t>
            </w:r>
            <w:r>
              <w:rPr>
                <w:rFonts w:hint="default" w:ascii="Times New Roman" w:hAnsi="Times New Roman" w:cs="Times New Roman"/>
                <w:spacing w:val="-2"/>
                <w:sz w:val="18"/>
                <w:szCs w:val="18"/>
                <w:lang w:eastAsia="zh-CN"/>
              </w:rPr>
              <w:t>成阶段</w:t>
            </w:r>
          </w:p>
        </w:tc>
        <w:tc>
          <w:tcPr>
            <w:tcW w:w="208" w:type="pct"/>
            <w:tcBorders>
              <w:top w:val="single" w:color="auto" w:sz="4" w:space="0"/>
              <w:left w:val="single" w:color="auto" w:sz="4" w:space="0"/>
              <w:bottom w:val="single" w:color="auto" w:sz="4" w:space="0"/>
              <w:right w:val="single" w:color="auto" w:sz="4" w:space="0"/>
            </w:tcBorders>
            <w:vAlign w:val="center"/>
          </w:tcPr>
          <w:p w14:paraId="411A4DCC">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eastAsia="Times New Roman" w:cs="Times New Roman"/>
                <w:spacing w:val="-1"/>
                <w:sz w:val="18"/>
                <w:szCs w:val="18"/>
              </w:rPr>
              <w:t>21-30</w:t>
            </w:r>
            <w:r>
              <w:rPr>
                <w:rFonts w:hint="default" w:ascii="Times New Roman" w:hAnsi="Times New Roman" w:cs="Times New Roman"/>
                <w:spacing w:val="-1"/>
                <w:sz w:val="18"/>
                <w:szCs w:val="18"/>
              </w:rPr>
              <w:t>年</w:t>
            </w:r>
          </w:p>
        </w:tc>
        <w:tc>
          <w:tcPr>
            <w:tcW w:w="605" w:type="pct"/>
            <w:tcBorders>
              <w:left w:val="single" w:color="auto" w:sz="4" w:space="0"/>
            </w:tcBorders>
            <w:vAlign w:val="center"/>
          </w:tcPr>
          <w:p w14:paraId="2927610E">
            <w:pPr>
              <w:spacing w:line="240" w:lineRule="auto"/>
              <w:ind w:firstLine="0" w:firstLineChars="0"/>
              <w:jc w:val="center"/>
              <w:rPr>
                <w:rFonts w:hint="default" w:ascii="Times New Roman" w:hAnsi="Times New Roman" w:eastAsia="Times New Roman" w:cs="Times New Roman"/>
                <w:sz w:val="18"/>
                <w:szCs w:val="18"/>
              </w:rPr>
            </w:pPr>
            <w:r>
              <w:rPr>
                <w:rFonts w:hint="default" w:ascii="Times New Roman" w:hAnsi="Times New Roman" w:eastAsia="Times New Roman" w:cs="Times New Roman"/>
                <w:spacing w:val="-1"/>
                <w:sz w:val="18"/>
                <w:szCs w:val="18"/>
              </w:rPr>
              <w:t>600-900</w:t>
            </w:r>
          </w:p>
        </w:tc>
        <w:tc>
          <w:tcPr>
            <w:tcW w:w="2944" w:type="pct"/>
            <w:vAlign w:val="center"/>
          </w:tcPr>
          <w:p w14:paraId="66C316AC">
            <w:pPr>
              <w:spacing w:line="240" w:lineRule="auto"/>
              <w:ind w:firstLine="0" w:firstLineChars="0"/>
              <w:rPr>
                <w:rFonts w:hint="default" w:ascii="Times New Roman" w:hAnsi="Times New Roman" w:cs="Times New Roman"/>
                <w:sz w:val="18"/>
                <w:szCs w:val="18"/>
                <w:lang w:eastAsia="zh-CN"/>
              </w:rPr>
            </w:pPr>
            <w:r>
              <w:rPr>
                <w:rFonts w:hint="default" w:ascii="Times New Roman" w:hAnsi="Times New Roman" w:cs="Times New Roman"/>
                <w:spacing w:val="-1"/>
                <w:position w:val="1"/>
                <w:sz w:val="18"/>
                <w:szCs w:val="18"/>
                <w:lang w:eastAsia="zh-CN"/>
              </w:rPr>
              <w:t>本阶段可开展</w:t>
            </w:r>
            <w:r>
              <w:rPr>
                <w:rFonts w:hint="default" w:ascii="Times New Roman" w:hAnsi="Times New Roman" w:eastAsia="Times New Roman" w:cs="Times New Roman"/>
                <w:spacing w:val="-1"/>
                <w:position w:val="1"/>
                <w:sz w:val="18"/>
                <w:szCs w:val="18"/>
                <w:lang w:eastAsia="zh-CN"/>
              </w:rPr>
              <w:t>1-2</w:t>
            </w:r>
            <w:r>
              <w:rPr>
                <w:rFonts w:hint="default" w:ascii="Times New Roman" w:hAnsi="Times New Roman" w:cs="Times New Roman"/>
                <w:spacing w:val="-1"/>
                <w:position w:val="1"/>
                <w:sz w:val="18"/>
                <w:szCs w:val="18"/>
                <w:lang w:eastAsia="zh-CN"/>
              </w:rPr>
              <w:t>次疏伐，以促进目标树的树高生长及优良干型的形成。控制目标树密度</w:t>
            </w:r>
            <w:r>
              <w:rPr>
                <w:rFonts w:hint="default" w:ascii="Times New Roman" w:hAnsi="Times New Roman" w:eastAsia="Times New Roman" w:cs="Times New Roman"/>
                <w:spacing w:val="-1"/>
                <w:position w:val="1"/>
                <w:sz w:val="18"/>
                <w:szCs w:val="18"/>
                <w:lang w:eastAsia="zh-CN"/>
              </w:rPr>
              <w:t>200-2</w:t>
            </w:r>
            <w:r>
              <w:rPr>
                <w:rFonts w:hint="default" w:ascii="Times New Roman" w:hAnsi="Times New Roman" w:eastAsia="Times New Roman" w:cs="Times New Roman"/>
                <w:spacing w:val="-2"/>
                <w:position w:val="1"/>
                <w:sz w:val="18"/>
                <w:szCs w:val="18"/>
                <w:lang w:eastAsia="zh-CN"/>
              </w:rPr>
              <w:t>50</w:t>
            </w:r>
            <w:r>
              <w:rPr>
                <w:rFonts w:hint="default" w:ascii="Times New Roman" w:hAnsi="Times New Roman" w:cs="Times New Roman"/>
                <w:spacing w:val="-2"/>
                <w:position w:val="1"/>
                <w:sz w:val="18"/>
                <w:szCs w:val="18"/>
                <w:lang w:eastAsia="zh-CN"/>
              </w:rPr>
              <w:t>株</w:t>
            </w:r>
            <w:r>
              <w:rPr>
                <w:rFonts w:hint="default" w:ascii="Times New Roman" w:hAnsi="Times New Roman" w:eastAsia="Times New Roman" w:cs="Times New Roman"/>
                <w:spacing w:val="-2"/>
                <w:position w:val="1"/>
                <w:sz w:val="18"/>
                <w:szCs w:val="18"/>
                <w:lang w:eastAsia="zh-CN"/>
              </w:rPr>
              <w:t>/</w:t>
            </w:r>
            <w:r>
              <w:rPr>
                <w:rFonts w:hint="default" w:ascii="Times New Roman" w:hAnsi="Times New Roman" w:cs="Times New Roman"/>
                <w:spacing w:val="-4"/>
                <w:sz w:val="18"/>
                <w:szCs w:val="18"/>
                <w:lang w:eastAsia="zh-CN"/>
              </w:rPr>
              <w:t xml:space="preserve"> hm</w:t>
            </w:r>
            <w:r>
              <w:rPr>
                <w:rFonts w:hint="default" w:ascii="Times New Roman" w:hAnsi="Times New Roman" w:cs="Times New Roman"/>
                <w:spacing w:val="-4"/>
                <w:sz w:val="18"/>
                <w:szCs w:val="18"/>
                <w:vertAlign w:val="superscript"/>
                <w:lang w:eastAsia="zh-CN"/>
              </w:rPr>
              <w:t>2</w:t>
            </w:r>
            <w:r>
              <w:rPr>
                <w:rFonts w:hint="default" w:ascii="Times New Roman" w:hAnsi="Times New Roman" w:cs="Times New Roman"/>
                <w:spacing w:val="-2"/>
                <w:position w:val="1"/>
                <w:sz w:val="18"/>
                <w:szCs w:val="18"/>
                <w:lang w:eastAsia="zh-CN"/>
              </w:rPr>
              <w:t>。</w:t>
            </w:r>
          </w:p>
        </w:tc>
      </w:tr>
      <w:tr w14:paraId="0B7E45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jc w:val="center"/>
        </w:trPr>
        <w:tc>
          <w:tcPr>
            <w:tcW w:w="377" w:type="pct"/>
            <w:vMerge w:val="continue"/>
            <w:tcBorders>
              <w:right w:val="single" w:color="auto" w:sz="4" w:space="0"/>
            </w:tcBorders>
            <w:vAlign w:val="center"/>
          </w:tcPr>
          <w:p w14:paraId="5798C1CD">
            <w:pPr>
              <w:spacing w:line="240" w:lineRule="auto"/>
              <w:ind w:firstLine="0" w:firstLineChars="0"/>
              <w:jc w:val="center"/>
              <w:rPr>
                <w:rFonts w:hint="default" w:ascii="Times New Roman" w:hAnsi="Times New Roman" w:cs="Times New Roman"/>
                <w:lang w:eastAsia="zh-CN"/>
              </w:rPr>
            </w:pPr>
          </w:p>
        </w:tc>
        <w:tc>
          <w:tcPr>
            <w:tcW w:w="269" w:type="pct"/>
            <w:vMerge w:val="continue"/>
            <w:tcBorders>
              <w:top w:val="single" w:color="auto" w:sz="4" w:space="0"/>
              <w:left w:val="single" w:color="auto" w:sz="4" w:space="0"/>
              <w:bottom w:val="single" w:color="auto" w:sz="4" w:space="0"/>
              <w:right w:val="single" w:color="auto" w:sz="4" w:space="0"/>
            </w:tcBorders>
            <w:vAlign w:val="center"/>
          </w:tcPr>
          <w:p w14:paraId="1A4FBEE6">
            <w:pPr>
              <w:spacing w:line="240" w:lineRule="auto"/>
              <w:ind w:firstLine="0" w:firstLineChars="0"/>
              <w:jc w:val="center"/>
              <w:rPr>
                <w:rFonts w:hint="default" w:ascii="Times New Roman" w:hAnsi="Times New Roman" w:cs="Times New Roman"/>
                <w:lang w:eastAsia="zh-CN"/>
              </w:rPr>
            </w:pPr>
          </w:p>
        </w:tc>
        <w:tc>
          <w:tcPr>
            <w:tcW w:w="596" w:type="pct"/>
            <w:tcBorders>
              <w:top w:val="single" w:color="auto" w:sz="4" w:space="0"/>
              <w:left w:val="single" w:color="auto" w:sz="4" w:space="0"/>
            </w:tcBorders>
            <w:vAlign w:val="center"/>
          </w:tcPr>
          <w:p w14:paraId="005B46D7">
            <w:pPr>
              <w:spacing w:line="240" w:lineRule="auto"/>
              <w:ind w:firstLine="0" w:firstLineChars="0"/>
              <w:jc w:val="center"/>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林分质量选择与蓄积生长阶段</w:t>
            </w:r>
          </w:p>
        </w:tc>
        <w:tc>
          <w:tcPr>
            <w:tcW w:w="208" w:type="pct"/>
            <w:tcBorders>
              <w:top w:val="single" w:color="auto" w:sz="4" w:space="0"/>
            </w:tcBorders>
            <w:vAlign w:val="center"/>
          </w:tcPr>
          <w:p w14:paraId="48B94BF2">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eastAsia="Times New Roman" w:cs="Times New Roman"/>
                <w:sz w:val="18"/>
                <w:szCs w:val="18"/>
              </w:rPr>
              <w:t>31-40</w:t>
            </w:r>
            <w:r>
              <w:rPr>
                <w:rFonts w:hint="default" w:ascii="Times New Roman" w:hAnsi="Times New Roman" w:cs="Times New Roman"/>
                <w:sz w:val="18"/>
                <w:szCs w:val="18"/>
              </w:rPr>
              <w:t>年</w:t>
            </w:r>
          </w:p>
        </w:tc>
        <w:tc>
          <w:tcPr>
            <w:tcW w:w="605" w:type="pct"/>
            <w:vAlign w:val="center"/>
          </w:tcPr>
          <w:p w14:paraId="07A35258">
            <w:pPr>
              <w:spacing w:line="240" w:lineRule="auto"/>
              <w:ind w:firstLine="0" w:firstLineChars="0"/>
              <w:jc w:val="center"/>
              <w:rPr>
                <w:rFonts w:hint="default" w:ascii="Times New Roman" w:hAnsi="Times New Roman" w:eastAsia="Times New Roman" w:cs="Times New Roman"/>
                <w:sz w:val="18"/>
                <w:szCs w:val="18"/>
              </w:rPr>
            </w:pPr>
            <w:r>
              <w:rPr>
                <w:rFonts w:hint="default" w:ascii="Times New Roman" w:hAnsi="Times New Roman" w:eastAsia="Times New Roman" w:cs="Times New Roman"/>
                <w:sz w:val="18"/>
                <w:szCs w:val="18"/>
              </w:rPr>
              <w:t>400-600</w:t>
            </w:r>
          </w:p>
        </w:tc>
        <w:tc>
          <w:tcPr>
            <w:tcW w:w="2944" w:type="pct"/>
            <w:vAlign w:val="center"/>
          </w:tcPr>
          <w:p w14:paraId="1F9AAA26">
            <w:pPr>
              <w:spacing w:line="240" w:lineRule="auto"/>
              <w:ind w:firstLine="0" w:firstLineChars="0"/>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本阶段实施</w:t>
            </w:r>
            <w:r>
              <w:rPr>
                <w:rFonts w:hint="default" w:ascii="Times New Roman" w:hAnsi="Times New Roman" w:eastAsia="Times New Roman" w:cs="Times New Roman"/>
                <w:sz w:val="18"/>
                <w:szCs w:val="18"/>
                <w:lang w:eastAsia="zh-CN"/>
              </w:rPr>
              <w:t>2</w:t>
            </w:r>
            <w:r>
              <w:rPr>
                <w:rFonts w:hint="default" w:ascii="Times New Roman" w:hAnsi="Times New Roman" w:cs="Times New Roman"/>
                <w:sz w:val="18"/>
                <w:szCs w:val="18"/>
                <w:lang w:eastAsia="zh-CN"/>
              </w:rPr>
              <w:t>次生长伐，控制目标树密度</w:t>
            </w:r>
            <w:r>
              <w:rPr>
                <w:rFonts w:hint="default" w:ascii="Times New Roman" w:hAnsi="Times New Roman" w:eastAsia="Times New Roman" w:cs="Times New Roman"/>
                <w:sz w:val="18"/>
                <w:szCs w:val="18"/>
                <w:lang w:eastAsia="zh-CN"/>
              </w:rPr>
              <w:t>180-220</w:t>
            </w:r>
            <w:r>
              <w:rPr>
                <w:rFonts w:hint="default" w:ascii="Times New Roman" w:hAnsi="Times New Roman" w:cs="Times New Roman"/>
                <w:sz w:val="18"/>
                <w:szCs w:val="18"/>
                <w:lang w:eastAsia="zh-CN"/>
              </w:rPr>
              <w:t>株</w:t>
            </w:r>
            <w:r>
              <w:rPr>
                <w:rFonts w:hint="default" w:ascii="Times New Roman" w:hAnsi="Times New Roman" w:eastAsia="Times New Roman" w:cs="Times New Roman"/>
                <w:sz w:val="18"/>
                <w:szCs w:val="18"/>
                <w:lang w:eastAsia="zh-CN"/>
              </w:rPr>
              <w:t>/</w:t>
            </w:r>
            <w:r>
              <w:rPr>
                <w:rFonts w:hint="default" w:ascii="Times New Roman" w:hAnsi="Times New Roman" w:cs="Times New Roman"/>
                <w:spacing w:val="-4"/>
                <w:sz w:val="18"/>
                <w:szCs w:val="18"/>
                <w:lang w:eastAsia="zh-CN"/>
              </w:rPr>
              <w:t xml:space="preserve"> hm</w:t>
            </w:r>
            <w:r>
              <w:rPr>
                <w:rFonts w:hint="default" w:ascii="Times New Roman" w:hAnsi="Times New Roman" w:cs="Times New Roman"/>
                <w:spacing w:val="-4"/>
                <w:sz w:val="18"/>
                <w:szCs w:val="18"/>
                <w:vertAlign w:val="superscript"/>
                <w:lang w:eastAsia="zh-CN"/>
              </w:rPr>
              <w:t>2</w:t>
            </w:r>
            <w:r>
              <w:rPr>
                <w:rFonts w:hint="default" w:ascii="Times New Roman" w:hAnsi="Times New Roman" w:cs="Times New Roman"/>
                <w:sz w:val="18"/>
                <w:szCs w:val="18"/>
                <w:lang w:eastAsia="zh-CN"/>
              </w:rPr>
              <w:t>，调整林分结构，降低林木间竞争，促进目标树和其他保留木的蓄积生长。间伐后在林冠下补植光皮桦等，约</w:t>
            </w:r>
            <w:r>
              <w:rPr>
                <w:rFonts w:hint="default" w:ascii="Times New Roman" w:hAnsi="Times New Roman" w:eastAsia="Times New Roman" w:cs="Times New Roman"/>
                <w:sz w:val="18"/>
                <w:szCs w:val="18"/>
                <w:lang w:eastAsia="zh-CN"/>
              </w:rPr>
              <w:t>600</w:t>
            </w:r>
            <w:r>
              <w:rPr>
                <w:rFonts w:hint="default" w:ascii="Times New Roman" w:hAnsi="Times New Roman" w:cs="Times New Roman"/>
                <w:sz w:val="18"/>
                <w:szCs w:val="18"/>
                <w:lang w:eastAsia="zh-CN"/>
              </w:rPr>
              <w:t>株</w:t>
            </w:r>
            <w:r>
              <w:rPr>
                <w:rFonts w:hint="default" w:ascii="Times New Roman" w:hAnsi="Times New Roman" w:eastAsia="Times New Roman" w:cs="Times New Roman"/>
                <w:sz w:val="18"/>
                <w:szCs w:val="18"/>
                <w:lang w:eastAsia="zh-CN"/>
              </w:rPr>
              <w:t>/</w:t>
            </w:r>
            <w:r>
              <w:rPr>
                <w:rFonts w:hint="default" w:ascii="Times New Roman" w:hAnsi="Times New Roman" w:cs="Times New Roman"/>
                <w:spacing w:val="-4"/>
                <w:sz w:val="18"/>
                <w:szCs w:val="18"/>
                <w:lang w:eastAsia="zh-CN"/>
              </w:rPr>
              <w:t xml:space="preserve"> hm</w:t>
            </w:r>
            <w:r>
              <w:rPr>
                <w:rFonts w:hint="default" w:ascii="Times New Roman" w:hAnsi="Times New Roman" w:cs="Times New Roman"/>
                <w:spacing w:val="-4"/>
                <w:sz w:val="18"/>
                <w:szCs w:val="18"/>
                <w:vertAlign w:val="superscript"/>
                <w:lang w:eastAsia="zh-CN"/>
              </w:rPr>
              <w:t>2</w:t>
            </w:r>
            <w:r>
              <w:rPr>
                <w:rFonts w:hint="default" w:ascii="Times New Roman" w:hAnsi="Times New Roman" w:cs="Times New Roman"/>
                <w:sz w:val="18"/>
                <w:szCs w:val="18"/>
                <w:lang w:eastAsia="zh-CN"/>
              </w:rPr>
              <w:t>，对冠下更新的幼树幼苗及时进行抚育。</w:t>
            </w:r>
          </w:p>
        </w:tc>
      </w:tr>
      <w:tr w14:paraId="3B548A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jc w:val="center"/>
        </w:trPr>
        <w:tc>
          <w:tcPr>
            <w:tcW w:w="377" w:type="pct"/>
            <w:vMerge w:val="continue"/>
            <w:tcBorders>
              <w:right w:val="single" w:color="auto" w:sz="4" w:space="0"/>
            </w:tcBorders>
            <w:vAlign w:val="center"/>
          </w:tcPr>
          <w:p w14:paraId="0647B232">
            <w:pPr>
              <w:spacing w:line="240" w:lineRule="auto"/>
              <w:ind w:firstLine="0" w:firstLineChars="0"/>
              <w:jc w:val="center"/>
              <w:rPr>
                <w:rFonts w:hint="default" w:ascii="Times New Roman" w:hAnsi="Times New Roman" w:cs="Times New Roman"/>
                <w:lang w:eastAsia="zh-CN"/>
              </w:rPr>
            </w:pPr>
          </w:p>
        </w:tc>
        <w:tc>
          <w:tcPr>
            <w:tcW w:w="269" w:type="pct"/>
            <w:vMerge w:val="continue"/>
            <w:tcBorders>
              <w:top w:val="single" w:color="auto" w:sz="4" w:space="0"/>
              <w:left w:val="single" w:color="auto" w:sz="4" w:space="0"/>
              <w:bottom w:val="single" w:color="auto" w:sz="4" w:space="0"/>
              <w:right w:val="single" w:color="auto" w:sz="4" w:space="0"/>
            </w:tcBorders>
            <w:vAlign w:val="center"/>
          </w:tcPr>
          <w:p w14:paraId="078BE5E9">
            <w:pPr>
              <w:spacing w:line="240" w:lineRule="auto"/>
              <w:ind w:firstLine="0" w:firstLineChars="0"/>
              <w:jc w:val="center"/>
              <w:rPr>
                <w:rFonts w:hint="default" w:ascii="Times New Roman" w:hAnsi="Times New Roman" w:cs="Times New Roman"/>
                <w:lang w:eastAsia="zh-CN"/>
              </w:rPr>
            </w:pPr>
          </w:p>
        </w:tc>
        <w:tc>
          <w:tcPr>
            <w:tcW w:w="596" w:type="pct"/>
            <w:tcBorders>
              <w:left w:val="single" w:color="auto" w:sz="4" w:space="0"/>
            </w:tcBorders>
            <w:vAlign w:val="center"/>
          </w:tcPr>
          <w:p w14:paraId="1CFFC289">
            <w:pPr>
              <w:spacing w:line="240" w:lineRule="auto"/>
              <w:ind w:firstLine="0" w:firstLineChars="0"/>
              <w:jc w:val="center"/>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目标树生长和林分蓄积生长阶段</w:t>
            </w:r>
          </w:p>
        </w:tc>
        <w:tc>
          <w:tcPr>
            <w:tcW w:w="208" w:type="pct"/>
            <w:vAlign w:val="center"/>
          </w:tcPr>
          <w:p w14:paraId="1AD6BFAA">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eastAsia="Times New Roman" w:cs="Times New Roman"/>
                <w:sz w:val="18"/>
                <w:szCs w:val="18"/>
              </w:rPr>
              <w:t>41-50</w:t>
            </w:r>
            <w:r>
              <w:rPr>
                <w:rFonts w:hint="default" w:ascii="Times New Roman" w:hAnsi="Times New Roman" w:cs="Times New Roman"/>
                <w:sz w:val="18"/>
                <w:szCs w:val="18"/>
              </w:rPr>
              <w:t>年</w:t>
            </w:r>
          </w:p>
        </w:tc>
        <w:tc>
          <w:tcPr>
            <w:tcW w:w="605" w:type="pct"/>
            <w:vAlign w:val="center"/>
          </w:tcPr>
          <w:p w14:paraId="3B839195">
            <w:pPr>
              <w:spacing w:line="240" w:lineRule="auto"/>
              <w:ind w:firstLine="0" w:firstLineChars="0"/>
              <w:jc w:val="center"/>
              <w:rPr>
                <w:rFonts w:hint="default" w:ascii="Times New Roman" w:hAnsi="Times New Roman" w:eastAsia="Times New Roman" w:cs="Times New Roman"/>
                <w:sz w:val="18"/>
                <w:szCs w:val="18"/>
              </w:rPr>
            </w:pPr>
            <w:r>
              <w:rPr>
                <w:rFonts w:hint="default" w:ascii="Times New Roman" w:hAnsi="Times New Roman" w:eastAsia="Times New Roman" w:cs="Times New Roman"/>
                <w:sz w:val="18"/>
                <w:szCs w:val="18"/>
              </w:rPr>
              <w:t>250-350</w:t>
            </w:r>
          </w:p>
        </w:tc>
        <w:tc>
          <w:tcPr>
            <w:tcW w:w="2944" w:type="pct"/>
            <w:vAlign w:val="center"/>
          </w:tcPr>
          <w:p w14:paraId="4174DD24">
            <w:pPr>
              <w:spacing w:line="240" w:lineRule="auto"/>
              <w:ind w:firstLine="0" w:firstLineChars="0"/>
              <w:rPr>
                <w:rFonts w:hint="default" w:ascii="Times New Roman" w:hAnsi="Times New Roman" w:cs="Times New Roman"/>
                <w:sz w:val="18"/>
                <w:szCs w:val="18"/>
                <w:lang w:eastAsia="zh-CN"/>
              </w:rPr>
            </w:pPr>
            <w:r>
              <w:rPr>
                <w:rFonts w:hint="default" w:ascii="Times New Roman" w:hAnsi="Times New Roman" w:cs="Times New Roman"/>
                <w:position w:val="1"/>
                <w:sz w:val="18"/>
                <w:szCs w:val="18"/>
                <w:lang w:eastAsia="zh-CN"/>
              </w:rPr>
              <w:t>下层林木进入高生长期，对上层林木实施</w:t>
            </w:r>
            <w:r>
              <w:rPr>
                <w:rFonts w:hint="default" w:ascii="Times New Roman" w:hAnsi="Times New Roman" w:eastAsia="Times New Roman" w:cs="Times New Roman"/>
                <w:position w:val="1"/>
                <w:sz w:val="18"/>
                <w:szCs w:val="18"/>
                <w:lang w:eastAsia="zh-CN"/>
              </w:rPr>
              <w:t>2</w:t>
            </w:r>
            <w:r>
              <w:rPr>
                <w:rFonts w:hint="default" w:ascii="Times New Roman" w:hAnsi="Times New Roman" w:cs="Times New Roman"/>
                <w:position w:val="1"/>
                <w:sz w:val="18"/>
                <w:szCs w:val="18"/>
                <w:lang w:eastAsia="zh-CN"/>
              </w:rPr>
              <w:t>次生长伐，控制目标树密度</w:t>
            </w:r>
            <w:r>
              <w:rPr>
                <w:rFonts w:hint="default" w:ascii="Times New Roman" w:hAnsi="Times New Roman" w:eastAsia="Times New Roman" w:cs="Times New Roman"/>
                <w:position w:val="1"/>
                <w:sz w:val="18"/>
                <w:szCs w:val="18"/>
                <w:lang w:eastAsia="zh-CN"/>
              </w:rPr>
              <w:t>150-200</w:t>
            </w:r>
            <w:r>
              <w:rPr>
                <w:rFonts w:hint="default" w:ascii="Times New Roman" w:hAnsi="Times New Roman" w:cs="Times New Roman"/>
                <w:position w:val="1"/>
                <w:sz w:val="18"/>
                <w:szCs w:val="18"/>
                <w:lang w:eastAsia="zh-CN"/>
              </w:rPr>
              <w:t>株</w:t>
            </w:r>
            <w:r>
              <w:rPr>
                <w:rFonts w:hint="default" w:ascii="Times New Roman" w:hAnsi="Times New Roman" w:eastAsia="Times New Roman" w:cs="Times New Roman"/>
                <w:position w:val="1"/>
                <w:sz w:val="18"/>
                <w:szCs w:val="18"/>
                <w:lang w:eastAsia="zh-CN"/>
              </w:rPr>
              <w:t>/</w:t>
            </w:r>
            <w:r>
              <w:rPr>
                <w:rFonts w:hint="default" w:ascii="Times New Roman" w:hAnsi="Times New Roman" w:cs="Times New Roman"/>
                <w:spacing w:val="-4"/>
                <w:sz w:val="18"/>
                <w:szCs w:val="18"/>
                <w:lang w:eastAsia="zh-CN"/>
              </w:rPr>
              <w:t xml:space="preserve"> hm</w:t>
            </w:r>
            <w:r>
              <w:rPr>
                <w:rFonts w:hint="default" w:ascii="Times New Roman" w:hAnsi="Times New Roman" w:cs="Times New Roman"/>
                <w:spacing w:val="-4"/>
                <w:sz w:val="18"/>
                <w:szCs w:val="18"/>
                <w:vertAlign w:val="superscript"/>
                <w:lang w:eastAsia="zh-CN"/>
              </w:rPr>
              <w:t>2</w:t>
            </w:r>
            <w:r>
              <w:rPr>
                <w:rFonts w:hint="default" w:ascii="Times New Roman" w:hAnsi="Times New Roman" w:cs="Times New Roman"/>
                <w:position w:val="1"/>
                <w:sz w:val="18"/>
                <w:szCs w:val="18"/>
                <w:lang w:eastAsia="zh-CN"/>
              </w:rPr>
              <w:t>，使目标树具有自由树冠，</w:t>
            </w:r>
            <w:r>
              <w:rPr>
                <w:rFonts w:hint="default" w:ascii="Times New Roman" w:hAnsi="Times New Roman" w:cs="Times New Roman"/>
                <w:sz w:val="18"/>
                <w:szCs w:val="18"/>
                <w:lang w:eastAsia="zh-CN"/>
              </w:rPr>
              <w:t>调整林分结构，降低林木间竞争，促进其他保留木生长。对下层更新的林木进行割灌除草、除藤等精细的抚育间伐作业。</w:t>
            </w:r>
          </w:p>
        </w:tc>
      </w:tr>
      <w:tr w14:paraId="0A4E2C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jc w:val="center"/>
        </w:trPr>
        <w:tc>
          <w:tcPr>
            <w:tcW w:w="377" w:type="pct"/>
            <w:vMerge w:val="continue"/>
            <w:tcBorders>
              <w:right w:val="single" w:color="auto" w:sz="4" w:space="0"/>
            </w:tcBorders>
            <w:vAlign w:val="center"/>
          </w:tcPr>
          <w:p w14:paraId="353F906C">
            <w:pPr>
              <w:spacing w:line="240" w:lineRule="auto"/>
              <w:ind w:firstLine="0" w:firstLineChars="0"/>
              <w:jc w:val="center"/>
              <w:rPr>
                <w:rFonts w:hint="default" w:ascii="Times New Roman" w:hAnsi="Times New Roman" w:cs="Times New Roman"/>
                <w:lang w:eastAsia="zh-CN"/>
              </w:rPr>
            </w:pPr>
          </w:p>
        </w:tc>
        <w:tc>
          <w:tcPr>
            <w:tcW w:w="269" w:type="pct"/>
            <w:vMerge w:val="continue"/>
            <w:tcBorders>
              <w:top w:val="single" w:color="auto" w:sz="4" w:space="0"/>
              <w:left w:val="single" w:color="auto" w:sz="4" w:space="0"/>
              <w:bottom w:val="single" w:color="auto" w:sz="4" w:space="0"/>
              <w:right w:val="single" w:color="auto" w:sz="4" w:space="0"/>
            </w:tcBorders>
            <w:vAlign w:val="center"/>
          </w:tcPr>
          <w:p w14:paraId="62945853">
            <w:pPr>
              <w:spacing w:line="240" w:lineRule="auto"/>
              <w:ind w:firstLine="0" w:firstLineChars="0"/>
              <w:jc w:val="center"/>
              <w:rPr>
                <w:rFonts w:hint="default" w:ascii="Times New Roman" w:hAnsi="Times New Roman" w:cs="Times New Roman"/>
                <w:lang w:eastAsia="zh-CN"/>
              </w:rPr>
            </w:pPr>
          </w:p>
        </w:tc>
        <w:tc>
          <w:tcPr>
            <w:tcW w:w="596" w:type="pct"/>
            <w:tcBorders>
              <w:left w:val="single" w:color="auto" w:sz="4" w:space="0"/>
            </w:tcBorders>
            <w:vAlign w:val="center"/>
          </w:tcPr>
          <w:p w14:paraId="700D40DD">
            <w:pPr>
              <w:spacing w:line="240" w:lineRule="auto"/>
              <w:ind w:firstLine="0" w:firstLineChars="0"/>
              <w:jc w:val="center"/>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林分处于收获、恒续林阶段，林分蓄积继续生长阶段</w:t>
            </w:r>
          </w:p>
        </w:tc>
        <w:tc>
          <w:tcPr>
            <w:tcW w:w="208" w:type="pct"/>
            <w:vAlign w:val="center"/>
          </w:tcPr>
          <w:p w14:paraId="477E60E3">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eastAsia="Times New Roman" w:cs="Times New Roman"/>
                <w:sz w:val="18"/>
                <w:szCs w:val="18"/>
              </w:rPr>
              <w:t>≥51</w:t>
            </w:r>
            <w:r>
              <w:rPr>
                <w:rFonts w:hint="default" w:ascii="Times New Roman" w:hAnsi="Times New Roman" w:cs="Times New Roman"/>
                <w:sz w:val="18"/>
                <w:szCs w:val="18"/>
              </w:rPr>
              <w:t>年</w:t>
            </w:r>
          </w:p>
        </w:tc>
        <w:tc>
          <w:tcPr>
            <w:tcW w:w="605" w:type="pct"/>
            <w:vAlign w:val="center"/>
          </w:tcPr>
          <w:p w14:paraId="5657AF04">
            <w:pPr>
              <w:spacing w:line="240" w:lineRule="auto"/>
              <w:ind w:firstLine="0" w:firstLineChars="0"/>
              <w:jc w:val="center"/>
              <w:rPr>
                <w:rFonts w:hint="default" w:ascii="Times New Roman" w:hAnsi="Times New Roman" w:eastAsia="Times New Roman" w:cs="Times New Roman"/>
                <w:sz w:val="18"/>
                <w:szCs w:val="18"/>
              </w:rPr>
            </w:pPr>
            <w:r>
              <w:rPr>
                <w:rFonts w:hint="default" w:ascii="Times New Roman" w:hAnsi="Times New Roman" w:eastAsia="Times New Roman" w:cs="Times New Roman"/>
                <w:position w:val="1"/>
                <w:sz w:val="18"/>
                <w:szCs w:val="18"/>
              </w:rPr>
              <w:t>/</w:t>
            </w:r>
          </w:p>
        </w:tc>
        <w:tc>
          <w:tcPr>
            <w:tcW w:w="2944" w:type="pct"/>
            <w:vAlign w:val="center"/>
          </w:tcPr>
          <w:p w14:paraId="7CE22263">
            <w:pPr>
              <w:spacing w:line="240" w:lineRule="auto"/>
              <w:ind w:firstLine="0" w:firstLineChars="0"/>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对达到目标直径的榉树实施群团状择伐或单株木择伐，逐渐采伐上层木，控制伐后目标树密度</w:t>
            </w:r>
            <w:r>
              <w:rPr>
                <w:rFonts w:hint="default" w:ascii="Times New Roman" w:hAnsi="Times New Roman" w:eastAsia="Times New Roman" w:cs="Times New Roman"/>
                <w:sz w:val="18"/>
                <w:szCs w:val="18"/>
                <w:lang w:eastAsia="zh-CN"/>
              </w:rPr>
              <w:t>90-120</w:t>
            </w:r>
            <w:r>
              <w:rPr>
                <w:rFonts w:hint="default" w:ascii="Times New Roman" w:hAnsi="Times New Roman" w:cs="Times New Roman"/>
                <w:sz w:val="18"/>
                <w:szCs w:val="18"/>
                <w:lang w:eastAsia="zh-CN"/>
              </w:rPr>
              <w:t>株</w:t>
            </w:r>
            <w:r>
              <w:rPr>
                <w:rFonts w:hint="default" w:ascii="Times New Roman" w:hAnsi="Times New Roman" w:eastAsia="Times New Roman" w:cs="Times New Roman"/>
                <w:sz w:val="18"/>
                <w:szCs w:val="18"/>
                <w:lang w:eastAsia="zh-CN"/>
              </w:rPr>
              <w:t>/</w:t>
            </w:r>
            <w:r>
              <w:rPr>
                <w:rFonts w:hint="default" w:ascii="Times New Roman" w:hAnsi="Times New Roman" w:cs="Times New Roman"/>
                <w:spacing w:val="-4"/>
                <w:sz w:val="18"/>
                <w:szCs w:val="18"/>
                <w:lang w:eastAsia="zh-CN"/>
              </w:rPr>
              <w:t xml:space="preserve"> hm</w:t>
            </w:r>
            <w:r>
              <w:rPr>
                <w:rFonts w:hint="default" w:ascii="Times New Roman" w:hAnsi="Times New Roman" w:cs="Times New Roman"/>
                <w:spacing w:val="-4"/>
                <w:sz w:val="18"/>
                <w:szCs w:val="18"/>
                <w:vertAlign w:val="superscript"/>
                <w:lang w:eastAsia="zh-CN"/>
              </w:rPr>
              <w:t>2</w:t>
            </w:r>
            <w:r>
              <w:rPr>
                <w:rFonts w:hint="default" w:ascii="Times New Roman" w:hAnsi="Times New Roman" w:cs="Times New Roman"/>
                <w:sz w:val="18"/>
                <w:szCs w:val="18"/>
                <w:lang w:eastAsia="zh-CN"/>
              </w:rPr>
              <w:t>。及时进行林下更新，继续栽植光皮桦等树种，培育异龄复层混交恒续林。</w:t>
            </w:r>
          </w:p>
        </w:tc>
      </w:tr>
      <w:tr w14:paraId="1DBC5F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0" w:hRule="atLeast"/>
          <w:jc w:val="center"/>
        </w:trPr>
        <w:tc>
          <w:tcPr>
            <w:tcW w:w="377" w:type="pct"/>
            <w:vMerge w:val="continue"/>
            <w:tcBorders>
              <w:right w:val="single" w:color="auto" w:sz="4" w:space="0"/>
            </w:tcBorders>
            <w:vAlign w:val="center"/>
          </w:tcPr>
          <w:p w14:paraId="740AF9D5">
            <w:pPr>
              <w:spacing w:line="240" w:lineRule="auto"/>
              <w:ind w:firstLine="0" w:firstLineChars="0"/>
              <w:jc w:val="center"/>
              <w:rPr>
                <w:rFonts w:hint="default" w:ascii="Times New Roman" w:hAnsi="Times New Roman" w:cs="Times New Roman"/>
                <w:lang w:eastAsia="zh-CN"/>
              </w:rPr>
            </w:pPr>
          </w:p>
        </w:tc>
        <w:tc>
          <w:tcPr>
            <w:tcW w:w="269" w:type="pct"/>
            <w:vMerge w:val="continue"/>
            <w:tcBorders>
              <w:top w:val="single" w:color="auto" w:sz="4" w:space="0"/>
              <w:left w:val="single" w:color="auto" w:sz="4" w:space="0"/>
              <w:bottom w:val="single" w:color="auto" w:sz="4" w:space="0"/>
              <w:right w:val="single" w:color="auto" w:sz="4" w:space="0"/>
            </w:tcBorders>
            <w:vAlign w:val="center"/>
          </w:tcPr>
          <w:p w14:paraId="641F4EF9">
            <w:pPr>
              <w:spacing w:line="240" w:lineRule="auto"/>
              <w:ind w:firstLine="0" w:firstLineChars="0"/>
              <w:jc w:val="center"/>
              <w:rPr>
                <w:rFonts w:hint="default" w:ascii="Times New Roman" w:hAnsi="Times New Roman" w:cs="Times New Roman"/>
                <w:lang w:eastAsia="zh-CN"/>
              </w:rPr>
            </w:pPr>
          </w:p>
        </w:tc>
        <w:tc>
          <w:tcPr>
            <w:tcW w:w="596" w:type="pct"/>
            <w:tcBorders>
              <w:left w:val="single" w:color="auto" w:sz="4" w:space="0"/>
            </w:tcBorders>
            <w:vAlign w:val="center"/>
          </w:tcPr>
          <w:p w14:paraId="20258432">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造林后至郁闭成林前</w:t>
            </w:r>
          </w:p>
        </w:tc>
        <w:tc>
          <w:tcPr>
            <w:tcW w:w="208" w:type="pct"/>
            <w:vAlign w:val="center"/>
          </w:tcPr>
          <w:p w14:paraId="5A4D2E8E">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eastAsia="Times New Roman" w:cs="Times New Roman"/>
                <w:sz w:val="18"/>
                <w:szCs w:val="18"/>
              </w:rPr>
              <w:t>1-10</w:t>
            </w:r>
            <w:r>
              <w:rPr>
                <w:rFonts w:hint="default" w:ascii="Times New Roman" w:hAnsi="Times New Roman" w:cs="Times New Roman"/>
                <w:sz w:val="18"/>
                <w:szCs w:val="18"/>
              </w:rPr>
              <w:t>年</w:t>
            </w:r>
          </w:p>
        </w:tc>
        <w:tc>
          <w:tcPr>
            <w:tcW w:w="605" w:type="pct"/>
            <w:vAlign w:val="center"/>
          </w:tcPr>
          <w:p w14:paraId="5DFFE6DC">
            <w:pPr>
              <w:spacing w:line="240" w:lineRule="auto"/>
              <w:ind w:firstLine="0" w:firstLineChars="0"/>
              <w:jc w:val="center"/>
              <w:rPr>
                <w:rFonts w:hint="default" w:ascii="Times New Roman" w:hAnsi="Times New Roman" w:eastAsia="Times New Roman" w:cs="Times New Roman"/>
                <w:sz w:val="18"/>
                <w:szCs w:val="18"/>
              </w:rPr>
            </w:pPr>
            <w:r>
              <w:rPr>
                <w:rFonts w:hint="default" w:ascii="Times New Roman" w:hAnsi="Times New Roman" w:eastAsia="Times New Roman" w:cs="Times New Roman"/>
                <w:sz w:val="18"/>
                <w:szCs w:val="18"/>
              </w:rPr>
              <w:t>1600-2000</w:t>
            </w:r>
          </w:p>
        </w:tc>
        <w:tc>
          <w:tcPr>
            <w:tcW w:w="2944" w:type="pct"/>
            <w:vAlign w:val="center"/>
          </w:tcPr>
          <w:p w14:paraId="3D4867A1">
            <w:pPr>
              <w:spacing w:line="240" w:lineRule="auto"/>
              <w:ind w:firstLine="0" w:firstLineChars="0"/>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杉木迹地造林，造林密度根据立地条件和经营目的确定，变化幅度较大，培育大径材密度宜稀，约</w:t>
            </w:r>
            <w:r>
              <w:rPr>
                <w:rFonts w:hint="default" w:ascii="Times New Roman" w:hAnsi="Times New Roman" w:eastAsia="Times New Roman" w:cs="Times New Roman"/>
                <w:sz w:val="18"/>
                <w:szCs w:val="18"/>
                <w:lang w:eastAsia="zh-CN"/>
              </w:rPr>
              <w:t>1600-2000</w:t>
            </w:r>
            <w:r>
              <w:rPr>
                <w:rFonts w:hint="default" w:ascii="Times New Roman" w:hAnsi="Times New Roman" w:cs="Times New Roman"/>
                <w:sz w:val="18"/>
                <w:szCs w:val="18"/>
                <w:lang w:eastAsia="zh-CN"/>
              </w:rPr>
              <w:t>株</w:t>
            </w:r>
            <w:r>
              <w:rPr>
                <w:rFonts w:hint="default" w:ascii="Times New Roman" w:hAnsi="Times New Roman" w:eastAsia="Times New Roman" w:cs="Times New Roman"/>
                <w:sz w:val="18"/>
                <w:szCs w:val="18"/>
                <w:lang w:eastAsia="zh-CN"/>
              </w:rPr>
              <w:t>/</w:t>
            </w:r>
            <w:r>
              <w:rPr>
                <w:rFonts w:hint="default" w:ascii="Times New Roman" w:hAnsi="Times New Roman" w:cs="Times New Roman"/>
                <w:spacing w:val="-4"/>
                <w:sz w:val="18"/>
                <w:szCs w:val="18"/>
                <w:lang w:eastAsia="zh-CN"/>
              </w:rPr>
              <w:t xml:space="preserve"> hm</w:t>
            </w:r>
            <w:r>
              <w:rPr>
                <w:rFonts w:hint="default" w:ascii="Times New Roman" w:hAnsi="Times New Roman" w:cs="Times New Roman"/>
                <w:spacing w:val="-4"/>
                <w:sz w:val="18"/>
                <w:szCs w:val="18"/>
                <w:vertAlign w:val="superscript"/>
                <w:lang w:eastAsia="zh-CN"/>
              </w:rPr>
              <w:t>2</w:t>
            </w:r>
            <w:r>
              <w:rPr>
                <w:rFonts w:hint="default" w:ascii="Times New Roman" w:hAnsi="Times New Roman" w:cs="Times New Roman"/>
                <w:sz w:val="18"/>
                <w:szCs w:val="18"/>
                <w:lang w:eastAsia="zh-CN"/>
              </w:rPr>
              <w:t>。可造杉木纯林，或选取杉木与光皮桦进行混交，杉木与其他树种的混交比例为</w:t>
            </w:r>
            <w:r>
              <w:rPr>
                <w:rFonts w:hint="default" w:ascii="Times New Roman" w:hAnsi="Times New Roman" w:eastAsia="Times New Roman" w:cs="Times New Roman"/>
                <w:sz w:val="18"/>
                <w:szCs w:val="18"/>
                <w:lang w:eastAsia="zh-CN"/>
              </w:rPr>
              <w:t>7</w:t>
            </w:r>
            <w:r>
              <w:rPr>
                <w:rFonts w:hint="default" w:ascii="Times New Roman" w:hAnsi="Times New Roman" w:cs="Times New Roman"/>
                <w:sz w:val="18"/>
                <w:szCs w:val="18"/>
                <w:lang w:eastAsia="zh-CN"/>
              </w:rPr>
              <w:t>：</w:t>
            </w:r>
            <w:r>
              <w:rPr>
                <w:rFonts w:hint="default" w:ascii="Times New Roman" w:hAnsi="Times New Roman" w:eastAsia="Times New Roman" w:cs="Times New Roman"/>
                <w:sz w:val="18"/>
                <w:szCs w:val="18"/>
                <w:lang w:eastAsia="zh-CN"/>
              </w:rPr>
              <w:t>3</w:t>
            </w:r>
            <w:r>
              <w:rPr>
                <w:rFonts w:hint="default" w:ascii="Times New Roman" w:hAnsi="Times New Roman" w:cs="Times New Roman"/>
                <w:sz w:val="18"/>
                <w:szCs w:val="18"/>
                <w:lang w:eastAsia="zh-CN"/>
              </w:rPr>
              <w:t>或</w:t>
            </w:r>
            <w:r>
              <w:rPr>
                <w:rFonts w:hint="default" w:ascii="Times New Roman" w:hAnsi="Times New Roman" w:eastAsia="Times New Roman" w:cs="Times New Roman"/>
                <w:sz w:val="18"/>
                <w:szCs w:val="18"/>
                <w:lang w:eastAsia="zh-CN"/>
              </w:rPr>
              <w:t>6</w:t>
            </w:r>
            <w:r>
              <w:rPr>
                <w:rFonts w:hint="default" w:ascii="Times New Roman" w:hAnsi="Times New Roman" w:cs="Times New Roman"/>
                <w:sz w:val="18"/>
                <w:szCs w:val="18"/>
                <w:lang w:eastAsia="zh-CN"/>
              </w:rPr>
              <w:t>：</w:t>
            </w:r>
            <w:r>
              <w:rPr>
                <w:rFonts w:hint="default" w:ascii="Times New Roman" w:hAnsi="Times New Roman" w:eastAsia="Times New Roman" w:cs="Times New Roman"/>
                <w:sz w:val="18"/>
                <w:szCs w:val="18"/>
                <w:lang w:eastAsia="zh-CN"/>
              </w:rPr>
              <w:t>4</w:t>
            </w:r>
            <w:r>
              <w:rPr>
                <w:rFonts w:hint="default" w:ascii="Times New Roman" w:hAnsi="Times New Roman" w:cs="Times New Roman"/>
                <w:sz w:val="18"/>
                <w:szCs w:val="18"/>
                <w:lang w:eastAsia="zh-CN"/>
              </w:rPr>
              <w:t>等，使用群团状混交。造林当年实施</w:t>
            </w:r>
            <w:r>
              <w:rPr>
                <w:rFonts w:hint="default" w:ascii="Times New Roman" w:hAnsi="Times New Roman" w:eastAsia="Times New Roman" w:cs="Times New Roman"/>
                <w:sz w:val="18"/>
                <w:szCs w:val="18"/>
                <w:lang w:eastAsia="zh-CN"/>
              </w:rPr>
              <w:t>3</w:t>
            </w:r>
            <w:r>
              <w:rPr>
                <w:rFonts w:hint="default" w:ascii="Times New Roman" w:hAnsi="Times New Roman" w:cs="Times New Roman"/>
                <w:sz w:val="18"/>
                <w:szCs w:val="18"/>
                <w:lang w:eastAsia="zh-CN"/>
              </w:rPr>
              <w:t>次扩穴培蔸抚育，次年抚育</w:t>
            </w:r>
            <w:r>
              <w:rPr>
                <w:rFonts w:hint="default" w:ascii="Times New Roman" w:hAnsi="Times New Roman" w:eastAsia="Times New Roman" w:cs="Times New Roman"/>
                <w:sz w:val="18"/>
                <w:szCs w:val="18"/>
                <w:lang w:eastAsia="zh-CN"/>
              </w:rPr>
              <w:t>3</w:t>
            </w:r>
            <w:r>
              <w:rPr>
                <w:rFonts w:hint="default" w:ascii="Times New Roman" w:hAnsi="Times New Roman" w:cs="Times New Roman"/>
                <w:sz w:val="18"/>
                <w:szCs w:val="18"/>
                <w:lang w:eastAsia="zh-CN"/>
              </w:rPr>
              <w:t>次，第</w:t>
            </w:r>
            <w:r>
              <w:rPr>
                <w:rFonts w:hint="default" w:ascii="Times New Roman" w:hAnsi="Times New Roman" w:eastAsia="Times New Roman" w:cs="Times New Roman"/>
                <w:sz w:val="18"/>
                <w:szCs w:val="18"/>
                <w:lang w:eastAsia="zh-CN"/>
              </w:rPr>
              <w:t>3</w:t>
            </w:r>
            <w:r>
              <w:rPr>
                <w:rFonts w:hint="default" w:ascii="Times New Roman" w:hAnsi="Times New Roman" w:cs="Times New Roman"/>
                <w:sz w:val="18"/>
                <w:szCs w:val="18"/>
                <w:lang w:eastAsia="zh-CN"/>
              </w:rPr>
              <w:t>、</w:t>
            </w:r>
            <w:r>
              <w:rPr>
                <w:rFonts w:hint="default" w:ascii="Times New Roman" w:hAnsi="Times New Roman" w:eastAsia="Times New Roman" w:cs="Times New Roman"/>
                <w:sz w:val="18"/>
                <w:szCs w:val="18"/>
                <w:lang w:eastAsia="zh-CN"/>
              </w:rPr>
              <w:t>4</w:t>
            </w:r>
            <w:r>
              <w:rPr>
                <w:rFonts w:hint="default" w:ascii="Times New Roman" w:hAnsi="Times New Roman" w:cs="Times New Roman"/>
                <w:sz w:val="18"/>
                <w:szCs w:val="18"/>
                <w:lang w:eastAsia="zh-CN"/>
              </w:rPr>
              <w:t>年抚育</w:t>
            </w:r>
            <w:r>
              <w:rPr>
                <w:rFonts w:hint="default" w:ascii="Times New Roman" w:hAnsi="Times New Roman" w:eastAsia="Times New Roman" w:cs="Times New Roman"/>
                <w:sz w:val="18"/>
                <w:szCs w:val="18"/>
                <w:lang w:eastAsia="zh-CN"/>
              </w:rPr>
              <w:t>2</w:t>
            </w:r>
            <w:r>
              <w:rPr>
                <w:rFonts w:hint="default" w:ascii="Times New Roman" w:hAnsi="Times New Roman" w:cs="Times New Roman"/>
                <w:sz w:val="18"/>
                <w:szCs w:val="18"/>
                <w:lang w:eastAsia="zh-CN"/>
              </w:rPr>
              <w:t>次。注意保留天然更新的光皮桦等阔叶树幼树幼苗。约在造林后</w:t>
            </w:r>
            <w:r>
              <w:rPr>
                <w:rFonts w:hint="default" w:ascii="Times New Roman" w:hAnsi="Times New Roman" w:eastAsia="Times New Roman" w:cs="Times New Roman"/>
                <w:sz w:val="18"/>
                <w:szCs w:val="18"/>
                <w:lang w:eastAsia="zh-CN"/>
              </w:rPr>
              <w:t>6-8</w:t>
            </w:r>
            <w:r>
              <w:rPr>
                <w:rFonts w:hint="default" w:ascii="Times New Roman" w:hAnsi="Times New Roman" w:cs="Times New Roman"/>
                <w:sz w:val="18"/>
                <w:szCs w:val="18"/>
                <w:lang w:eastAsia="zh-CN"/>
              </w:rPr>
              <w:t>年时，种间生长竞争激烈，林分出现分化，开展透光伐</w:t>
            </w:r>
            <w:r>
              <w:rPr>
                <w:rFonts w:hint="default" w:ascii="Times New Roman" w:hAnsi="Times New Roman" w:eastAsia="Times New Roman" w:cs="Times New Roman"/>
                <w:sz w:val="18"/>
                <w:szCs w:val="18"/>
                <w:lang w:eastAsia="zh-CN"/>
              </w:rPr>
              <w:t>1</w:t>
            </w:r>
            <w:r>
              <w:rPr>
                <w:rFonts w:hint="default" w:ascii="Times New Roman" w:hAnsi="Times New Roman" w:cs="Times New Roman"/>
                <w:sz w:val="18"/>
                <w:szCs w:val="18"/>
                <w:lang w:eastAsia="zh-CN"/>
              </w:rPr>
              <w:t>次，伐后修枝。</w:t>
            </w:r>
          </w:p>
        </w:tc>
      </w:tr>
      <w:tr w14:paraId="6F40C6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jc w:val="center"/>
        </w:trPr>
        <w:tc>
          <w:tcPr>
            <w:tcW w:w="377" w:type="pct"/>
            <w:vMerge w:val="restart"/>
            <w:tcBorders>
              <w:bottom w:val="nil"/>
              <w:right w:val="single" w:color="auto" w:sz="4" w:space="0"/>
            </w:tcBorders>
            <w:vAlign w:val="center"/>
          </w:tcPr>
          <w:p w14:paraId="5EB9227F">
            <w:pPr>
              <w:spacing w:line="240" w:lineRule="auto"/>
              <w:ind w:firstLine="0" w:firstLineChars="0"/>
              <w:jc w:val="center"/>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2</w:t>
            </w:r>
          </w:p>
        </w:tc>
        <w:tc>
          <w:tcPr>
            <w:tcW w:w="269" w:type="pct"/>
            <w:vMerge w:val="restart"/>
            <w:tcBorders>
              <w:top w:val="single" w:color="auto" w:sz="4" w:space="0"/>
              <w:left w:val="single" w:color="auto" w:sz="4" w:space="0"/>
              <w:bottom w:val="single" w:color="auto" w:sz="4" w:space="0"/>
              <w:right w:val="single" w:color="auto" w:sz="4" w:space="0"/>
            </w:tcBorders>
            <w:vAlign w:val="center"/>
          </w:tcPr>
          <w:p w14:paraId="7F6D57B2">
            <w:pPr>
              <w:spacing w:line="240" w:lineRule="auto"/>
              <w:ind w:firstLine="0" w:firstLineChars="0"/>
              <w:jc w:val="center"/>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马尾松</w:t>
            </w:r>
            <w:r>
              <w:rPr>
                <w:rFonts w:hint="eastAsia" w:cs="Times New Roman"/>
                <w:sz w:val="18"/>
                <w:szCs w:val="18"/>
                <w:lang w:val="en-US" w:eastAsia="zh-CN"/>
              </w:rPr>
              <w:t>防护林重点保护型</w:t>
            </w:r>
            <w:r>
              <w:rPr>
                <w:rFonts w:hint="default" w:ascii="Times New Roman" w:hAnsi="Times New Roman" w:cs="Times New Roman"/>
                <w:sz w:val="18"/>
                <w:szCs w:val="18"/>
                <w:lang w:eastAsia="zh-CN"/>
              </w:rPr>
              <w:t>型</w:t>
            </w:r>
          </w:p>
        </w:tc>
        <w:tc>
          <w:tcPr>
            <w:tcW w:w="596" w:type="pct"/>
            <w:tcBorders>
              <w:left w:val="single" w:color="auto" w:sz="4" w:space="0"/>
            </w:tcBorders>
            <w:vAlign w:val="center"/>
          </w:tcPr>
          <w:p w14:paraId="20CA47A5">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郁闭后树高生长阶段</w:t>
            </w:r>
          </w:p>
        </w:tc>
        <w:tc>
          <w:tcPr>
            <w:tcW w:w="208" w:type="pct"/>
            <w:vAlign w:val="center"/>
          </w:tcPr>
          <w:p w14:paraId="0B2B41B6">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eastAsia="Times New Roman" w:cs="Times New Roman"/>
                <w:sz w:val="18"/>
                <w:szCs w:val="18"/>
              </w:rPr>
              <w:t>11-20</w:t>
            </w:r>
            <w:r>
              <w:rPr>
                <w:rFonts w:hint="default" w:ascii="Times New Roman" w:hAnsi="Times New Roman" w:cs="Times New Roman"/>
                <w:sz w:val="18"/>
                <w:szCs w:val="18"/>
              </w:rPr>
              <w:t>年</w:t>
            </w:r>
          </w:p>
        </w:tc>
        <w:tc>
          <w:tcPr>
            <w:tcW w:w="605" w:type="pct"/>
            <w:vAlign w:val="center"/>
          </w:tcPr>
          <w:p w14:paraId="1584A282">
            <w:pPr>
              <w:spacing w:line="240" w:lineRule="auto"/>
              <w:ind w:firstLine="0" w:firstLineChars="0"/>
              <w:jc w:val="center"/>
              <w:rPr>
                <w:rFonts w:hint="default" w:ascii="Times New Roman" w:hAnsi="Times New Roman" w:eastAsia="Times New Roman" w:cs="Times New Roman"/>
                <w:sz w:val="18"/>
                <w:szCs w:val="18"/>
              </w:rPr>
            </w:pPr>
            <w:r>
              <w:rPr>
                <w:rFonts w:hint="default" w:ascii="Times New Roman" w:hAnsi="Times New Roman" w:eastAsia="Times New Roman" w:cs="Times New Roman"/>
                <w:sz w:val="18"/>
                <w:szCs w:val="18"/>
              </w:rPr>
              <w:t>900-1300</w:t>
            </w:r>
          </w:p>
        </w:tc>
        <w:tc>
          <w:tcPr>
            <w:tcW w:w="2944" w:type="pct"/>
            <w:vAlign w:val="center"/>
          </w:tcPr>
          <w:p w14:paraId="1C5B2255">
            <w:pPr>
              <w:spacing w:line="240" w:lineRule="auto"/>
              <w:ind w:firstLine="0" w:firstLineChars="0"/>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进行疏伐</w:t>
            </w:r>
            <w:r>
              <w:rPr>
                <w:rFonts w:hint="default" w:ascii="Times New Roman" w:hAnsi="Times New Roman" w:eastAsia="Times New Roman" w:cs="Times New Roman"/>
                <w:sz w:val="18"/>
                <w:szCs w:val="18"/>
                <w:lang w:eastAsia="zh-CN"/>
              </w:rPr>
              <w:t>1-2</w:t>
            </w:r>
            <w:r>
              <w:rPr>
                <w:rFonts w:hint="default" w:ascii="Times New Roman" w:hAnsi="Times New Roman" w:cs="Times New Roman"/>
                <w:sz w:val="18"/>
                <w:szCs w:val="18"/>
                <w:lang w:eastAsia="zh-CN"/>
              </w:rPr>
              <w:t>次，间隔</w:t>
            </w:r>
            <w:r>
              <w:rPr>
                <w:rFonts w:hint="default" w:ascii="Times New Roman" w:hAnsi="Times New Roman" w:eastAsia="Times New Roman" w:cs="Times New Roman"/>
                <w:sz w:val="18"/>
                <w:szCs w:val="18"/>
                <w:lang w:eastAsia="zh-CN"/>
              </w:rPr>
              <w:t>4-5</w:t>
            </w:r>
            <w:r>
              <w:rPr>
                <w:rFonts w:hint="default" w:ascii="Times New Roman" w:hAnsi="Times New Roman" w:cs="Times New Roman"/>
                <w:sz w:val="18"/>
                <w:szCs w:val="18"/>
                <w:lang w:eastAsia="zh-CN"/>
              </w:rPr>
              <w:t>年，促进林木快速生长形成优良干材。标记目标树</w:t>
            </w:r>
            <w:r>
              <w:rPr>
                <w:rFonts w:hint="default" w:ascii="Times New Roman" w:hAnsi="Times New Roman" w:eastAsia="Times New Roman" w:cs="Times New Roman"/>
                <w:sz w:val="18"/>
                <w:szCs w:val="18"/>
                <w:lang w:eastAsia="zh-CN"/>
              </w:rPr>
              <w:t>250-300</w:t>
            </w:r>
            <w:r>
              <w:rPr>
                <w:rFonts w:hint="default" w:ascii="Times New Roman" w:hAnsi="Times New Roman" w:cs="Times New Roman"/>
                <w:sz w:val="18"/>
                <w:szCs w:val="18"/>
                <w:lang w:eastAsia="zh-CN"/>
              </w:rPr>
              <w:t>株</w:t>
            </w:r>
            <w:r>
              <w:rPr>
                <w:rFonts w:hint="default" w:ascii="Times New Roman" w:hAnsi="Times New Roman" w:eastAsia="Times New Roman" w:cs="Times New Roman"/>
                <w:sz w:val="18"/>
                <w:szCs w:val="18"/>
                <w:lang w:eastAsia="zh-CN"/>
              </w:rPr>
              <w:t>/</w:t>
            </w:r>
            <w:r>
              <w:rPr>
                <w:rFonts w:hint="default" w:ascii="Times New Roman" w:hAnsi="Times New Roman" w:cs="Times New Roman"/>
                <w:sz w:val="18"/>
                <w:szCs w:val="18"/>
                <w:lang w:eastAsia="zh-CN"/>
              </w:rPr>
              <w:t>公顷。林冠下补植光皮桦等，约</w:t>
            </w:r>
            <w:r>
              <w:rPr>
                <w:rFonts w:hint="default" w:ascii="Times New Roman" w:hAnsi="Times New Roman" w:eastAsia="Times New Roman" w:cs="Times New Roman"/>
                <w:sz w:val="18"/>
                <w:szCs w:val="18"/>
                <w:lang w:eastAsia="zh-CN"/>
              </w:rPr>
              <w:t>600-800</w:t>
            </w:r>
            <w:r>
              <w:rPr>
                <w:rFonts w:hint="default" w:ascii="Times New Roman" w:hAnsi="Times New Roman" w:cs="Times New Roman"/>
                <w:sz w:val="18"/>
                <w:szCs w:val="18"/>
                <w:lang w:eastAsia="zh-CN"/>
              </w:rPr>
              <w:t>株</w:t>
            </w:r>
            <w:r>
              <w:rPr>
                <w:rFonts w:hint="default" w:ascii="Times New Roman" w:hAnsi="Times New Roman" w:eastAsia="Times New Roman" w:cs="Times New Roman"/>
                <w:sz w:val="18"/>
                <w:szCs w:val="18"/>
                <w:lang w:eastAsia="zh-CN"/>
              </w:rPr>
              <w:t>/</w:t>
            </w:r>
            <w:r>
              <w:rPr>
                <w:rFonts w:hint="default" w:ascii="Times New Roman" w:hAnsi="Times New Roman" w:cs="Times New Roman"/>
                <w:spacing w:val="-4"/>
                <w:sz w:val="18"/>
                <w:szCs w:val="18"/>
                <w:lang w:eastAsia="zh-CN"/>
              </w:rPr>
              <w:t xml:space="preserve"> hm</w:t>
            </w:r>
            <w:r>
              <w:rPr>
                <w:rFonts w:hint="default" w:ascii="Times New Roman" w:hAnsi="Times New Roman" w:cs="Times New Roman"/>
                <w:spacing w:val="-4"/>
                <w:sz w:val="18"/>
                <w:szCs w:val="18"/>
                <w:vertAlign w:val="superscript"/>
                <w:lang w:eastAsia="zh-CN"/>
              </w:rPr>
              <w:t>2</w:t>
            </w:r>
            <w:r>
              <w:rPr>
                <w:rFonts w:hint="default" w:ascii="Times New Roman" w:hAnsi="Times New Roman" w:cs="Times New Roman"/>
                <w:sz w:val="18"/>
                <w:szCs w:val="18"/>
                <w:lang w:eastAsia="zh-CN"/>
              </w:rPr>
              <w:t>，对冠下更新的幼树幼苗及时抚育。</w:t>
            </w:r>
          </w:p>
        </w:tc>
      </w:tr>
      <w:tr w14:paraId="39B85F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jc w:val="center"/>
        </w:trPr>
        <w:tc>
          <w:tcPr>
            <w:tcW w:w="377" w:type="pct"/>
            <w:vMerge w:val="continue"/>
            <w:tcBorders>
              <w:top w:val="nil"/>
              <w:bottom w:val="nil"/>
              <w:right w:val="single" w:color="auto" w:sz="4" w:space="0"/>
            </w:tcBorders>
            <w:vAlign w:val="center"/>
          </w:tcPr>
          <w:p w14:paraId="2318BCD0">
            <w:pPr>
              <w:spacing w:line="240" w:lineRule="auto"/>
              <w:ind w:firstLine="0" w:firstLineChars="0"/>
              <w:jc w:val="center"/>
              <w:rPr>
                <w:rFonts w:hint="default" w:ascii="Times New Roman" w:hAnsi="Times New Roman" w:cs="Times New Roman"/>
                <w:lang w:eastAsia="zh-CN"/>
              </w:rPr>
            </w:pPr>
          </w:p>
        </w:tc>
        <w:tc>
          <w:tcPr>
            <w:tcW w:w="269" w:type="pct"/>
            <w:vMerge w:val="continue"/>
            <w:tcBorders>
              <w:top w:val="single" w:color="auto" w:sz="4" w:space="0"/>
              <w:left w:val="single" w:color="auto" w:sz="4" w:space="0"/>
              <w:bottom w:val="single" w:color="auto" w:sz="4" w:space="0"/>
              <w:right w:val="single" w:color="auto" w:sz="4" w:space="0"/>
            </w:tcBorders>
            <w:vAlign w:val="center"/>
          </w:tcPr>
          <w:p w14:paraId="07102C8A">
            <w:pPr>
              <w:spacing w:line="240" w:lineRule="auto"/>
              <w:ind w:firstLine="0" w:firstLineChars="0"/>
              <w:jc w:val="center"/>
              <w:rPr>
                <w:rFonts w:hint="default" w:ascii="Times New Roman" w:hAnsi="Times New Roman" w:cs="Times New Roman"/>
                <w:lang w:eastAsia="zh-CN"/>
              </w:rPr>
            </w:pPr>
          </w:p>
        </w:tc>
        <w:tc>
          <w:tcPr>
            <w:tcW w:w="596" w:type="pct"/>
            <w:tcBorders>
              <w:left w:val="single" w:color="auto" w:sz="4" w:space="0"/>
            </w:tcBorders>
            <w:vAlign w:val="center"/>
          </w:tcPr>
          <w:p w14:paraId="12896DB9">
            <w:pPr>
              <w:spacing w:line="240" w:lineRule="auto"/>
              <w:ind w:firstLine="0" w:firstLineChars="0"/>
              <w:jc w:val="center"/>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林分树高生长和质量形成阶段</w:t>
            </w:r>
          </w:p>
        </w:tc>
        <w:tc>
          <w:tcPr>
            <w:tcW w:w="208" w:type="pct"/>
            <w:vAlign w:val="center"/>
          </w:tcPr>
          <w:p w14:paraId="3D42FF8A">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eastAsia="Times New Roman" w:cs="Times New Roman"/>
                <w:sz w:val="18"/>
                <w:szCs w:val="18"/>
              </w:rPr>
              <w:t>21-25</w:t>
            </w:r>
            <w:r>
              <w:rPr>
                <w:rFonts w:hint="default" w:ascii="Times New Roman" w:hAnsi="Times New Roman" w:cs="Times New Roman"/>
                <w:sz w:val="18"/>
                <w:szCs w:val="18"/>
              </w:rPr>
              <w:t>年</w:t>
            </w:r>
          </w:p>
        </w:tc>
        <w:tc>
          <w:tcPr>
            <w:tcW w:w="605" w:type="pct"/>
            <w:vAlign w:val="center"/>
          </w:tcPr>
          <w:p w14:paraId="4E5226DA">
            <w:pPr>
              <w:spacing w:line="240" w:lineRule="auto"/>
              <w:ind w:firstLine="0" w:firstLineChars="0"/>
              <w:jc w:val="center"/>
              <w:rPr>
                <w:rFonts w:hint="default" w:ascii="Times New Roman" w:hAnsi="Times New Roman" w:eastAsia="Times New Roman" w:cs="Times New Roman"/>
                <w:sz w:val="18"/>
                <w:szCs w:val="18"/>
              </w:rPr>
            </w:pPr>
            <w:r>
              <w:rPr>
                <w:rFonts w:hint="default" w:ascii="Times New Roman" w:hAnsi="Times New Roman" w:eastAsia="Times New Roman" w:cs="Times New Roman"/>
                <w:sz w:val="18"/>
                <w:szCs w:val="18"/>
              </w:rPr>
              <w:t>600-900</w:t>
            </w:r>
          </w:p>
        </w:tc>
        <w:tc>
          <w:tcPr>
            <w:tcW w:w="2944" w:type="pct"/>
            <w:vAlign w:val="center"/>
          </w:tcPr>
          <w:p w14:paraId="40A94B3E">
            <w:pPr>
              <w:spacing w:line="240" w:lineRule="auto"/>
              <w:ind w:firstLine="0" w:firstLineChars="0"/>
              <w:rPr>
                <w:rFonts w:hint="default" w:ascii="Times New Roman" w:hAnsi="Times New Roman" w:cs="Times New Roman"/>
                <w:sz w:val="18"/>
                <w:szCs w:val="18"/>
                <w:lang w:eastAsia="zh-CN"/>
              </w:rPr>
            </w:pPr>
            <w:r>
              <w:rPr>
                <w:rFonts w:hint="default" w:ascii="Times New Roman" w:hAnsi="Times New Roman" w:cs="Times New Roman"/>
                <w:position w:val="1"/>
                <w:sz w:val="18"/>
                <w:szCs w:val="18"/>
                <w:lang w:eastAsia="zh-CN"/>
              </w:rPr>
              <w:t>对林分实施疏伐</w:t>
            </w:r>
            <w:r>
              <w:rPr>
                <w:rFonts w:hint="default" w:ascii="Times New Roman" w:hAnsi="Times New Roman" w:eastAsia="Times New Roman" w:cs="Times New Roman"/>
                <w:position w:val="1"/>
                <w:sz w:val="18"/>
                <w:szCs w:val="18"/>
                <w:lang w:eastAsia="zh-CN"/>
              </w:rPr>
              <w:t>1</w:t>
            </w:r>
            <w:r>
              <w:rPr>
                <w:rFonts w:hint="default" w:ascii="Times New Roman" w:hAnsi="Times New Roman" w:cs="Times New Roman"/>
                <w:position w:val="1"/>
                <w:sz w:val="18"/>
                <w:szCs w:val="18"/>
                <w:lang w:eastAsia="zh-CN"/>
              </w:rPr>
              <w:t>次，伐后保留林分密度</w:t>
            </w:r>
            <w:r>
              <w:rPr>
                <w:rFonts w:hint="default" w:ascii="Times New Roman" w:hAnsi="Times New Roman" w:eastAsia="Times New Roman" w:cs="Times New Roman"/>
                <w:position w:val="1"/>
                <w:sz w:val="18"/>
                <w:szCs w:val="18"/>
                <w:lang w:eastAsia="zh-CN"/>
              </w:rPr>
              <w:t>600-900</w:t>
            </w:r>
            <w:r>
              <w:rPr>
                <w:rFonts w:hint="default" w:ascii="Times New Roman" w:hAnsi="Times New Roman" w:cs="Times New Roman"/>
                <w:position w:val="1"/>
                <w:sz w:val="18"/>
                <w:szCs w:val="18"/>
                <w:lang w:eastAsia="zh-CN"/>
              </w:rPr>
              <w:t>株</w:t>
            </w:r>
            <w:r>
              <w:rPr>
                <w:rFonts w:hint="default" w:ascii="Times New Roman" w:hAnsi="Times New Roman" w:eastAsia="Times New Roman" w:cs="Times New Roman"/>
                <w:position w:val="1"/>
                <w:sz w:val="18"/>
                <w:szCs w:val="18"/>
                <w:lang w:eastAsia="zh-CN"/>
              </w:rPr>
              <w:t>/</w:t>
            </w:r>
            <w:r>
              <w:rPr>
                <w:rFonts w:hint="default" w:ascii="Times New Roman" w:hAnsi="Times New Roman" w:cs="Times New Roman"/>
                <w:spacing w:val="-4"/>
                <w:sz w:val="18"/>
                <w:szCs w:val="18"/>
                <w:lang w:eastAsia="zh-CN"/>
              </w:rPr>
              <w:t xml:space="preserve"> hm</w:t>
            </w:r>
            <w:r>
              <w:rPr>
                <w:rFonts w:hint="default" w:ascii="Times New Roman" w:hAnsi="Times New Roman" w:cs="Times New Roman"/>
                <w:spacing w:val="-4"/>
                <w:sz w:val="18"/>
                <w:szCs w:val="18"/>
                <w:vertAlign w:val="superscript"/>
                <w:lang w:eastAsia="zh-CN"/>
              </w:rPr>
              <w:t>2</w:t>
            </w:r>
            <w:r>
              <w:rPr>
                <w:rFonts w:hint="default" w:ascii="Times New Roman" w:hAnsi="Times New Roman" w:cs="Times New Roman"/>
                <w:position w:val="1"/>
                <w:sz w:val="18"/>
                <w:szCs w:val="18"/>
                <w:lang w:eastAsia="zh-CN"/>
              </w:rPr>
              <w:t>(目标树</w:t>
            </w:r>
            <w:r>
              <w:rPr>
                <w:rFonts w:hint="default" w:ascii="Times New Roman" w:hAnsi="Times New Roman" w:eastAsia="Times New Roman" w:cs="Times New Roman"/>
                <w:position w:val="1"/>
                <w:sz w:val="18"/>
                <w:szCs w:val="18"/>
                <w:lang w:eastAsia="zh-CN"/>
              </w:rPr>
              <w:t>220-250</w:t>
            </w:r>
            <w:r>
              <w:rPr>
                <w:rFonts w:hint="default" w:ascii="Times New Roman" w:hAnsi="Times New Roman" w:cs="Times New Roman"/>
                <w:position w:val="1"/>
                <w:sz w:val="18"/>
                <w:szCs w:val="18"/>
                <w:lang w:eastAsia="zh-CN"/>
              </w:rPr>
              <w:t>株</w:t>
            </w:r>
            <w:r>
              <w:rPr>
                <w:rFonts w:hint="default" w:ascii="Times New Roman" w:hAnsi="Times New Roman" w:eastAsia="Times New Roman" w:cs="Times New Roman"/>
                <w:position w:val="1"/>
                <w:sz w:val="18"/>
                <w:szCs w:val="18"/>
                <w:lang w:eastAsia="zh-CN"/>
              </w:rPr>
              <w:t>/</w:t>
            </w:r>
            <w:r>
              <w:rPr>
                <w:rFonts w:hint="default" w:ascii="Times New Roman" w:hAnsi="Times New Roman" w:cs="Times New Roman"/>
                <w:spacing w:val="-4"/>
                <w:sz w:val="18"/>
                <w:szCs w:val="18"/>
                <w:lang w:eastAsia="zh-CN"/>
              </w:rPr>
              <w:t xml:space="preserve"> hm</w:t>
            </w:r>
            <w:r>
              <w:rPr>
                <w:rFonts w:hint="default" w:ascii="Times New Roman" w:hAnsi="Times New Roman" w:cs="Times New Roman"/>
                <w:spacing w:val="-4"/>
                <w:sz w:val="18"/>
                <w:szCs w:val="18"/>
                <w:vertAlign w:val="superscript"/>
                <w:lang w:eastAsia="zh-CN"/>
              </w:rPr>
              <w:t>2</w:t>
            </w:r>
            <w:r>
              <w:rPr>
                <w:rFonts w:hint="default" w:ascii="Times New Roman" w:hAnsi="Times New Roman" w:cs="Times New Roman"/>
                <w:position w:val="1"/>
                <w:sz w:val="18"/>
                <w:szCs w:val="18"/>
                <w:lang w:eastAsia="zh-CN"/>
              </w:rPr>
              <w:t>)。</w:t>
            </w:r>
          </w:p>
        </w:tc>
      </w:tr>
      <w:tr w14:paraId="05FB3A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jc w:val="center"/>
        </w:trPr>
        <w:tc>
          <w:tcPr>
            <w:tcW w:w="377" w:type="pct"/>
            <w:vMerge w:val="continue"/>
            <w:tcBorders>
              <w:top w:val="nil"/>
              <w:bottom w:val="nil"/>
              <w:right w:val="single" w:color="auto" w:sz="4" w:space="0"/>
            </w:tcBorders>
            <w:vAlign w:val="center"/>
          </w:tcPr>
          <w:p w14:paraId="71305F4F">
            <w:pPr>
              <w:spacing w:line="240" w:lineRule="auto"/>
              <w:ind w:firstLine="0" w:firstLineChars="0"/>
              <w:jc w:val="center"/>
              <w:rPr>
                <w:rFonts w:hint="default" w:ascii="Times New Roman" w:hAnsi="Times New Roman" w:cs="Times New Roman"/>
                <w:lang w:eastAsia="zh-CN"/>
              </w:rPr>
            </w:pPr>
          </w:p>
        </w:tc>
        <w:tc>
          <w:tcPr>
            <w:tcW w:w="269" w:type="pct"/>
            <w:vMerge w:val="continue"/>
            <w:tcBorders>
              <w:top w:val="single" w:color="auto" w:sz="4" w:space="0"/>
              <w:left w:val="single" w:color="auto" w:sz="4" w:space="0"/>
              <w:bottom w:val="single" w:color="auto" w:sz="4" w:space="0"/>
              <w:right w:val="single" w:color="auto" w:sz="4" w:space="0"/>
            </w:tcBorders>
            <w:vAlign w:val="center"/>
          </w:tcPr>
          <w:p w14:paraId="67C54DB0">
            <w:pPr>
              <w:spacing w:line="240" w:lineRule="auto"/>
              <w:ind w:firstLine="0" w:firstLineChars="0"/>
              <w:jc w:val="center"/>
              <w:rPr>
                <w:rFonts w:hint="default" w:ascii="Times New Roman" w:hAnsi="Times New Roman" w:cs="Times New Roman"/>
                <w:lang w:eastAsia="zh-CN"/>
              </w:rPr>
            </w:pPr>
          </w:p>
        </w:tc>
        <w:tc>
          <w:tcPr>
            <w:tcW w:w="596" w:type="pct"/>
            <w:tcBorders>
              <w:left w:val="single" w:color="auto" w:sz="4" w:space="0"/>
            </w:tcBorders>
            <w:vAlign w:val="center"/>
          </w:tcPr>
          <w:p w14:paraId="174239AC">
            <w:pPr>
              <w:spacing w:line="240" w:lineRule="auto"/>
              <w:ind w:firstLine="0" w:firstLineChars="0"/>
              <w:jc w:val="center"/>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目标树生长和林分蓄积生长阶段</w:t>
            </w:r>
          </w:p>
        </w:tc>
        <w:tc>
          <w:tcPr>
            <w:tcW w:w="208" w:type="pct"/>
            <w:vAlign w:val="center"/>
          </w:tcPr>
          <w:p w14:paraId="62AB4211">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eastAsia="Times New Roman" w:cs="Times New Roman"/>
                <w:sz w:val="18"/>
                <w:szCs w:val="18"/>
              </w:rPr>
              <w:t>26-35</w:t>
            </w:r>
            <w:r>
              <w:rPr>
                <w:rFonts w:hint="default" w:ascii="Times New Roman" w:hAnsi="Times New Roman" w:cs="Times New Roman"/>
                <w:sz w:val="18"/>
                <w:szCs w:val="18"/>
              </w:rPr>
              <w:t>年</w:t>
            </w:r>
          </w:p>
        </w:tc>
        <w:tc>
          <w:tcPr>
            <w:tcW w:w="605" w:type="pct"/>
            <w:vAlign w:val="center"/>
          </w:tcPr>
          <w:p w14:paraId="5F12640F">
            <w:pPr>
              <w:spacing w:line="240" w:lineRule="auto"/>
              <w:ind w:firstLine="0" w:firstLineChars="0"/>
              <w:jc w:val="center"/>
              <w:rPr>
                <w:rFonts w:hint="default" w:ascii="Times New Roman" w:hAnsi="Times New Roman" w:eastAsia="Times New Roman" w:cs="Times New Roman"/>
                <w:sz w:val="18"/>
                <w:szCs w:val="18"/>
              </w:rPr>
            </w:pPr>
            <w:r>
              <w:rPr>
                <w:rFonts w:hint="default" w:ascii="Times New Roman" w:hAnsi="Times New Roman" w:eastAsia="Times New Roman" w:cs="Times New Roman"/>
                <w:sz w:val="18"/>
                <w:szCs w:val="18"/>
              </w:rPr>
              <w:t>300-450</w:t>
            </w:r>
          </w:p>
        </w:tc>
        <w:tc>
          <w:tcPr>
            <w:tcW w:w="2944" w:type="pct"/>
            <w:vAlign w:val="center"/>
          </w:tcPr>
          <w:p w14:paraId="5F958424">
            <w:pPr>
              <w:spacing w:line="240" w:lineRule="auto"/>
              <w:ind w:firstLine="0" w:firstLineChars="0"/>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补植的光皮桦等下层林木进入高生长期，对上层杉木实施</w:t>
            </w:r>
            <w:r>
              <w:rPr>
                <w:rFonts w:hint="default" w:ascii="Times New Roman" w:hAnsi="Times New Roman" w:eastAsia="Times New Roman" w:cs="Times New Roman"/>
                <w:sz w:val="18"/>
                <w:szCs w:val="18"/>
                <w:lang w:eastAsia="zh-CN"/>
              </w:rPr>
              <w:t>1</w:t>
            </w:r>
            <w:r>
              <w:rPr>
                <w:rFonts w:hint="default" w:ascii="Times New Roman" w:hAnsi="Times New Roman" w:cs="Times New Roman"/>
                <w:sz w:val="18"/>
                <w:szCs w:val="18"/>
                <w:lang w:eastAsia="zh-CN"/>
              </w:rPr>
              <w:t>次生长伐，保留目标树密度</w:t>
            </w:r>
            <w:r>
              <w:rPr>
                <w:rFonts w:hint="default" w:ascii="Times New Roman" w:hAnsi="Times New Roman" w:eastAsia="Times New Roman" w:cs="Times New Roman"/>
                <w:sz w:val="18"/>
                <w:szCs w:val="18"/>
                <w:lang w:eastAsia="zh-CN"/>
              </w:rPr>
              <w:t>120-180</w:t>
            </w:r>
            <w:r>
              <w:rPr>
                <w:rFonts w:hint="default" w:ascii="Times New Roman" w:hAnsi="Times New Roman" w:cs="Times New Roman"/>
                <w:sz w:val="18"/>
                <w:szCs w:val="18"/>
                <w:lang w:eastAsia="zh-CN"/>
              </w:rPr>
              <w:t>株</w:t>
            </w:r>
            <w:r>
              <w:rPr>
                <w:rFonts w:hint="default" w:ascii="Times New Roman" w:hAnsi="Times New Roman" w:eastAsia="Times New Roman" w:cs="Times New Roman"/>
                <w:sz w:val="18"/>
                <w:szCs w:val="18"/>
                <w:lang w:eastAsia="zh-CN"/>
              </w:rPr>
              <w:t>/</w:t>
            </w:r>
            <w:r>
              <w:rPr>
                <w:rFonts w:hint="default" w:ascii="Times New Roman" w:hAnsi="Times New Roman" w:cs="Times New Roman"/>
                <w:spacing w:val="-4"/>
                <w:sz w:val="18"/>
                <w:szCs w:val="18"/>
                <w:lang w:eastAsia="zh-CN"/>
              </w:rPr>
              <w:t xml:space="preserve"> hm</w:t>
            </w:r>
            <w:r>
              <w:rPr>
                <w:rFonts w:hint="default" w:ascii="Times New Roman" w:hAnsi="Times New Roman" w:cs="Times New Roman"/>
                <w:spacing w:val="-4"/>
                <w:sz w:val="18"/>
                <w:szCs w:val="18"/>
                <w:vertAlign w:val="superscript"/>
                <w:lang w:eastAsia="zh-CN"/>
              </w:rPr>
              <w:t>2</w:t>
            </w:r>
            <w:r>
              <w:rPr>
                <w:rFonts w:hint="default" w:ascii="Times New Roman" w:hAnsi="Times New Roman" w:cs="Times New Roman"/>
                <w:sz w:val="18"/>
                <w:szCs w:val="18"/>
                <w:lang w:eastAsia="zh-CN"/>
              </w:rPr>
              <w:t>，修枝，调整林分结构，降低林木间竞争，使目标树具有自由树冠，促进其他保留木生长；对下层更新林木进行割灌除草、除藤等抚育措施，确保下层阔叶树正常生长。</w:t>
            </w:r>
          </w:p>
        </w:tc>
      </w:tr>
      <w:tr w14:paraId="08EC02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jc w:val="center"/>
        </w:trPr>
        <w:tc>
          <w:tcPr>
            <w:tcW w:w="377" w:type="pct"/>
            <w:vMerge w:val="continue"/>
            <w:tcBorders>
              <w:top w:val="nil"/>
              <w:bottom w:val="nil"/>
              <w:right w:val="single" w:color="auto" w:sz="4" w:space="0"/>
            </w:tcBorders>
            <w:vAlign w:val="center"/>
          </w:tcPr>
          <w:p w14:paraId="11F126A1">
            <w:pPr>
              <w:spacing w:line="240" w:lineRule="auto"/>
              <w:ind w:firstLine="0" w:firstLineChars="0"/>
              <w:jc w:val="center"/>
              <w:rPr>
                <w:rFonts w:hint="default" w:ascii="Times New Roman" w:hAnsi="Times New Roman" w:cs="Times New Roman"/>
                <w:lang w:eastAsia="zh-CN"/>
              </w:rPr>
            </w:pPr>
          </w:p>
        </w:tc>
        <w:tc>
          <w:tcPr>
            <w:tcW w:w="269" w:type="pct"/>
            <w:vMerge w:val="continue"/>
            <w:tcBorders>
              <w:top w:val="single" w:color="auto" w:sz="4" w:space="0"/>
              <w:left w:val="single" w:color="auto" w:sz="4" w:space="0"/>
              <w:bottom w:val="single" w:color="auto" w:sz="4" w:space="0"/>
              <w:right w:val="single" w:color="auto" w:sz="4" w:space="0"/>
            </w:tcBorders>
            <w:vAlign w:val="center"/>
          </w:tcPr>
          <w:p w14:paraId="6B63BBE3">
            <w:pPr>
              <w:spacing w:line="240" w:lineRule="auto"/>
              <w:ind w:firstLine="0" w:firstLineChars="0"/>
              <w:jc w:val="center"/>
              <w:rPr>
                <w:rFonts w:hint="default" w:ascii="Times New Roman" w:hAnsi="Times New Roman" w:cs="Times New Roman"/>
                <w:lang w:eastAsia="zh-CN"/>
              </w:rPr>
            </w:pPr>
          </w:p>
        </w:tc>
        <w:tc>
          <w:tcPr>
            <w:tcW w:w="596" w:type="pct"/>
            <w:tcBorders>
              <w:left w:val="single" w:color="auto" w:sz="4" w:space="0"/>
            </w:tcBorders>
            <w:vAlign w:val="center"/>
          </w:tcPr>
          <w:p w14:paraId="6C2BE5A7">
            <w:pPr>
              <w:spacing w:line="240" w:lineRule="auto"/>
              <w:ind w:firstLine="0" w:firstLineChars="0"/>
              <w:jc w:val="center"/>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林分处于收获、恒林阶段，林分蓄积继续生长阶段</w:t>
            </w:r>
          </w:p>
        </w:tc>
        <w:tc>
          <w:tcPr>
            <w:tcW w:w="208" w:type="pct"/>
            <w:vAlign w:val="center"/>
          </w:tcPr>
          <w:p w14:paraId="6B1630F9">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eastAsia="Times New Roman" w:cs="Times New Roman"/>
                <w:sz w:val="18"/>
                <w:szCs w:val="18"/>
              </w:rPr>
              <w:t>≥36</w:t>
            </w:r>
            <w:r>
              <w:rPr>
                <w:rFonts w:hint="default" w:ascii="Times New Roman" w:hAnsi="Times New Roman" w:cs="Times New Roman"/>
                <w:sz w:val="18"/>
                <w:szCs w:val="18"/>
              </w:rPr>
              <w:t>年</w:t>
            </w:r>
          </w:p>
        </w:tc>
        <w:tc>
          <w:tcPr>
            <w:tcW w:w="605" w:type="pct"/>
            <w:vAlign w:val="center"/>
          </w:tcPr>
          <w:p w14:paraId="4D61C3A8">
            <w:pPr>
              <w:spacing w:line="240" w:lineRule="auto"/>
              <w:ind w:firstLine="0" w:firstLineChars="0"/>
              <w:jc w:val="center"/>
              <w:rPr>
                <w:rFonts w:hint="default" w:ascii="Times New Roman" w:hAnsi="Times New Roman" w:eastAsia="Times New Roman" w:cs="Times New Roman"/>
                <w:sz w:val="18"/>
                <w:szCs w:val="18"/>
              </w:rPr>
            </w:pPr>
            <w:r>
              <w:rPr>
                <w:rFonts w:hint="default" w:ascii="Times New Roman" w:hAnsi="Times New Roman" w:eastAsia="Times New Roman" w:cs="Times New Roman"/>
                <w:sz w:val="18"/>
                <w:szCs w:val="18"/>
              </w:rPr>
              <w:t>200-300</w:t>
            </w:r>
          </w:p>
        </w:tc>
        <w:tc>
          <w:tcPr>
            <w:tcW w:w="2944" w:type="pct"/>
            <w:vAlign w:val="center"/>
          </w:tcPr>
          <w:p w14:paraId="3A9BDFF8">
            <w:pPr>
              <w:spacing w:line="240" w:lineRule="auto"/>
              <w:ind w:firstLine="0" w:firstLineChars="0"/>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对达到目标直径的大径级杉木实施小块状皆伐或群团状择伐，可辅助采取单株木择伐，逐渐采伐上层木。伐后及时进行林下更新，培育形成以杉木</w:t>
            </w:r>
            <w:r>
              <w:rPr>
                <w:rFonts w:hint="default" w:ascii="Times New Roman" w:hAnsi="Times New Roman" w:eastAsia="Times New Roman" w:cs="Times New Roman"/>
                <w:sz w:val="18"/>
                <w:szCs w:val="18"/>
                <w:lang w:eastAsia="zh-CN"/>
              </w:rPr>
              <w:t>-</w:t>
            </w:r>
            <w:r>
              <w:rPr>
                <w:rFonts w:hint="default" w:ascii="Times New Roman" w:hAnsi="Times New Roman" w:cs="Times New Roman"/>
                <w:sz w:val="18"/>
                <w:szCs w:val="18"/>
                <w:lang w:eastAsia="zh-CN"/>
              </w:rPr>
              <w:t>光皮桦异龄复层混交恒续林。</w:t>
            </w:r>
          </w:p>
        </w:tc>
      </w:tr>
      <w:tr w14:paraId="0C8B32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1" w:hRule="atLeast"/>
          <w:jc w:val="center"/>
        </w:trPr>
        <w:tc>
          <w:tcPr>
            <w:tcW w:w="377" w:type="pct"/>
            <w:vMerge w:val="continue"/>
            <w:tcBorders>
              <w:top w:val="nil"/>
              <w:right w:val="single" w:color="auto" w:sz="4" w:space="0"/>
            </w:tcBorders>
            <w:vAlign w:val="center"/>
          </w:tcPr>
          <w:p w14:paraId="6117F8E7">
            <w:pPr>
              <w:spacing w:line="240" w:lineRule="auto"/>
              <w:ind w:firstLine="0" w:firstLineChars="0"/>
              <w:jc w:val="center"/>
              <w:rPr>
                <w:rFonts w:hint="default" w:ascii="Times New Roman" w:hAnsi="Times New Roman" w:cs="Times New Roman"/>
                <w:lang w:eastAsia="zh-CN"/>
              </w:rPr>
            </w:pPr>
          </w:p>
        </w:tc>
        <w:tc>
          <w:tcPr>
            <w:tcW w:w="269" w:type="pct"/>
            <w:vMerge w:val="continue"/>
            <w:tcBorders>
              <w:top w:val="single" w:color="auto" w:sz="4" w:space="0"/>
              <w:left w:val="single" w:color="auto" w:sz="4" w:space="0"/>
              <w:bottom w:val="single" w:color="auto" w:sz="4" w:space="0"/>
              <w:right w:val="single" w:color="auto" w:sz="4" w:space="0"/>
            </w:tcBorders>
            <w:vAlign w:val="center"/>
          </w:tcPr>
          <w:p w14:paraId="6FB48EA1">
            <w:pPr>
              <w:spacing w:line="240" w:lineRule="auto"/>
              <w:ind w:firstLine="0" w:firstLineChars="0"/>
              <w:jc w:val="center"/>
              <w:rPr>
                <w:rFonts w:hint="default" w:ascii="Times New Roman" w:hAnsi="Times New Roman" w:cs="Times New Roman"/>
                <w:lang w:eastAsia="zh-CN"/>
              </w:rPr>
            </w:pPr>
          </w:p>
        </w:tc>
        <w:tc>
          <w:tcPr>
            <w:tcW w:w="596" w:type="pct"/>
            <w:tcBorders>
              <w:left w:val="single" w:color="auto" w:sz="4" w:space="0"/>
            </w:tcBorders>
            <w:vAlign w:val="center"/>
          </w:tcPr>
          <w:p w14:paraId="7CD0B916">
            <w:pPr>
              <w:spacing w:line="240" w:lineRule="auto"/>
              <w:ind w:firstLine="0" w:firstLineChars="0"/>
              <w:jc w:val="center"/>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人工造林后至郁闭成林前</w:t>
            </w:r>
          </w:p>
        </w:tc>
        <w:tc>
          <w:tcPr>
            <w:tcW w:w="208" w:type="pct"/>
            <w:vAlign w:val="center"/>
          </w:tcPr>
          <w:p w14:paraId="6E5971E8">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eastAsia="Times New Roman" w:cs="Times New Roman"/>
                <w:sz w:val="18"/>
                <w:szCs w:val="18"/>
              </w:rPr>
              <w:t>1-10</w:t>
            </w:r>
            <w:r>
              <w:rPr>
                <w:rFonts w:hint="default" w:ascii="Times New Roman" w:hAnsi="Times New Roman" w:cs="Times New Roman"/>
                <w:sz w:val="18"/>
                <w:szCs w:val="18"/>
              </w:rPr>
              <w:t>年</w:t>
            </w:r>
          </w:p>
        </w:tc>
        <w:tc>
          <w:tcPr>
            <w:tcW w:w="605" w:type="pct"/>
            <w:vAlign w:val="center"/>
          </w:tcPr>
          <w:p w14:paraId="7873C74A">
            <w:pPr>
              <w:spacing w:line="240" w:lineRule="auto"/>
              <w:ind w:firstLine="0" w:firstLineChars="0"/>
              <w:jc w:val="center"/>
              <w:rPr>
                <w:rFonts w:hint="default" w:ascii="Times New Roman" w:hAnsi="Times New Roman" w:eastAsia="Times New Roman" w:cs="Times New Roman"/>
                <w:sz w:val="18"/>
                <w:szCs w:val="18"/>
              </w:rPr>
            </w:pPr>
            <w:r>
              <w:rPr>
                <w:rFonts w:hint="default" w:ascii="Times New Roman" w:hAnsi="Times New Roman" w:eastAsia="Times New Roman" w:cs="Times New Roman"/>
                <w:sz w:val="18"/>
                <w:szCs w:val="18"/>
              </w:rPr>
              <w:t>1600-2000</w:t>
            </w:r>
          </w:p>
        </w:tc>
        <w:tc>
          <w:tcPr>
            <w:tcW w:w="2944" w:type="pct"/>
            <w:vAlign w:val="center"/>
          </w:tcPr>
          <w:p w14:paraId="0CB16563">
            <w:pPr>
              <w:spacing w:line="240" w:lineRule="auto"/>
              <w:ind w:firstLine="0" w:firstLineChars="0"/>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马尾松人工栽培，培育大径材的造林密度应控制在</w:t>
            </w:r>
            <w:r>
              <w:rPr>
                <w:rFonts w:hint="default" w:ascii="Times New Roman" w:hAnsi="Times New Roman" w:eastAsia="Times New Roman" w:cs="Times New Roman"/>
                <w:sz w:val="18"/>
                <w:szCs w:val="18"/>
                <w:lang w:eastAsia="zh-CN"/>
              </w:rPr>
              <w:t>1600-2000</w:t>
            </w:r>
            <w:r>
              <w:rPr>
                <w:rFonts w:hint="default" w:ascii="Times New Roman" w:hAnsi="Times New Roman" w:cs="Times New Roman"/>
                <w:sz w:val="18"/>
                <w:szCs w:val="18"/>
                <w:lang w:eastAsia="zh-CN"/>
              </w:rPr>
              <w:t>株</w:t>
            </w:r>
            <w:r>
              <w:rPr>
                <w:rFonts w:hint="default" w:ascii="Times New Roman" w:hAnsi="Times New Roman" w:eastAsia="Times New Roman" w:cs="Times New Roman"/>
                <w:sz w:val="18"/>
                <w:szCs w:val="18"/>
                <w:lang w:eastAsia="zh-CN"/>
              </w:rPr>
              <w:t>/</w:t>
            </w:r>
            <w:r>
              <w:rPr>
                <w:rFonts w:hint="default" w:ascii="Times New Roman" w:hAnsi="Times New Roman" w:cs="Times New Roman"/>
                <w:spacing w:val="-4"/>
                <w:sz w:val="18"/>
                <w:szCs w:val="18"/>
                <w:lang w:eastAsia="zh-CN"/>
              </w:rPr>
              <w:t xml:space="preserve"> hm</w:t>
            </w:r>
            <w:r>
              <w:rPr>
                <w:rFonts w:hint="default" w:ascii="Times New Roman" w:hAnsi="Times New Roman" w:cs="Times New Roman"/>
                <w:spacing w:val="-4"/>
                <w:sz w:val="18"/>
                <w:szCs w:val="18"/>
                <w:vertAlign w:val="superscript"/>
                <w:lang w:eastAsia="zh-CN"/>
              </w:rPr>
              <w:t>2</w:t>
            </w:r>
            <w:r>
              <w:rPr>
                <w:rFonts w:hint="default" w:ascii="Times New Roman" w:hAnsi="Times New Roman" w:cs="Times New Roman"/>
                <w:sz w:val="18"/>
                <w:szCs w:val="18"/>
                <w:lang w:eastAsia="zh-CN"/>
              </w:rPr>
              <w:t>。造林后前</w:t>
            </w:r>
            <w:r>
              <w:rPr>
                <w:rFonts w:hint="default" w:ascii="Times New Roman" w:hAnsi="Times New Roman" w:eastAsia="Times New Roman" w:cs="Times New Roman"/>
                <w:sz w:val="18"/>
                <w:szCs w:val="18"/>
                <w:lang w:eastAsia="zh-CN"/>
              </w:rPr>
              <w:t>3</w:t>
            </w:r>
            <w:r>
              <w:rPr>
                <w:rFonts w:hint="default" w:ascii="Times New Roman" w:hAnsi="Times New Roman" w:cs="Times New Roman"/>
                <w:sz w:val="18"/>
                <w:szCs w:val="18"/>
                <w:lang w:eastAsia="zh-CN"/>
              </w:rPr>
              <w:t>年进行除萌、除草、松土、培蔸等抚育工作，每年的</w:t>
            </w:r>
            <w:r>
              <w:rPr>
                <w:rFonts w:hint="default" w:ascii="Times New Roman" w:hAnsi="Times New Roman" w:eastAsia="Times New Roman" w:cs="Times New Roman"/>
                <w:sz w:val="18"/>
                <w:szCs w:val="18"/>
                <w:lang w:eastAsia="zh-CN"/>
              </w:rPr>
              <w:t>4-5</w:t>
            </w:r>
            <w:r>
              <w:rPr>
                <w:rFonts w:hint="default" w:ascii="Times New Roman" w:hAnsi="Times New Roman" w:cs="Times New Roman"/>
                <w:sz w:val="18"/>
                <w:szCs w:val="18"/>
                <w:lang w:eastAsia="zh-CN"/>
              </w:rPr>
              <w:t>月和</w:t>
            </w:r>
            <w:r>
              <w:rPr>
                <w:rFonts w:hint="default" w:ascii="Times New Roman" w:hAnsi="Times New Roman" w:eastAsia="Times New Roman" w:cs="Times New Roman"/>
                <w:sz w:val="18"/>
                <w:szCs w:val="18"/>
                <w:lang w:eastAsia="zh-CN"/>
              </w:rPr>
              <w:t>8-9</w:t>
            </w:r>
            <w:r>
              <w:rPr>
                <w:rFonts w:hint="default" w:ascii="Times New Roman" w:hAnsi="Times New Roman" w:cs="Times New Roman"/>
                <w:sz w:val="18"/>
                <w:szCs w:val="18"/>
                <w:lang w:eastAsia="zh-CN"/>
              </w:rPr>
              <w:t>月共</w:t>
            </w:r>
            <w:r>
              <w:rPr>
                <w:rFonts w:hint="default" w:ascii="Times New Roman" w:hAnsi="Times New Roman" w:eastAsia="Times New Roman" w:cs="Times New Roman"/>
                <w:sz w:val="18"/>
                <w:szCs w:val="18"/>
                <w:lang w:eastAsia="zh-CN"/>
              </w:rPr>
              <w:t>2</w:t>
            </w:r>
            <w:r>
              <w:rPr>
                <w:rFonts w:hint="default" w:ascii="Times New Roman" w:hAnsi="Times New Roman" w:cs="Times New Roman"/>
                <w:sz w:val="18"/>
                <w:szCs w:val="18"/>
                <w:lang w:eastAsia="zh-CN"/>
              </w:rPr>
              <w:t>次。造林后</w:t>
            </w:r>
            <w:r>
              <w:rPr>
                <w:rFonts w:hint="default" w:ascii="Times New Roman" w:hAnsi="Times New Roman" w:eastAsia="Times New Roman" w:cs="Times New Roman"/>
                <w:sz w:val="18"/>
                <w:szCs w:val="18"/>
                <w:lang w:eastAsia="zh-CN"/>
              </w:rPr>
              <w:t>7-9</w:t>
            </w:r>
            <w:r>
              <w:rPr>
                <w:rFonts w:hint="default" w:ascii="Times New Roman" w:hAnsi="Times New Roman" w:cs="Times New Roman"/>
                <w:sz w:val="18"/>
                <w:szCs w:val="18"/>
                <w:lang w:eastAsia="zh-CN"/>
              </w:rPr>
              <w:t>年，可进行</w:t>
            </w:r>
            <w:r>
              <w:rPr>
                <w:rFonts w:hint="default" w:ascii="Times New Roman" w:hAnsi="Times New Roman" w:eastAsia="Times New Roman" w:cs="Times New Roman"/>
                <w:sz w:val="18"/>
                <w:szCs w:val="18"/>
                <w:lang w:eastAsia="zh-CN"/>
              </w:rPr>
              <w:t>1</w:t>
            </w:r>
            <w:r>
              <w:rPr>
                <w:rFonts w:hint="default" w:ascii="Times New Roman" w:hAnsi="Times New Roman" w:cs="Times New Roman"/>
                <w:sz w:val="18"/>
                <w:szCs w:val="18"/>
                <w:lang w:eastAsia="zh-CN"/>
              </w:rPr>
              <w:t>次抚育间伐，割除影响马尾松生长的非目的树种和灌木、藤本，去除枯死枝及濒死枝。未达到低保留株数密度的进行补植。</w:t>
            </w:r>
          </w:p>
        </w:tc>
      </w:tr>
      <w:tr w14:paraId="530930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jc w:val="center"/>
        </w:trPr>
        <w:tc>
          <w:tcPr>
            <w:tcW w:w="377" w:type="pct"/>
            <w:vMerge w:val="restart"/>
            <w:vAlign w:val="center"/>
          </w:tcPr>
          <w:p w14:paraId="530BE135">
            <w:pPr>
              <w:spacing w:line="240" w:lineRule="auto"/>
              <w:ind w:firstLine="0" w:firstLineChars="0"/>
              <w:jc w:val="center"/>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3</w:t>
            </w:r>
          </w:p>
        </w:tc>
        <w:tc>
          <w:tcPr>
            <w:tcW w:w="269" w:type="pct"/>
            <w:vMerge w:val="restart"/>
            <w:tcBorders>
              <w:top w:val="single" w:color="auto" w:sz="4" w:space="0"/>
            </w:tcBorders>
            <w:vAlign w:val="center"/>
          </w:tcPr>
          <w:p w14:paraId="09CB88D9">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pacing w:val="-2"/>
                <w:sz w:val="18"/>
                <w:szCs w:val="18"/>
              </w:rPr>
              <w:t>竹林保护经</w:t>
            </w:r>
            <w:r>
              <w:rPr>
                <w:rFonts w:hint="default" w:ascii="Times New Roman" w:hAnsi="Times New Roman" w:cs="Times New Roman"/>
                <w:spacing w:val="-4"/>
                <w:sz w:val="18"/>
                <w:szCs w:val="18"/>
              </w:rPr>
              <w:t>营型</w:t>
            </w:r>
          </w:p>
        </w:tc>
        <w:tc>
          <w:tcPr>
            <w:tcW w:w="596" w:type="pct"/>
            <w:vAlign w:val="center"/>
          </w:tcPr>
          <w:p w14:paraId="604D9118">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pacing w:val="-2"/>
                <w:sz w:val="18"/>
                <w:szCs w:val="18"/>
              </w:rPr>
              <w:t>初产期</w:t>
            </w:r>
          </w:p>
        </w:tc>
        <w:tc>
          <w:tcPr>
            <w:tcW w:w="208" w:type="pct"/>
            <w:vAlign w:val="center"/>
          </w:tcPr>
          <w:p w14:paraId="1AC442A0">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eastAsia="Times New Roman" w:cs="Times New Roman"/>
                <w:spacing w:val="-1"/>
                <w:sz w:val="18"/>
                <w:szCs w:val="18"/>
              </w:rPr>
              <w:t>4-7</w:t>
            </w:r>
            <w:r>
              <w:rPr>
                <w:rFonts w:hint="default" w:ascii="Times New Roman" w:hAnsi="Times New Roman" w:cs="Times New Roman"/>
                <w:spacing w:val="-1"/>
                <w:sz w:val="18"/>
                <w:szCs w:val="18"/>
              </w:rPr>
              <w:t>年</w:t>
            </w:r>
          </w:p>
        </w:tc>
        <w:tc>
          <w:tcPr>
            <w:tcW w:w="605" w:type="pct"/>
            <w:vAlign w:val="center"/>
          </w:tcPr>
          <w:p w14:paraId="763CC618">
            <w:pPr>
              <w:spacing w:line="240" w:lineRule="auto"/>
              <w:ind w:firstLine="0" w:firstLineChars="0"/>
              <w:jc w:val="center"/>
              <w:rPr>
                <w:rFonts w:hint="default" w:ascii="Times New Roman" w:hAnsi="Times New Roman" w:eastAsia="Times New Roman" w:cs="Times New Roman"/>
                <w:sz w:val="18"/>
                <w:szCs w:val="18"/>
              </w:rPr>
            </w:pPr>
            <w:r>
              <w:rPr>
                <w:rFonts w:hint="default" w:ascii="Times New Roman" w:hAnsi="Times New Roman" w:eastAsia="Times New Roman" w:cs="Times New Roman"/>
                <w:spacing w:val="-5"/>
                <w:sz w:val="18"/>
                <w:szCs w:val="18"/>
              </w:rPr>
              <w:t>1110-1455</w:t>
            </w:r>
          </w:p>
        </w:tc>
        <w:tc>
          <w:tcPr>
            <w:tcW w:w="2944" w:type="pct"/>
            <w:vAlign w:val="center"/>
          </w:tcPr>
          <w:p w14:paraId="14887BFC">
            <w:pPr>
              <w:spacing w:line="240" w:lineRule="auto"/>
              <w:ind w:firstLine="0" w:firstLineChars="0"/>
              <w:rPr>
                <w:rFonts w:hint="default" w:ascii="Times New Roman" w:hAnsi="Times New Roman" w:cs="Times New Roman"/>
                <w:sz w:val="18"/>
                <w:szCs w:val="18"/>
                <w:lang w:eastAsia="zh-CN"/>
              </w:rPr>
            </w:pPr>
            <w:r>
              <w:rPr>
                <w:rFonts w:hint="default" w:ascii="Times New Roman" w:hAnsi="Times New Roman" w:cs="Times New Roman"/>
                <w:spacing w:val="-1"/>
                <w:sz w:val="18"/>
                <w:szCs w:val="18"/>
                <w:lang w:eastAsia="zh-CN"/>
              </w:rPr>
              <w:t>除草陪蔸、施肥、间种物管理、病虫害防。整形修剪、树体培育。密度调整。过密的疏伐，过稀的补植。</w:t>
            </w:r>
          </w:p>
        </w:tc>
      </w:tr>
      <w:tr w14:paraId="6D9A09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jc w:val="center"/>
        </w:trPr>
        <w:tc>
          <w:tcPr>
            <w:tcW w:w="377" w:type="pct"/>
            <w:vMerge w:val="continue"/>
            <w:vAlign w:val="center"/>
          </w:tcPr>
          <w:p w14:paraId="22913402">
            <w:pPr>
              <w:spacing w:line="240" w:lineRule="auto"/>
              <w:ind w:firstLine="0" w:firstLineChars="0"/>
              <w:jc w:val="center"/>
              <w:rPr>
                <w:rFonts w:hint="default" w:ascii="Times New Roman" w:hAnsi="Times New Roman" w:cs="Times New Roman"/>
                <w:lang w:eastAsia="zh-CN"/>
              </w:rPr>
            </w:pPr>
          </w:p>
        </w:tc>
        <w:tc>
          <w:tcPr>
            <w:tcW w:w="269" w:type="pct"/>
            <w:vMerge w:val="continue"/>
            <w:vAlign w:val="center"/>
          </w:tcPr>
          <w:p w14:paraId="3784EA7F">
            <w:pPr>
              <w:spacing w:line="240" w:lineRule="auto"/>
              <w:ind w:firstLine="0" w:firstLineChars="0"/>
              <w:jc w:val="center"/>
              <w:rPr>
                <w:rFonts w:hint="default" w:ascii="Times New Roman" w:hAnsi="Times New Roman" w:cs="Times New Roman"/>
                <w:lang w:eastAsia="zh-CN"/>
              </w:rPr>
            </w:pPr>
          </w:p>
        </w:tc>
        <w:tc>
          <w:tcPr>
            <w:tcW w:w="596" w:type="pct"/>
            <w:vAlign w:val="center"/>
          </w:tcPr>
          <w:p w14:paraId="0124E5B4">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pacing w:val="-2"/>
                <w:sz w:val="18"/>
                <w:szCs w:val="18"/>
              </w:rPr>
              <w:t>盛产期</w:t>
            </w:r>
          </w:p>
        </w:tc>
        <w:tc>
          <w:tcPr>
            <w:tcW w:w="208" w:type="pct"/>
            <w:vAlign w:val="center"/>
          </w:tcPr>
          <w:p w14:paraId="7F8CDC84">
            <w:pPr>
              <w:spacing w:line="240" w:lineRule="auto"/>
              <w:ind w:firstLine="0" w:firstLineChars="0"/>
              <w:rPr>
                <w:rFonts w:hint="default" w:ascii="Times New Roman" w:hAnsi="Times New Roman" w:cs="Times New Roman"/>
                <w:sz w:val="18"/>
                <w:szCs w:val="18"/>
              </w:rPr>
            </w:pPr>
            <w:r>
              <w:rPr>
                <w:rFonts w:hint="default" w:ascii="Times New Roman" w:hAnsi="Times New Roman" w:eastAsia="Times New Roman" w:cs="Times New Roman"/>
                <w:spacing w:val="-2"/>
                <w:sz w:val="18"/>
                <w:szCs w:val="18"/>
              </w:rPr>
              <w:t>7-60</w:t>
            </w:r>
            <w:r>
              <w:rPr>
                <w:rFonts w:hint="default" w:ascii="Times New Roman" w:hAnsi="Times New Roman" w:cs="Times New Roman"/>
                <w:spacing w:val="-2"/>
                <w:sz w:val="18"/>
                <w:szCs w:val="18"/>
              </w:rPr>
              <w:t>年</w:t>
            </w:r>
          </w:p>
        </w:tc>
        <w:tc>
          <w:tcPr>
            <w:tcW w:w="605" w:type="pct"/>
            <w:vAlign w:val="center"/>
          </w:tcPr>
          <w:p w14:paraId="59F4A1A6">
            <w:pPr>
              <w:spacing w:line="240" w:lineRule="auto"/>
              <w:ind w:firstLine="0" w:firstLineChars="0"/>
              <w:jc w:val="center"/>
              <w:rPr>
                <w:rFonts w:hint="default" w:ascii="Times New Roman" w:hAnsi="Times New Roman" w:eastAsia="Times New Roman" w:cs="Times New Roman"/>
                <w:sz w:val="18"/>
                <w:szCs w:val="18"/>
              </w:rPr>
            </w:pPr>
            <w:r>
              <w:rPr>
                <w:rFonts w:hint="default" w:ascii="Times New Roman" w:hAnsi="Times New Roman" w:eastAsia="Times New Roman" w:cs="Times New Roman"/>
                <w:spacing w:val="-5"/>
                <w:sz w:val="18"/>
                <w:szCs w:val="18"/>
              </w:rPr>
              <w:t>1110-1455</w:t>
            </w:r>
          </w:p>
        </w:tc>
        <w:tc>
          <w:tcPr>
            <w:tcW w:w="2944" w:type="pct"/>
            <w:vAlign w:val="center"/>
          </w:tcPr>
          <w:p w14:paraId="18EA3FB0">
            <w:pPr>
              <w:spacing w:line="240" w:lineRule="auto"/>
              <w:ind w:firstLine="0" w:firstLineChars="0"/>
              <w:rPr>
                <w:rFonts w:hint="default" w:ascii="Times New Roman" w:hAnsi="Times New Roman" w:cs="Times New Roman"/>
                <w:sz w:val="18"/>
                <w:szCs w:val="18"/>
                <w:lang w:eastAsia="zh-CN"/>
              </w:rPr>
            </w:pPr>
            <w:r>
              <w:rPr>
                <w:rFonts w:hint="default" w:ascii="Times New Roman" w:hAnsi="Times New Roman" w:cs="Times New Roman"/>
                <w:spacing w:val="-2"/>
                <w:sz w:val="18"/>
                <w:szCs w:val="18"/>
                <w:lang w:eastAsia="zh-CN"/>
              </w:rPr>
              <w:t>加强林分管理，培育优良品种，清除由于病变或灾害造成的质量低下的经济树，维护经济林的健康。垦复。每年</w:t>
            </w:r>
            <w:r>
              <w:rPr>
                <w:rFonts w:hint="default" w:ascii="Times New Roman" w:hAnsi="Times New Roman" w:cs="Times New Roman"/>
                <w:spacing w:val="-7"/>
                <w:sz w:val="18"/>
                <w:szCs w:val="18"/>
                <w:lang w:eastAsia="zh-CN"/>
              </w:rPr>
              <w:t>浅锄</w:t>
            </w:r>
            <w:r>
              <w:rPr>
                <w:rFonts w:hint="default" w:ascii="Times New Roman" w:hAnsi="Times New Roman" w:eastAsia="Times New Roman" w:cs="Times New Roman"/>
                <w:spacing w:val="-7"/>
                <w:sz w:val="18"/>
                <w:szCs w:val="18"/>
                <w:lang w:eastAsia="zh-CN"/>
              </w:rPr>
              <w:t>1</w:t>
            </w:r>
            <w:r>
              <w:rPr>
                <w:rFonts w:hint="default" w:ascii="Times New Roman" w:hAnsi="Times New Roman" w:cs="Times New Roman"/>
                <w:spacing w:val="-7"/>
                <w:sz w:val="18"/>
                <w:szCs w:val="18"/>
                <w:lang w:eastAsia="zh-CN"/>
              </w:rPr>
              <w:t>次，</w:t>
            </w:r>
            <w:r>
              <w:rPr>
                <w:rFonts w:hint="default" w:ascii="Times New Roman" w:hAnsi="Times New Roman" w:eastAsia="Times New Roman" w:cs="Times New Roman"/>
                <w:spacing w:val="-7"/>
                <w:sz w:val="18"/>
                <w:szCs w:val="18"/>
                <w:lang w:eastAsia="zh-CN"/>
              </w:rPr>
              <w:t>3</w:t>
            </w:r>
            <w:r>
              <w:rPr>
                <w:rFonts w:hint="default" w:ascii="Times New Roman" w:hAnsi="Times New Roman" w:cs="Times New Roman"/>
                <w:spacing w:val="-7"/>
                <w:sz w:val="18"/>
                <w:szCs w:val="18"/>
                <w:lang w:eastAsia="zh-CN"/>
              </w:rPr>
              <w:t>年深挖</w:t>
            </w:r>
            <w:r>
              <w:rPr>
                <w:rFonts w:hint="default" w:ascii="Times New Roman" w:hAnsi="Times New Roman" w:eastAsia="Times New Roman" w:cs="Times New Roman"/>
                <w:spacing w:val="-7"/>
                <w:sz w:val="18"/>
                <w:szCs w:val="18"/>
                <w:lang w:eastAsia="zh-CN"/>
              </w:rPr>
              <w:t>1</w:t>
            </w:r>
            <w:r>
              <w:rPr>
                <w:rFonts w:hint="default" w:ascii="Times New Roman" w:hAnsi="Times New Roman" w:cs="Times New Roman"/>
                <w:spacing w:val="-7"/>
                <w:sz w:val="18"/>
                <w:szCs w:val="18"/>
                <w:lang w:eastAsia="zh-CN"/>
              </w:rPr>
              <w:t>次。施肥、病虫害防治。修枝整形。剪除枯枝、病虫枝、交叉枝、细弱内膛枝</w:t>
            </w:r>
            <w:r>
              <w:rPr>
                <w:rFonts w:hint="default" w:ascii="Times New Roman" w:hAnsi="Times New Roman" w:cs="Times New Roman"/>
                <w:spacing w:val="-8"/>
                <w:sz w:val="18"/>
                <w:szCs w:val="18"/>
                <w:lang w:eastAsia="zh-CN"/>
              </w:rPr>
              <w:t>、脚</w:t>
            </w:r>
            <w:r>
              <w:rPr>
                <w:rFonts w:hint="default" w:ascii="Times New Roman" w:hAnsi="Times New Roman" w:cs="Times New Roman"/>
                <w:spacing w:val="-15"/>
                <w:sz w:val="18"/>
                <w:szCs w:val="18"/>
                <w:lang w:eastAsia="zh-CN"/>
              </w:rPr>
              <w:t>枝、徒长枝等。采收。</w:t>
            </w:r>
          </w:p>
        </w:tc>
      </w:tr>
      <w:tr w14:paraId="071EA2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jc w:val="center"/>
        </w:trPr>
        <w:tc>
          <w:tcPr>
            <w:tcW w:w="377" w:type="pct"/>
            <w:vMerge w:val="continue"/>
            <w:vAlign w:val="center"/>
          </w:tcPr>
          <w:p w14:paraId="49665176">
            <w:pPr>
              <w:spacing w:line="240" w:lineRule="auto"/>
              <w:ind w:firstLine="0" w:firstLineChars="0"/>
              <w:jc w:val="center"/>
              <w:rPr>
                <w:rFonts w:hint="default" w:ascii="Times New Roman" w:hAnsi="Times New Roman" w:cs="Times New Roman"/>
                <w:lang w:eastAsia="zh-CN"/>
              </w:rPr>
            </w:pPr>
          </w:p>
        </w:tc>
        <w:tc>
          <w:tcPr>
            <w:tcW w:w="269" w:type="pct"/>
            <w:vMerge w:val="continue"/>
            <w:vAlign w:val="center"/>
          </w:tcPr>
          <w:p w14:paraId="754FEE83">
            <w:pPr>
              <w:spacing w:line="240" w:lineRule="auto"/>
              <w:ind w:firstLine="0" w:firstLineChars="0"/>
              <w:jc w:val="center"/>
              <w:rPr>
                <w:rFonts w:hint="default" w:ascii="Times New Roman" w:hAnsi="Times New Roman" w:cs="Times New Roman"/>
                <w:lang w:eastAsia="zh-CN"/>
              </w:rPr>
            </w:pPr>
          </w:p>
        </w:tc>
        <w:tc>
          <w:tcPr>
            <w:tcW w:w="596" w:type="pct"/>
            <w:vAlign w:val="center"/>
          </w:tcPr>
          <w:p w14:paraId="167DFED8">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pacing w:val="-2"/>
                <w:sz w:val="18"/>
                <w:szCs w:val="18"/>
              </w:rPr>
              <w:t>衰产期</w:t>
            </w:r>
          </w:p>
        </w:tc>
        <w:tc>
          <w:tcPr>
            <w:tcW w:w="208" w:type="pct"/>
            <w:vAlign w:val="center"/>
          </w:tcPr>
          <w:p w14:paraId="7AA663A1">
            <w:pPr>
              <w:spacing w:line="240" w:lineRule="auto"/>
              <w:ind w:firstLine="0" w:firstLineChars="0"/>
              <w:rPr>
                <w:rFonts w:hint="default" w:ascii="Times New Roman" w:hAnsi="Times New Roman" w:cs="Times New Roman"/>
                <w:sz w:val="18"/>
                <w:szCs w:val="18"/>
              </w:rPr>
            </w:pPr>
            <w:r>
              <w:rPr>
                <w:rFonts w:hint="default" w:ascii="Times New Roman" w:hAnsi="Times New Roman" w:eastAsia="Times New Roman" w:cs="Times New Roman"/>
                <w:spacing w:val="-1"/>
                <w:sz w:val="18"/>
                <w:szCs w:val="18"/>
              </w:rPr>
              <w:t>&gt;60</w:t>
            </w:r>
            <w:r>
              <w:rPr>
                <w:rFonts w:hint="default" w:ascii="Times New Roman" w:hAnsi="Times New Roman" w:cs="Times New Roman"/>
                <w:spacing w:val="-1"/>
                <w:sz w:val="18"/>
                <w:szCs w:val="18"/>
              </w:rPr>
              <w:t>年</w:t>
            </w:r>
          </w:p>
        </w:tc>
        <w:tc>
          <w:tcPr>
            <w:tcW w:w="605" w:type="pct"/>
            <w:vAlign w:val="center"/>
          </w:tcPr>
          <w:p w14:paraId="5C491C69">
            <w:pPr>
              <w:spacing w:line="240" w:lineRule="auto"/>
              <w:ind w:firstLine="0" w:firstLineChars="0"/>
              <w:jc w:val="center"/>
              <w:rPr>
                <w:rFonts w:hint="default" w:ascii="Times New Roman" w:hAnsi="Times New Roman" w:eastAsia="Times New Roman" w:cs="Times New Roman"/>
                <w:sz w:val="18"/>
                <w:szCs w:val="18"/>
              </w:rPr>
            </w:pPr>
            <w:r>
              <w:rPr>
                <w:rFonts w:hint="default" w:ascii="Times New Roman" w:hAnsi="Times New Roman" w:eastAsia="Times New Roman" w:cs="Times New Roman"/>
                <w:spacing w:val="-5"/>
                <w:sz w:val="18"/>
                <w:szCs w:val="18"/>
              </w:rPr>
              <w:t>1110-1455</w:t>
            </w:r>
          </w:p>
        </w:tc>
        <w:tc>
          <w:tcPr>
            <w:tcW w:w="2944" w:type="pct"/>
            <w:vAlign w:val="center"/>
          </w:tcPr>
          <w:p w14:paraId="7BD3CAF9">
            <w:pPr>
              <w:spacing w:line="240" w:lineRule="auto"/>
              <w:ind w:firstLine="0" w:firstLineChars="0"/>
              <w:rPr>
                <w:rFonts w:hint="default" w:ascii="Times New Roman" w:hAnsi="Times New Roman" w:cs="Times New Roman"/>
                <w:sz w:val="18"/>
                <w:szCs w:val="18"/>
                <w:lang w:eastAsia="zh-CN"/>
              </w:rPr>
            </w:pPr>
            <w:r>
              <w:rPr>
                <w:rFonts w:hint="default" w:ascii="Times New Roman" w:hAnsi="Times New Roman" w:cs="Times New Roman"/>
                <w:spacing w:val="-5"/>
                <w:sz w:val="18"/>
                <w:szCs w:val="18"/>
                <w:lang w:eastAsia="zh-CN"/>
              </w:rPr>
              <w:t>植株结果开始衰退，进行品种(无性系)更新换代。</w:t>
            </w:r>
          </w:p>
        </w:tc>
      </w:tr>
      <w:tr w14:paraId="5381E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jc w:val="center"/>
        </w:trPr>
        <w:tc>
          <w:tcPr>
            <w:tcW w:w="377" w:type="pct"/>
            <w:vMerge w:val="continue"/>
            <w:vAlign w:val="center"/>
          </w:tcPr>
          <w:p w14:paraId="3D548AC3">
            <w:pPr>
              <w:spacing w:line="240" w:lineRule="auto"/>
              <w:ind w:firstLine="0" w:firstLineChars="0"/>
              <w:jc w:val="center"/>
              <w:rPr>
                <w:rFonts w:hint="default" w:ascii="Times New Roman" w:hAnsi="Times New Roman" w:cs="Times New Roman"/>
                <w:lang w:eastAsia="zh-CN"/>
              </w:rPr>
            </w:pPr>
          </w:p>
        </w:tc>
        <w:tc>
          <w:tcPr>
            <w:tcW w:w="269" w:type="pct"/>
            <w:vMerge w:val="continue"/>
            <w:vAlign w:val="center"/>
          </w:tcPr>
          <w:p w14:paraId="6F5C3D98">
            <w:pPr>
              <w:spacing w:line="240" w:lineRule="auto"/>
              <w:ind w:firstLine="0" w:firstLineChars="0"/>
              <w:jc w:val="center"/>
              <w:rPr>
                <w:rFonts w:hint="default" w:ascii="Times New Roman" w:hAnsi="Times New Roman" w:cs="Times New Roman"/>
                <w:lang w:eastAsia="zh-CN"/>
              </w:rPr>
            </w:pPr>
          </w:p>
        </w:tc>
        <w:tc>
          <w:tcPr>
            <w:tcW w:w="596" w:type="pct"/>
            <w:vAlign w:val="center"/>
          </w:tcPr>
          <w:p w14:paraId="40B3D97E">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pacing w:val="-2"/>
                <w:sz w:val="18"/>
                <w:szCs w:val="18"/>
              </w:rPr>
              <w:t>幼林期</w:t>
            </w:r>
          </w:p>
        </w:tc>
        <w:tc>
          <w:tcPr>
            <w:tcW w:w="208" w:type="pct"/>
            <w:vAlign w:val="center"/>
          </w:tcPr>
          <w:p w14:paraId="4EAB988E">
            <w:pPr>
              <w:spacing w:line="240" w:lineRule="auto"/>
              <w:ind w:firstLine="0" w:firstLineChars="0"/>
              <w:rPr>
                <w:rFonts w:hint="default" w:ascii="Times New Roman" w:hAnsi="Times New Roman" w:cs="Times New Roman"/>
                <w:sz w:val="18"/>
                <w:szCs w:val="18"/>
              </w:rPr>
            </w:pPr>
            <w:r>
              <w:rPr>
                <w:rFonts w:hint="default" w:ascii="Times New Roman" w:hAnsi="Times New Roman" w:eastAsia="Times New Roman" w:cs="Times New Roman"/>
                <w:spacing w:val="-5"/>
                <w:sz w:val="18"/>
                <w:szCs w:val="18"/>
              </w:rPr>
              <w:t>1-3</w:t>
            </w:r>
            <w:r>
              <w:rPr>
                <w:rFonts w:hint="default" w:ascii="Times New Roman" w:hAnsi="Times New Roman" w:cs="Times New Roman"/>
                <w:spacing w:val="-5"/>
                <w:sz w:val="18"/>
                <w:szCs w:val="18"/>
              </w:rPr>
              <w:t>年</w:t>
            </w:r>
          </w:p>
        </w:tc>
        <w:tc>
          <w:tcPr>
            <w:tcW w:w="605" w:type="pct"/>
            <w:vAlign w:val="center"/>
          </w:tcPr>
          <w:p w14:paraId="28085B00">
            <w:pPr>
              <w:spacing w:line="240" w:lineRule="auto"/>
              <w:ind w:firstLine="0" w:firstLineChars="0"/>
              <w:jc w:val="center"/>
              <w:rPr>
                <w:rFonts w:hint="default" w:ascii="Times New Roman" w:hAnsi="Times New Roman" w:eastAsia="Times New Roman" w:cs="Times New Roman"/>
                <w:sz w:val="18"/>
                <w:szCs w:val="18"/>
              </w:rPr>
            </w:pPr>
            <w:r>
              <w:rPr>
                <w:rFonts w:hint="default" w:ascii="Times New Roman" w:hAnsi="Times New Roman" w:eastAsia="Times New Roman" w:cs="Times New Roman"/>
                <w:spacing w:val="-1"/>
                <w:sz w:val="18"/>
                <w:szCs w:val="18"/>
              </w:rPr>
              <w:t>400-625</w:t>
            </w:r>
          </w:p>
        </w:tc>
        <w:tc>
          <w:tcPr>
            <w:tcW w:w="2944" w:type="pct"/>
            <w:vAlign w:val="center"/>
          </w:tcPr>
          <w:p w14:paraId="6397D98D">
            <w:pPr>
              <w:spacing w:line="240" w:lineRule="auto"/>
              <w:ind w:firstLine="0" w:firstLineChars="0"/>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选择健壮母竹移栽造林。造林前进行林地清理和整地挖穴。栽植时要保持和顺应竹鞭走向，使</w:t>
            </w:r>
            <w:r>
              <w:rPr>
                <w:rFonts w:hint="default" w:ascii="Times New Roman" w:hAnsi="Times New Roman" w:cs="Times New Roman"/>
                <w:spacing w:val="-1"/>
                <w:sz w:val="18"/>
                <w:szCs w:val="18"/>
                <w:lang w:eastAsia="zh-CN"/>
              </w:rPr>
              <w:t>鞭根自然舒展，竹</w:t>
            </w:r>
            <w:r>
              <w:rPr>
                <w:rFonts w:hint="default" w:ascii="Times New Roman" w:hAnsi="Times New Roman" w:cs="Times New Roman"/>
                <w:sz w:val="18"/>
                <w:szCs w:val="18"/>
                <w:lang w:eastAsia="zh-CN"/>
              </w:rPr>
              <w:t>蔸下部与垫土密接，上部略低于地面，回入表土时，自上而下分层紧竹蔸周围，做到</w:t>
            </w:r>
            <w:r>
              <w:rPr>
                <w:rFonts w:hint="default" w:ascii="Times New Roman" w:hAnsi="Times New Roman" w:eastAsia="Times New Roman" w:cs="Times New Roman"/>
                <w:sz w:val="18"/>
                <w:szCs w:val="18"/>
                <w:lang w:eastAsia="zh-CN"/>
              </w:rPr>
              <w:t>“</w:t>
            </w:r>
            <w:r>
              <w:rPr>
                <w:rFonts w:hint="default" w:ascii="Times New Roman" w:hAnsi="Times New Roman" w:cs="Times New Roman"/>
                <w:sz w:val="18"/>
                <w:szCs w:val="18"/>
                <w:lang w:eastAsia="zh-CN"/>
              </w:rPr>
              <w:t>深</w:t>
            </w:r>
            <w:r>
              <w:rPr>
                <w:rFonts w:hint="default" w:ascii="Times New Roman" w:hAnsi="Times New Roman" w:cs="Times New Roman"/>
                <w:spacing w:val="-1"/>
                <w:sz w:val="18"/>
                <w:szCs w:val="18"/>
                <w:lang w:eastAsia="zh-CN"/>
              </w:rPr>
              <w:t>挖穴、浅栽竹、下围紧</w:t>
            </w:r>
            <w:r>
              <w:rPr>
                <w:rFonts w:hint="default" w:ascii="Times New Roman" w:hAnsi="Times New Roman" w:cs="Times New Roman"/>
                <w:spacing w:val="-5"/>
                <w:sz w:val="18"/>
                <w:szCs w:val="18"/>
                <w:lang w:eastAsia="zh-CN"/>
              </w:rPr>
              <w:t>土、上盖松土</w:t>
            </w:r>
            <w:r>
              <w:rPr>
                <w:rFonts w:hint="default" w:ascii="Times New Roman" w:hAnsi="Times New Roman" w:eastAsia="Times New Roman" w:cs="Times New Roman"/>
                <w:spacing w:val="-5"/>
                <w:sz w:val="18"/>
                <w:szCs w:val="18"/>
                <w:lang w:eastAsia="zh-CN"/>
              </w:rPr>
              <w:t>”</w:t>
            </w:r>
            <w:r>
              <w:rPr>
                <w:rFonts w:hint="default" w:ascii="Times New Roman" w:hAnsi="Times New Roman" w:cs="Times New Roman"/>
                <w:spacing w:val="-5"/>
                <w:sz w:val="18"/>
                <w:szCs w:val="18"/>
                <w:lang w:eastAsia="zh-CN"/>
              </w:rPr>
              <w:t>。栽植时间在</w:t>
            </w:r>
            <w:r>
              <w:rPr>
                <w:rFonts w:hint="default" w:ascii="Times New Roman" w:hAnsi="Times New Roman" w:eastAsia="Times New Roman" w:cs="Times New Roman"/>
                <w:spacing w:val="-5"/>
                <w:sz w:val="18"/>
                <w:szCs w:val="18"/>
                <w:lang w:eastAsia="zh-CN"/>
              </w:rPr>
              <w:t>12</w:t>
            </w:r>
            <w:r>
              <w:rPr>
                <w:rFonts w:hint="default" w:ascii="Times New Roman" w:hAnsi="Times New Roman" w:cs="Times New Roman"/>
                <w:spacing w:val="-5"/>
                <w:sz w:val="18"/>
                <w:szCs w:val="18"/>
                <w:lang w:eastAsia="zh-CN"/>
              </w:rPr>
              <w:t>月至翌年</w:t>
            </w:r>
            <w:r>
              <w:rPr>
                <w:rFonts w:hint="default" w:ascii="Times New Roman" w:hAnsi="Times New Roman" w:eastAsia="Times New Roman" w:cs="Times New Roman"/>
                <w:spacing w:val="-5"/>
                <w:sz w:val="18"/>
                <w:szCs w:val="18"/>
                <w:lang w:eastAsia="zh-CN"/>
              </w:rPr>
              <w:t>3</w:t>
            </w:r>
            <w:r>
              <w:rPr>
                <w:rFonts w:hint="default" w:ascii="Times New Roman" w:hAnsi="Times New Roman" w:cs="Times New Roman"/>
                <w:spacing w:val="-5"/>
                <w:sz w:val="18"/>
                <w:szCs w:val="18"/>
                <w:lang w:eastAsia="zh-CN"/>
              </w:rPr>
              <w:t>月为宜。号笋。</w:t>
            </w:r>
            <w:r>
              <w:rPr>
                <w:rFonts w:hint="default" w:ascii="Times New Roman" w:hAnsi="Times New Roman" w:eastAsia="Times New Roman" w:cs="Times New Roman"/>
                <w:spacing w:val="-5"/>
                <w:sz w:val="18"/>
                <w:szCs w:val="18"/>
                <w:lang w:eastAsia="zh-CN"/>
              </w:rPr>
              <w:t>3</w:t>
            </w:r>
            <w:r>
              <w:rPr>
                <w:rFonts w:hint="default" w:ascii="Times New Roman" w:hAnsi="Times New Roman" w:cs="Times New Roman"/>
                <w:spacing w:val="-5"/>
                <w:sz w:val="18"/>
                <w:szCs w:val="18"/>
                <w:lang w:eastAsia="zh-CN"/>
              </w:rPr>
              <w:t>至</w:t>
            </w:r>
            <w:r>
              <w:rPr>
                <w:rFonts w:hint="default" w:ascii="Times New Roman" w:hAnsi="Times New Roman" w:eastAsia="Times New Roman" w:cs="Times New Roman"/>
                <w:spacing w:val="-5"/>
                <w:sz w:val="18"/>
                <w:szCs w:val="18"/>
                <w:lang w:eastAsia="zh-CN"/>
              </w:rPr>
              <w:t>4</w:t>
            </w:r>
            <w:r>
              <w:rPr>
                <w:rFonts w:hint="default" w:ascii="Times New Roman" w:hAnsi="Times New Roman" w:cs="Times New Roman"/>
                <w:spacing w:val="-5"/>
                <w:sz w:val="18"/>
                <w:szCs w:val="18"/>
                <w:lang w:eastAsia="zh-CN"/>
              </w:rPr>
              <w:t>月，对需保留的前期和盛期笋进行标记，严格保</w:t>
            </w:r>
            <w:r>
              <w:rPr>
                <w:rFonts w:hint="default" w:ascii="Times New Roman" w:hAnsi="Times New Roman" w:cs="Times New Roman"/>
                <w:spacing w:val="-2"/>
                <w:sz w:val="18"/>
                <w:szCs w:val="18"/>
                <w:lang w:eastAsia="zh-CN"/>
              </w:rPr>
              <w:t>护。</w:t>
            </w:r>
            <w:r>
              <w:rPr>
                <w:rFonts w:hint="default" w:ascii="Times New Roman" w:hAnsi="Times New Roman" w:eastAsia="Times New Roman" w:cs="Times New Roman"/>
                <w:spacing w:val="-2"/>
                <w:sz w:val="18"/>
                <w:szCs w:val="18"/>
                <w:lang w:eastAsia="zh-CN"/>
              </w:rPr>
              <w:t>6</w:t>
            </w:r>
            <w:r>
              <w:rPr>
                <w:rFonts w:hint="default" w:ascii="Times New Roman" w:hAnsi="Times New Roman" w:cs="Times New Roman"/>
                <w:spacing w:val="-2"/>
                <w:sz w:val="18"/>
                <w:szCs w:val="18"/>
                <w:lang w:eastAsia="zh-CN"/>
              </w:rPr>
              <w:t>至</w:t>
            </w:r>
            <w:r>
              <w:rPr>
                <w:rFonts w:hint="default" w:ascii="Times New Roman" w:hAnsi="Times New Roman" w:eastAsia="Times New Roman" w:cs="Times New Roman"/>
                <w:spacing w:val="-2"/>
                <w:sz w:val="18"/>
                <w:szCs w:val="18"/>
                <w:lang w:eastAsia="zh-CN"/>
              </w:rPr>
              <w:t>9</w:t>
            </w:r>
            <w:r>
              <w:rPr>
                <w:rFonts w:hint="default" w:ascii="Times New Roman" w:hAnsi="Times New Roman" w:cs="Times New Roman"/>
                <w:spacing w:val="-2"/>
                <w:sz w:val="18"/>
                <w:szCs w:val="18"/>
                <w:lang w:eastAsia="zh-CN"/>
              </w:rPr>
              <w:t>月进行除草松土、埋青施肥，直至竹林郁闭。号竹。每年秋冬季在所发新竹竹竿上标写年号和胸径。</w:t>
            </w:r>
          </w:p>
        </w:tc>
      </w:tr>
      <w:tr w14:paraId="2B4E50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6" w:hRule="atLeast"/>
          <w:jc w:val="center"/>
        </w:trPr>
        <w:tc>
          <w:tcPr>
            <w:tcW w:w="377" w:type="pct"/>
            <w:vMerge w:val="continue"/>
            <w:vAlign w:val="center"/>
          </w:tcPr>
          <w:p w14:paraId="3A4DB6FD">
            <w:pPr>
              <w:spacing w:line="240" w:lineRule="auto"/>
              <w:ind w:firstLine="0" w:firstLineChars="0"/>
              <w:jc w:val="center"/>
              <w:rPr>
                <w:rFonts w:hint="default" w:ascii="Times New Roman" w:hAnsi="Times New Roman" w:eastAsia="Times New Roman" w:cs="Times New Roman"/>
                <w:sz w:val="18"/>
                <w:szCs w:val="18"/>
                <w:lang w:eastAsia="zh-CN"/>
              </w:rPr>
            </w:pPr>
          </w:p>
        </w:tc>
        <w:tc>
          <w:tcPr>
            <w:tcW w:w="269" w:type="pct"/>
            <w:vMerge w:val="continue"/>
            <w:vAlign w:val="center"/>
          </w:tcPr>
          <w:p w14:paraId="5271D66F">
            <w:pPr>
              <w:spacing w:line="240" w:lineRule="auto"/>
              <w:ind w:firstLine="0" w:firstLineChars="0"/>
              <w:jc w:val="center"/>
              <w:rPr>
                <w:rFonts w:hint="default" w:ascii="Times New Roman" w:hAnsi="Times New Roman" w:cs="Times New Roman"/>
                <w:sz w:val="18"/>
                <w:szCs w:val="18"/>
                <w:lang w:eastAsia="zh-CN"/>
              </w:rPr>
            </w:pPr>
          </w:p>
        </w:tc>
        <w:tc>
          <w:tcPr>
            <w:tcW w:w="596" w:type="pct"/>
            <w:vAlign w:val="center"/>
          </w:tcPr>
          <w:p w14:paraId="743C47F2">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pacing w:val="-2"/>
                <w:sz w:val="18"/>
                <w:szCs w:val="18"/>
              </w:rPr>
              <w:t>成林期</w:t>
            </w:r>
          </w:p>
        </w:tc>
        <w:tc>
          <w:tcPr>
            <w:tcW w:w="208" w:type="pct"/>
            <w:vAlign w:val="center"/>
          </w:tcPr>
          <w:p w14:paraId="47A11722">
            <w:pPr>
              <w:spacing w:line="240" w:lineRule="auto"/>
              <w:ind w:firstLine="0" w:firstLineChars="0"/>
              <w:rPr>
                <w:rFonts w:hint="default" w:ascii="Times New Roman" w:hAnsi="Times New Roman" w:cs="Times New Roman"/>
                <w:sz w:val="18"/>
                <w:szCs w:val="18"/>
              </w:rPr>
            </w:pPr>
            <w:r>
              <w:rPr>
                <w:rFonts w:hint="default" w:ascii="Times New Roman" w:hAnsi="Times New Roman" w:eastAsia="Times New Roman" w:cs="Times New Roman"/>
                <w:spacing w:val="-1"/>
                <w:sz w:val="18"/>
                <w:szCs w:val="18"/>
              </w:rPr>
              <w:t>4-8</w:t>
            </w:r>
            <w:r>
              <w:rPr>
                <w:rFonts w:hint="default" w:ascii="Times New Roman" w:hAnsi="Times New Roman" w:cs="Times New Roman"/>
                <w:spacing w:val="-1"/>
                <w:sz w:val="18"/>
                <w:szCs w:val="18"/>
              </w:rPr>
              <w:t>年</w:t>
            </w:r>
          </w:p>
        </w:tc>
        <w:tc>
          <w:tcPr>
            <w:tcW w:w="605" w:type="pct"/>
            <w:vAlign w:val="center"/>
          </w:tcPr>
          <w:p w14:paraId="0A0155E3">
            <w:pPr>
              <w:spacing w:line="240" w:lineRule="auto"/>
              <w:ind w:firstLine="0" w:firstLineChars="0"/>
              <w:jc w:val="center"/>
              <w:rPr>
                <w:rFonts w:hint="default" w:ascii="Times New Roman" w:hAnsi="Times New Roman" w:eastAsia="Times New Roman" w:cs="Times New Roman"/>
                <w:sz w:val="18"/>
                <w:szCs w:val="18"/>
              </w:rPr>
            </w:pPr>
            <w:r>
              <w:rPr>
                <w:rFonts w:hint="default" w:ascii="Times New Roman" w:hAnsi="Times New Roman" w:eastAsia="Times New Roman" w:cs="Times New Roman"/>
                <w:spacing w:val="-3"/>
                <w:sz w:val="18"/>
                <w:szCs w:val="18"/>
              </w:rPr>
              <w:t>1800-2500</w:t>
            </w:r>
          </w:p>
        </w:tc>
        <w:tc>
          <w:tcPr>
            <w:tcW w:w="2944" w:type="pct"/>
            <w:vAlign w:val="center"/>
          </w:tcPr>
          <w:p w14:paraId="70489378">
            <w:pPr>
              <w:spacing w:line="240" w:lineRule="auto"/>
              <w:ind w:firstLine="0" w:firstLineChars="0"/>
              <w:rPr>
                <w:rFonts w:hint="default" w:ascii="Times New Roman" w:hAnsi="Times New Roman" w:cs="Times New Roman"/>
                <w:sz w:val="18"/>
                <w:szCs w:val="18"/>
                <w:lang w:eastAsia="zh-CN"/>
              </w:rPr>
            </w:pPr>
            <w:r>
              <w:rPr>
                <w:rFonts w:hint="default" w:ascii="Times New Roman" w:hAnsi="Times New Roman" w:cs="Times New Roman"/>
                <w:spacing w:val="-5"/>
                <w:sz w:val="18"/>
                <w:szCs w:val="18"/>
                <w:lang w:eastAsia="zh-CN"/>
              </w:rPr>
              <w:t>施肥。小年</w:t>
            </w:r>
            <w:r>
              <w:rPr>
                <w:rFonts w:hint="default" w:ascii="Times New Roman" w:hAnsi="Times New Roman" w:eastAsia="Times New Roman" w:cs="Times New Roman"/>
                <w:spacing w:val="-5"/>
                <w:sz w:val="18"/>
                <w:szCs w:val="18"/>
                <w:lang w:eastAsia="zh-CN"/>
              </w:rPr>
              <w:t>9</w:t>
            </w:r>
            <w:r>
              <w:rPr>
                <w:rFonts w:hint="default" w:ascii="Times New Roman" w:hAnsi="Times New Roman" w:cs="Times New Roman"/>
                <w:spacing w:val="-5"/>
                <w:sz w:val="18"/>
                <w:szCs w:val="18"/>
                <w:lang w:eastAsia="zh-CN"/>
              </w:rPr>
              <w:t>至</w:t>
            </w:r>
            <w:r>
              <w:rPr>
                <w:rFonts w:hint="default" w:ascii="Times New Roman" w:hAnsi="Times New Roman" w:eastAsia="Times New Roman" w:cs="Times New Roman"/>
                <w:spacing w:val="-5"/>
                <w:sz w:val="18"/>
                <w:szCs w:val="18"/>
                <w:lang w:eastAsia="zh-CN"/>
              </w:rPr>
              <w:t>10</w:t>
            </w:r>
            <w:r>
              <w:rPr>
                <w:rFonts w:hint="default" w:ascii="Times New Roman" w:hAnsi="Times New Roman" w:cs="Times New Roman"/>
                <w:spacing w:val="-5"/>
                <w:sz w:val="18"/>
                <w:szCs w:val="18"/>
                <w:lang w:eastAsia="zh-CN"/>
              </w:rPr>
              <w:t>月或大年</w:t>
            </w:r>
            <w:r>
              <w:rPr>
                <w:rFonts w:hint="default" w:ascii="Times New Roman" w:hAnsi="Times New Roman" w:eastAsia="Times New Roman" w:cs="Times New Roman"/>
                <w:spacing w:val="-5"/>
                <w:sz w:val="18"/>
                <w:szCs w:val="18"/>
                <w:lang w:eastAsia="zh-CN"/>
              </w:rPr>
              <w:t>1</w:t>
            </w:r>
            <w:r>
              <w:rPr>
                <w:rFonts w:hint="default" w:ascii="Times New Roman" w:hAnsi="Times New Roman" w:cs="Times New Roman"/>
                <w:spacing w:val="-5"/>
                <w:sz w:val="18"/>
                <w:szCs w:val="18"/>
                <w:lang w:eastAsia="zh-CN"/>
              </w:rPr>
              <w:t>至</w:t>
            </w:r>
            <w:r>
              <w:rPr>
                <w:rFonts w:hint="default" w:ascii="Times New Roman" w:hAnsi="Times New Roman" w:eastAsia="Times New Roman" w:cs="Times New Roman"/>
                <w:spacing w:val="-5"/>
                <w:sz w:val="18"/>
                <w:szCs w:val="18"/>
                <w:lang w:eastAsia="zh-CN"/>
              </w:rPr>
              <w:t>2</w:t>
            </w:r>
            <w:r>
              <w:rPr>
                <w:rFonts w:hint="default" w:ascii="Times New Roman" w:hAnsi="Times New Roman" w:cs="Times New Roman"/>
                <w:spacing w:val="-5"/>
                <w:sz w:val="18"/>
                <w:szCs w:val="18"/>
                <w:lang w:eastAsia="zh-CN"/>
              </w:rPr>
              <w:t>月施毛竹专用肥或有机肥</w:t>
            </w:r>
            <w:r>
              <w:rPr>
                <w:rFonts w:hint="default" w:ascii="Times New Roman" w:hAnsi="Times New Roman" w:eastAsia="Times New Roman" w:cs="Times New Roman"/>
                <w:spacing w:val="-5"/>
                <w:sz w:val="18"/>
                <w:szCs w:val="18"/>
                <w:lang w:eastAsia="zh-CN"/>
              </w:rPr>
              <w:t>1</w:t>
            </w:r>
            <w:r>
              <w:rPr>
                <w:rFonts w:hint="default" w:ascii="Times New Roman" w:hAnsi="Times New Roman" w:cs="Times New Roman"/>
                <w:spacing w:val="-5"/>
                <w:sz w:val="18"/>
                <w:szCs w:val="18"/>
                <w:lang w:eastAsia="zh-CN"/>
              </w:rPr>
              <w:t>次。每隔</w:t>
            </w:r>
            <w:r>
              <w:rPr>
                <w:rFonts w:hint="default" w:ascii="Times New Roman" w:hAnsi="Times New Roman" w:eastAsia="Times New Roman" w:cs="Times New Roman"/>
                <w:spacing w:val="-5"/>
                <w:sz w:val="18"/>
                <w:szCs w:val="18"/>
                <w:lang w:eastAsia="zh-CN"/>
              </w:rPr>
              <w:t>4-6</w:t>
            </w:r>
            <w:r>
              <w:rPr>
                <w:rFonts w:hint="default" w:ascii="Times New Roman" w:hAnsi="Times New Roman" w:cs="Times New Roman"/>
                <w:spacing w:val="-5"/>
                <w:sz w:val="18"/>
                <w:szCs w:val="18"/>
                <w:lang w:eastAsia="zh-CN"/>
              </w:rPr>
              <w:t>年全林垦</w:t>
            </w:r>
            <w:r>
              <w:rPr>
                <w:rFonts w:hint="default" w:ascii="Times New Roman" w:hAnsi="Times New Roman" w:cs="Times New Roman"/>
                <w:spacing w:val="-6"/>
                <w:sz w:val="18"/>
                <w:szCs w:val="18"/>
                <w:lang w:eastAsia="zh-CN"/>
              </w:rPr>
              <w:t>复</w:t>
            </w:r>
            <w:r>
              <w:rPr>
                <w:rFonts w:hint="default" w:ascii="Times New Roman" w:hAnsi="Times New Roman" w:eastAsia="Times New Roman" w:cs="Times New Roman"/>
                <w:spacing w:val="-6"/>
                <w:sz w:val="18"/>
                <w:szCs w:val="18"/>
                <w:lang w:eastAsia="zh-CN"/>
              </w:rPr>
              <w:t>1</w:t>
            </w:r>
            <w:r>
              <w:rPr>
                <w:rFonts w:hint="default" w:ascii="Times New Roman" w:hAnsi="Times New Roman" w:cs="Times New Roman"/>
                <w:spacing w:val="-6"/>
                <w:sz w:val="18"/>
                <w:szCs w:val="18"/>
                <w:lang w:eastAsia="zh-CN"/>
              </w:rPr>
              <w:t>次，</w:t>
            </w:r>
            <w:r>
              <w:rPr>
                <w:rFonts w:hint="default" w:ascii="Times New Roman" w:hAnsi="Times New Roman" w:eastAsia="Times New Roman" w:cs="Times New Roman"/>
                <w:spacing w:val="-6"/>
                <w:sz w:val="18"/>
                <w:szCs w:val="18"/>
                <w:lang w:eastAsia="zh-CN"/>
              </w:rPr>
              <w:t>7</w:t>
            </w:r>
            <w:r>
              <w:rPr>
                <w:rFonts w:hint="default" w:ascii="Times New Roman" w:hAnsi="Times New Roman" w:cs="Times New Roman"/>
                <w:spacing w:val="-6"/>
                <w:sz w:val="18"/>
                <w:szCs w:val="18"/>
                <w:lang w:eastAsia="zh-CN"/>
              </w:rPr>
              <w:t>至</w:t>
            </w:r>
            <w:r>
              <w:rPr>
                <w:rFonts w:hint="default" w:ascii="Times New Roman" w:hAnsi="Times New Roman" w:eastAsia="Times New Roman" w:cs="Times New Roman"/>
                <w:spacing w:val="-6"/>
                <w:sz w:val="18"/>
                <w:szCs w:val="18"/>
                <w:lang w:eastAsia="zh-CN"/>
              </w:rPr>
              <w:t>8</w:t>
            </w:r>
            <w:r>
              <w:rPr>
                <w:rFonts w:hint="default" w:ascii="Times New Roman" w:hAnsi="Times New Roman" w:cs="Times New Roman"/>
                <w:spacing w:val="-6"/>
                <w:sz w:val="18"/>
                <w:szCs w:val="18"/>
                <w:lang w:eastAsia="zh-CN"/>
              </w:rPr>
              <w:t>月进行。垦</w:t>
            </w:r>
            <w:r>
              <w:rPr>
                <w:rFonts w:hint="default" w:ascii="Times New Roman" w:hAnsi="Times New Roman" w:cs="Times New Roman"/>
                <w:spacing w:val="1"/>
                <w:sz w:val="18"/>
                <w:szCs w:val="18"/>
                <w:lang w:eastAsia="zh-CN"/>
              </w:rPr>
              <w:t>复时注意避免损伤幼壮竹鞭的鞭芽和鞭根。加强抚育管理，并结合深翻松土开挖竹节沟，竹节沟每隔</w:t>
            </w:r>
            <w:r>
              <w:rPr>
                <w:rFonts w:hint="default" w:ascii="Times New Roman" w:hAnsi="Times New Roman" w:eastAsia="Times New Roman" w:cs="Times New Roman"/>
                <w:spacing w:val="1"/>
                <w:sz w:val="18"/>
                <w:szCs w:val="18"/>
                <w:lang w:eastAsia="zh-CN"/>
              </w:rPr>
              <w:t>4</w:t>
            </w:r>
            <w:r>
              <w:rPr>
                <w:rFonts w:hint="default" w:ascii="Times New Roman" w:hAnsi="Times New Roman" w:cs="Times New Roman"/>
                <w:spacing w:val="1"/>
                <w:sz w:val="18"/>
                <w:szCs w:val="18"/>
                <w:lang w:eastAsia="zh-CN"/>
              </w:rPr>
              <w:t>年填平并</w:t>
            </w:r>
            <w:r>
              <w:rPr>
                <w:rFonts w:hint="default" w:ascii="Times New Roman" w:hAnsi="Times New Roman" w:cs="Times New Roman"/>
                <w:sz w:val="18"/>
                <w:szCs w:val="18"/>
                <w:lang w:eastAsia="zh-CN"/>
              </w:rPr>
              <w:t>重新选址开挖。留笋养竹。选留出笋早期和盛期粗大、健壮、分布均匀的竹笋用来培</w:t>
            </w:r>
            <w:r>
              <w:rPr>
                <w:rFonts w:hint="default" w:ascii="Times New Roman" w:hAnsi="Times New Roman" w:cs="Times New Roman"/>
                <w:spacing w:val="-1"/>
                <w:sz w:val="18"/>
                <w:szCs w:val="18"/>
                <w:lang w:eastAsia="zh-CN"/>
              </w:rPr>
              <w:t>育新竹，每度保留</w:t>
            </w:r>
            <w:r>
              <w:rPr>
                <w:rFonts w:hint="default" w:ascii="Times New Roman" w:hAnsi="Times New Roman" w:eastAsia="Times New Roman" w:cs="Times New Roman"/>
                <w:spacing w:val="-1"/>
                <w:sz w:val="18"/>
                <w:szCs w:val="18"/>
                <w:lang w:eastAsia="zh-CN"/>
              </w:rPr>
              <w:t>750</w:t>
            </w:r>
            <w:r>
              <w:rPr>
                <w:rFonts w:hint="default" w:ascii="Times New Roman" w:hAnsi="Times New Roman" w:cs="Times New Roman"/>
                <w:spacing w:val="-1"/>
                <w:sz w:val="18"/>
                <w:szCs w:val="18"/>
                <w:lang w:eastAsia="zh-CN"/>
              </w:rPr>
              <w:t>～</w:t>
            </w:r>
            <w:r>
              <w:rPr>
                <w:rFonts w:hint="default" w:ascii="Times New Roman" w:hAnsi="Times New Roman" w:eastAsia="Times New Roman" w:cs="Times New Roman"/>
                <w:spacing w:val="-1"/>
                <w:sz w:val="18"/>
                <w:szCs w:val="18"/>
                <w:lang w:eastAsia="zh-CN"/>
              </w:rPr>
              <w:t>1200</w:t>
            </w:r>
            <w:r>
              <w:rPr>
                <w:rFonts w:hint="default" w:ascii="Times New Roman" w:hAnsi="Times New Roman" w:cs="Times New Roman"/>
                <w:spacing w:val="1"/>
                <w:sz w:val="18"/>
                <w:szCs w:val="18"/>
                <w:lang w:eastAsia="zh-CN"/>
              </w:rPr>
              <w:t>株</w:t>
            </w:r>
            <w:r>
              <w:rPr>
                <w:rFonts w:hint="default" w:ascii="Times New Roman" w:hAnsi="Times New Roman" w:eastAsia="Times New Roman" w:cs="Times New Roman"/>
                <w:spacing w:val="1"/>
                <w:sz w:val="18"/>
                <w:szCs w:val="18"/>
                <w:lang w:eastAsia="zh-CN"/>
              </w:rPr>
              <w:t>/</w:t>
            </w:r>
            <w:r>
              <w:rPr>
                <w:rFonts w:hint="default" w:ascii="Times New Roman" w:hAnsi="Times New Roman" w:cs="Times New Roman"/>
                <w:spacing w:val="-4"/>
                <w:sz w:val="18"/>
                <w:szCs w:val="18"/>
                <w:lang w:eastAsia="zh-CN"/>
              </w:rPr>
              <w:t xml:space="preserve"> hm</w:t>
            </w:r>
            <w:r>
              <w:rPr>
                <w:rFonts w:hint="default" w:ascii="Times New Roman" w:hAnsi="Times New Roman" w:cs="Times New Roman"/>
                <w:spacing w:val="-4"/>
                <w:sz w:val="18"/>
                <w:szCs w:val="18"/>
                <w:vertAlign w:val="superscript"/>
                <w:lang w:eastAsia="zh-CN"/>
              </w:rPr>
              <w:t>2</w:t>
            </w:r>
            <w:r>
              <w:rPr>
                <w:rFonts w:hint="default" w:ascii="Times New Roman" w:hAnsi="Times New Roman" w:cs="Times New Roman"/>
                <w:spacing w:val="1"/>
                <w:sz w:val="18"/>
                <w:szCs w:val="18"/>
                <w:lang w:eastAsia="zh-CN"/>
              </w:rPr>
              <w:t>，及时挖取退笋，适当采挖春笋，不挖或少挖冬笋和鞭笋。若林分</w:t>
            </w:r>
            <w:r>
              <w:rPr>
                <w:rFonts w:hint="default" w:ascii="Times New Roman" w:hAnsi="Times New Roman" w:cs="Times New Roman"/>
                <w:sz w:val="18"/>
                <w:szCs w:val="18"/>
                <w:lang w:eastAsia="zh-CN"/>
              </w:rPr>
              <w:t>密度不够或新壮竹少，则尽量增大留</w:t>
            </w:r>
            <w:r>
              <w:rPr>
                <w:rFonts w:hint="default" w:ascii="Times New Roman" w:hAnsi="Times New Roman" w:cs="Times New Roman"/>
                <w:spacing w:val="-1"/>
                <w:sz w:val="18"/>
                <w:szCs w:val="18"/>
                <w:lang w:eastAsia="zh-CN"/>
              </w:rPr>
              <w:t>笋数以培育新竹。防治有害生物。雨雪冰冻等危害严重的地区，因地制宜采取钩梢(</w:t>
            </w:r>
            <w:r>
              <w:rPr>
                <w:rFonts w:hint="default" w:ascii="Times New Roman" w:hAnsi="Times New Roman" w:eastAsia="Times New Roman" w:cs="Times New Roman"/>
                <w:spacing w:val="-1"/>
                <w:sz w:val="18"/>
                <w:szCs w:val="18"/>
                <w:lang w:eastAsia="zh-CN"/>
              </w:rPr>
              <w:t>10</w:t>
            </w:r>
            <w:r>
              <w:rPr>
                <w:rFonts w:hint="default" w:ascii="Times New Roman" w:hAnsi="Times New Roman" w:cs="Times New Roman"/>
                <w:spacing w:val="-1"/>
                <w:sz w:val="18"/>
                <w:szCs w:val="18"/>
                <w:lang w:eastAsia="zh-CN"/>
              </w:rPr>
              <w:t>至</w:t>
            </w:r>
            <w:r>
              <w:rPr>
                <w:rFonts w:hint="default" w:ascii="Times New Roman" w:hAnsi="Times New Roman" w:eastAsia="Times New Roman" w:cs="Times New Roman"/>
                <w:spacing w:val="-1"/>
                <w:sz w:val="18"/>
                <w:szCs w:val="18"/>
                <w:lang w:eastAsia="zh-CN"/>
              </w:rPr>
              <w:t>11</w:t>
            </w:r>
            <w:r>
              <w:rPr>
                <w:rFonts w:hint="default" w:ascii="Times New Roman" w:hAnsi="Times New Roman" w:cs="Times New Roman"/>
                <w:spacing w:val="-1"/>
                <w:sz w:val="18"/>
                <w:szCs w:val="18"/>
                <w:lang w:eastAsia="zh-CN"/>
              </w:rPr>
              <w:t>月进行，每秆留枝不</w:t>
            </w:r>
            <w:r>
              <w:rPr>
                <w:rFonts w:hint="default" w:ascii="Times New Roman" w:hAnsi="Times New Roman" w:cs="Times New Roman"/>
                <w:sz w:val="18"/>
                <w:szCs w:val="18"/>
                <w:lang w:eastAsia="zh-CN"/>
              </w:rPr>
              <w:t>少于</w:t>
            </w:r>
            <w:r>
              <w:rPr>
                <w:rFonts w:hint="default" w:ascii="Times New Roman" w:hAnsi="Times New Roman" w:eastAsia="Times New Roman" w:cs="Times New Roman"/>
                <w:sz w:val="18"/>
                <w:szCs w:val="18"/>
                <w:lang w:eastAsia="zh-CN"/>
              </w:rPr>
              <w:t>15</w:t>
            </w:r>
            <w:r>
              <w:rPr>
                <w:rFonts w:hint="default" w:ascii="Times New Roman" w:hAnsi="Times New Roman" w:cs="Times New Roman"/>
                <w:sz w:val="18"/>
                <w:szCs w:val="18"/>
                <w:lang w:eastAsia="zh-CN"/>
              </w:rPr>
              <w:t>盘)、保留支撑木等措施，以减少损失。对于因自然灾害造成竹秆倒伏(弯曲、折断或</w:t>
            </w:r>
            <w:r>
              <w:rPr>
                <w:rFonts w:hint="default" w:ascii="Times New Roman" w:hAnsi="Times New Roman" w:cs="Times New Roman"/>
                <w:spacing w:val="-1"/>
                <w:sz w:val="18"/>
                <w:szCs w:val="18"/>
                <w:lang w:eastAsia="zh-CN"/>
              </w:rPr>
              <w:t>开裂)或翻蔸的竹株，大年竹林应及时砍除，小年竹林应在出笋成竹后</w:t>
            </w:r>
            <w:r>
              <w:rPr>
                <w:rFonts w:hint="default" w:ascii="Times New Roman" w:hAnsi="Times New Roman" w:cs="Times New Roman"/>
                <w:spacing w:val="-2"/>
                <w:sz w:val="18"/>
                <w:szCs w:val="18"/>
                <w:lang w:eastAsia="zh-CN"/>
              </w:rPr>
              <w:t>再行清除。</w:t>
            </w:r>
          </w:p>
        </w:tc>
      </w:tr>
      <w:tr w14:paraId="301E84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jc w:val="center"/>
        </w:trPr>
        <w:tc>
          <w:tcPr>
            <w:tcW w:w="377" w:type="pct"/>
            <w:vMerge w:val="continue"/>
            <w:vAlign w:val="center"/>
          </w:tcPr>
          <w:p w14:paraId="76795D26">
            <w:pPr>
              <w:spacing w:line="240" w:lineRule="auto"/>
              <w:ind w:firstLine="0" w:firstLineChars="0"/>
              <w:jc w:val="center"/>
              <w:rPr>
                <w:rFonts w:hint="default" w:ascii="Times New Roman" w:hAnsi="Times New Roman" w:cs="Times New Roman"/>
                <w:lang w:eastAsia="zh-CN"/>
              </w:rPr>
            </w:pPr>
          </w:p>
        </w:tc>
        <w:tc>
          <w:tcPr>
            <w:tcW w:w="269" w:type="pct"/>
            <w:vMerge w:val="continue"/>
            <w:tcBorders>
              <w:bottom w:val="single" w:color="auto" w:sz="4" w:space="0"/>
            </w:tcBorders>
            <w:vAlign w:val="center"/>
          </w:tcPr>
          <w:p w14:paraId="28F78161">
            <w:pPr>
              <w:spacing w:line="240" w:lineRule="auto"/>
              <w:ind w:firstLine="0" w:firstLineChars="0"/>
              <w:jc w:val="center"/>
              <w:rPr>
                <w:rFonts w:hint="default" w:ascii="Times New Roman" w:hAnsi="Times New Roman" w:cs="Times New Roman"/>
                <w:lang w:eastAsia="zh-CN"/>
              </w:rPr>
            </w:pPr>
          </w:p>
        </w:tc>
        <w:tc>
          <w:tcPr>
            <w:tcW w:w="596" w:type="pct"/>
            <w:vAlign w:val="center"/>
          </w:tcPr>
          <w:p w14:paraId="3A2B2268">
            <w:pPr>
              <w:spacing w:line="240" w:lineRule="auto"/>
              <w:ind w:firstLine="0" w:firstLineChars="0"/>
              <w:jc w:val="center"/>
              <w:rPr>
                <w:rFonts w:hint="default" w:ascii="Times New Roman" w:hAnsi="Times New Roman" w:cs="Times New Roman"/>
                <w:sz w:val="18"/>
                <w:szCs w:val="18"/>
                <w:lang w:eastAsia="zh-CN"/>
              </w:rPr>
            </w:pPr>
            <w:r>
              <w:rPr>
                <w:rFonts w:hint="default" w:ascii="Times New Roman" w:hAnsi="Times New Roman" w:cs="Times New Roman"/>
                <w:spacing w:val="-1"/>
                <w:sz w:val="18"/>
                <w:szCs w:val="18"/>
                <w:lang w:eastAsia="zh-CN"/>
              </w:rPr>
              <w:t>林分处于收获、恒</w:t>
            </w:r>
            <w:r>
              <w:rPr>
                <w:rFonts w:hint="default" w:ascii="Times New Roman" w:hAnsi="Times New Roman" w:cs="Times New Roman"/>
                <w:spacing w:val="-2"/>
                <w:sz w:val="18"/>
                <w:szCs w:val="18"/>
                <w:lang w:eastAsia="zh-CN"/>
              </w:rPr>
              <w:t>续林阶段</w:t>
            </w:r>
          </w:p>
        </w:tc>
        <w:tc>
          <w:tcPr>
            <w:tcW w:w="208" w:type="pct"/>
            <w:vAlign w:val="center"/>
          </w:tcPr>
          <w:p w14:paraId="23D3C427">
            <w:pPr>
              <w:spacing w:line="240" w:lineRule="auto"/>
              <w:ind w:firstLine="0" w:firstLineChars="0"/>
              <w:rPr>
                <w:rFonts w:hint="default" w:ascii="Times New Roman" w:hAnsi="Times New Roman" w:cs="Times New Roman"/>
                <w:sz w:val="18"/>
                <w:szCs w:val="18"/>
              </w:rPr>
            </w:pPr>
            <w:r>
              <w:rPr>
                <w:rFonts w:hint="default" w:ascii="Times New Roman" w:hAnsi="Times New Roman" w:eastAsia="Times New Roman" w:cs="Times New Roman"/>
                <w:spacing w:val="-2"/>
                <w:sz w:val="18"/>
                <w:szCs w:val="18"/>
              </w:rPr>
              <w:t>&gt;8</w:t>
            </w:r>
            <w:r>
              <w:rPr>
                <w:rFonts w:hint="default" w:ascii="Times New Roman" w:hAnsi="Times New Roman" w:cs="Times New Roman"/>
                <w:spacing w:val="-2"/>
                <w:sz w:val="18"/>
                <w:szCs w:val="18"/>
              </w:rPr>
              <w:t>年</w:t>
            </w:r>
          </w:p>
        </w:tc>
        <w:tc>
          <w:tcPr>
            <w:tcW w:w="605" w:type="pct"/>
            <w:vAlign w:val="center"/>
          </w:tcPr>
          <w:p w14:paraId="0E18D3E1">
            <w:pPr>
              <w:spacing w:line="240" w:lineRule="auto"/>
              <w:ind w:firstLine="0" w:firstLineChars="0"/>
              <w:jc w:val="center"/>
              <w:rPr>
                <w:rFonts w:hint="default" w:ascii="Times New Roman" w:hAnsi="Times New Roman" w:eastAsia="Times New Roman" w:cs="Times New Roman"/>
                <w:sz w:val="18"/>
                <w:szCs w:val="18"/>
              </w:rPr>
            </w:pPr>
            <w:r>
              <w:rPr>
                <w:rFonts w:hint="default" w:ascii="Times New Roman" w:hAnsi="Times New Roman" w:eastAsia="Times New Roman" w:cs="Times New Roman"/>
                <w:spacing w:val="-1"/>
                <w:sz w:val="18"/>
                <w:szCs w:val="18"/>
              </w:rPr>
              <w:t>2500-3000</w:t>
            </w:r>
          </w:p>
        </w:tc>
        <w:tc>
          <w:tcPr>
            <w:tcW w:w="2944" w:type="pct"/>
            <w:vAlign w:val="center"/>
          </w:tcPr>
          <w:p w14:paraId="69850BB1">
            <w:pPr>
              <w:spacing w:line="240" w:lineRule="auto"/>
              <w:ind w:firstLine="0" w:firstLineChars="0"/>
              <w:jc w:val="left"/>
              <w:rPr>
                <w:rFonts w:hint="default" w:ascii="Times New Roman" w:hAnsi="Times New Roman" w:cs="Times New Roman"/>
                <w:sz w:val="18"/>
                <w:szCs w:val="18"/>
                <w:lang w:eastAsia="zh-CN"/>
              </w:rPr>
            </w:pPr>
            <w:r>
              <w:rPr>
                <w:rFonts w:hint="default" w:ascii="Times New Roman" w:hAnsi="Times New Roman" w:cs="Times New Roman"/>
                <w:spacing w:val="-5"/>
                <w:sz w:val="18"/>
                <w:szCs w:val="18"/>
                <w:lang w:eastAsia="zh-CN"/>
              </w:rPr>
              <w:t>合理采伐。</w:t>
            </w:r>
            <w:r>
              <w:rPr>
                <w:rFonts w:hint="default" w:ascii="Times New Roman" w:hAnsi="Times New Roman" w:eastAsia="Times New Roman" w:cs="Times New Roman"/>
                <w:spacing w:val="-5"/>
                <w:sz w:val="18"/>
                <w:szCs w:val="18"/>
                <w:lang w:eastAsia="zh-CN"/>
              </w:rPr>
              <w:t>10</w:t>
            </w:r>
            <w:r>
              <w:rPr>
                <w:rFonts w:hint="default" w:ascii="Times New Roman" w:hAnsi="Times New Roman" w:cs="Times New Roman"/>
                <w:spacing w:val="-5"/>
                <w:sz w:val="18"/>
                <w:szCs w:val="18"/>
                <w:lang w:eastAsia="zh-CN"/>
              </w:rPr>
              <w:t>月至翌年</w:t>
            </w:r>
            <w:r>
              <w:rPr>
                <w:rFonts w:hint="default" w:ascii="Times New Roman" w:hAnsi="Times New Roman" w:eastAsia="Times New Roman" w:cs="Times New Roman"/>
                <w:spacing w:val="-5"/>
                <w:sz w:val="18"/>
                <w:szCs w:val="18"/>
                <w:lang w:eastAsia="zh-CN"/>
              </w:rPr>
              <w:t>1</w:t>
            </w:r>
            <w:r>
              <w:rPr>
                <w:rFonts w:hint="default" w:ascii="Times New Roman" w:hAnsi="Times New Roman" w:cs="Times New Roman"/>
                <w:spacing w:val="-5"/>
                <w:sz w:val="18"/>
                <w:szCs w:val="18"/>
                <w:lang w:eastAsia="zh-CN"/>
              </w:rPr>
              <w:t>月，根据竹林实际情况进行采伐，立竹度根据竹林年龄结构和经营密度确定，</w:t>
            </w:r>
            <w:r>
              <w:rPr>
                <w:rFonts w:hint="default" w:ascii="Times New Roman" w:hAnsi="Times New Roman" w:cs="Times New Roman"/>
                <w:spacing w:val="-6"/>
                <w:sz w:val="18"/>
                <w:szCs w:val="18"/>
                <w:lang w:eastAsia="zh-CN"/>
              </w:rPr>
              <w:t>未达到合</w:t>
            </w:r>
            <w:r>
              <w:rPr>
                <w:rFonts w:hint="default" w:ascii="Times New Roman" w:hAnsi="Times New Roman" w:cs="Times New Roman"/>
                <w:spacing w:val="-1"/>
                <w:sz w:val="18"/>
                <w:szCs w:val="18"/>
                <w:lang w:eastAsia="zh-CN"/>
              </w:rPr>
              <w:t>理密度和年龄结构的竹林，应减少或暂停采伐。</w:t>
            </w:r>
          </w:p>
        </w:tc>
      </w:tr>
    </w:tbl>
    <w:p w14:paraId="434FA6DD">
      <w:pPr>
        <w:ind w:firstLine="480"/>
        <w:rPr>
          <w:rFonts w:cs="Times New Roman"/>
          <w:lang w:eastAsia="zh-CN"/>
        </w:rPr>
        <w:sectPr>
          <w:footerReference r:id="rId45" w:type="default"/>
          <w:pgSz w:w="16843" w:h="11905" w:orient="landscape"/>
          <w:pgMar w:top="1803" w:right="1440" w:bottom="1406" w:left="1440" w:header="873" w:footer="1276" w:gutter="0"/>
          <w:cols w:space="0" w:num="1"/>
          <w:rtlGutter w:val="0"/>
          <w:docGrid w:linePitch="326" w:charSpace="0"/>
        </w:sectPr>
      </w:pPr>
    </w:p>
    <w:p w14:paraId="54674D08">
      <w:pPr>
        <w:kinsoku/>
        <w:autoSpaceDE/>
        <w:autoSpaceDN/>
        <w:adjustRightInd/>
        <w:snapToGrid/>
        <w:spacing w:line="240" w:lineRule="auto"/>
        <w:ind w:firstLine="0" w:firstLineChars="0"/>
        <w:jc w:val="left"/>
        <w:textAlignment w:val="auto"/>
        <w:rPr>
          <w:rFonts w:eastAsia="黑体" w:cs="Times New Roman"/>
          <w:b/>
          <w:szCs w:val="24"/>
          <w:lang w:eastAsia="zh-CN"/>
        </w:rPr>
      </w:pPr>
    </w:p>
    <w:p w14:paraId="69E73941">
      <w:pPr>
        <w:rPr>
          <w:rFonts w:eastAsia="黑体" w:cs="Times New Roman"/>
          <w:b/>
          <w:szCs w:val="24"/>
          <w:lang w:eastAsia="zh-CN"/>
        </w:rPr>
      </w:pPr>
      <w:r>
        <w:rPr>
          <w:rFonts w:eastAsia="黑体" w:cs="Times New Roman"/>
          <w:b/>
          <w:szCs w:val="24"/>
          <w:lang w:eastAsia="zh-CN"/>
        </w:rPr>
        <w:br w:type="page"/>
      </w:r>
    </w:p>
    <w:p w14:paraId="1A031D80">
      <w:pPr>
        <w:pStyle w:val="7"/>
        <w:spacing w:line="240" w:lineRule="auto"/>
        <w:ind w:firstLine="0" w:firstLineChars="0"/>
        <w:jc w:val="center"/>
        <w:rPr>
          <w:rFonts w:eastAsia="黑体" w:cs="Times New Roman"/>
          <w:b/>
          <w:szCs w:val="24"/>
          <w:lang w:eastAsia="zh-CN"/>
        </w:rPr>
      </w:pPr>
      <w:r>
        <w:rPr>
          <w:rFonts w:eastAsia="黑体" w:cs="Times New Roman"/>
          <w:b/>
          <w:szCs w:val="24"/>
          <w:lang w:eastAsia="zh-CN"/>
        </w:rPr>
        <w:t>附表4</w:t>
      </w:r>
      <w:r>
        <w:rPr>
          <w:rFonts w:hint="eastAsia" w:eastAsia="黑体" w:cs="Times New Roman"/>
          <w:b/>
          <w:szCs w:val="24"/>
          <w:lang w:eastAsia="zh-CN"/>
        </w:rPr>
        <w:t>森林经营面积按措施类型和作业年度统计表</w:t>
      </w:r>
    </w:p>
    <w:p w14:paraId="048F7911">
      <w:pPr>
        <w:spacing w:line="240" w:lineRule="auto"/>
        <w:ind w:firstLine="0" w:firstLineChars="0"/>
        <w:jc w:val="right"/>
        <w:rPr>
          <w:rFonts w:cs="Times New Roman"/>
          <w:sz w:val="21"/>
        </w:rPr>
      </w:pPr>
      <w:r>
        <w:rPr>
          <w:rFonts w:cs="Times New Roman"/>
          <w:sz w:val="21"/>
        </w:rPr>
        <w:t>单位：</w:t>
      </w:r>
      <w:r>
        <w:rPr>
          <w:rFonts w:cs="Times New Roman"/>
          <w:sz w:val="21"/>
          <w:lang w:eastAsia="zh-CN"/>
        </w:rPr>
        <w:t>hm</w:t>
      </w:r>
      <w:r>
        <w:rPr>
          <w:rFonts w:cs="Times New Roman"/>
          <w:sz w:val="21"/>
          <w:vertAlign w:val="superscript"/>
          <w:lang w:eastAsia="zh-CN"/>
        </w:rPr>
        <w:t>2</w:t>
      </w:r>
      <w:r>
        <w:rPr>
          <w:rFonts w:cs="Times New Roman"/>
          <w:sz w:val="21"/>
        </w:rPr>
        <w:t>、</w:t>
      </w:r>
      <w:r>
        <w:rPr>
          <w:rFonts w:cs="Times New Roman"/>
          <w:sz w:val="21"/>
          <w:lang w:eastAsia="zh-CN"/>
        </w:rPr>
        <w:t>m</w:t>
      </w:r>
      <w:r>
        <w:rPr>
          <w:rFonts w:cs="Times New Roman"/>
          <w:sz w:val="21"/>
          <w:vertAlign w:val="superscript"/>
          <w:lang w:eastAsia="zh-CN"/>
        </w:rPr>
        <w:t>3</w:t>
      </w:r>
      <w:r>
        <w:rPr>
          <w:rFonts w:cs="Times New Roman"/>
          <w:sz w:val="21"/>
        </w:rPr>
        <w:t>、万株、%</w:t>
      </w:r>
    </w:p>
    <w:tbl>
      <w:tblPr>
        <w:tblStyle w:val="17"/>
        <w:tblW w:w="499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56"/>
        <w:gridCol w:w="1256"/>
        <w:gridCol w:w="1256"/>
        <w:gridCol w:w="1656"/>
        <w:gridCol w:w="1656"/>
        <w:gridCol w:w="1656"/>
        <w:gridCol w:w="1656"/>
        <w:gridCol w:w="1256"/>
        <w:gridCol w:w="1257"/>
        <w:gridCol w:w="1271"/>
      </w:tblGrid>
      <w:tr w14:paraId="788C1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443"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54727BB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工区</w:t>
            </w:r>
          </w:p>
        </w:tc>
        <w:tc>
          <w:tcPr>
            <w:tcW w:w="443" w:type="pct"/>
            <w:vMerge w:val="restart"/>
            <w:tcBorders>
              <w:top w:val="single" w:color="000000" w:sz="8" w:space="0"/>
              <w:left w:val="nil"/>
              <w:bottom w:val="single" w:color="000000" w:sz="8" w:space="0"/>
              <w:right w:val="single" w:color="000000" w:sz="8" w:space="0"/>
            </w:tcBorders>
            <w:shd w:val="clear" w:color="auto" w:fill="auto"/>
            <w:vAlign w:val="center"/>
          </w:tcPr>
          <w:p w14:paraId="5495646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措施</w:t>
            </w:r>
          </w:p>
        </w:tc>
        <w:tc>
          <w:tcPr>
            <w:tcW w:w="4113" w:type="pct"/>
            <w:gridSpan w:val="8"/>
            <w:tcBorders>
              <w:top w:val="single" w:color="000000" w:sz="8" w:space="0"/>
              <w:left w:val="nil"/>
              <w:bottom w:val="single" w:color="000000" w:sz="8" w:space="0"/>
              <w:right w:val="single" w:color="000000" w:sz="8" w:space="0"/>
            </w:tcBorders>
            <w:shd w:val="clear" w:color="auto" w:fill="auto"/>
            <w:vAlign w:val="center"/>
          </w:tcPr>
          <w:p w14:paraId="700EA2B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阶段任务安排</w:t>
            </w:r>
          </w:p>
        </w:tc>
      </w:tr>
      <w:tr w14:paraId="7DC4AD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443"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D1A676F">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443" w:type="pct"/>
            <w:vMerge w:val="continue"/>
            <w:tcBorders>
              <w:top w:val="single" w:color="000000" w:sz="8" w:space="0"/>
              <w:left w:val="nil"/>
              <w:bottom w:val="single" w:color="000000" w:sz="8" w:space="0"/>
              <w:right w:val="single" w:color="000000" w:sz="8" w:space="0"/>
            </w:tcBorders>
            <w:shd w:val="clear" w:color="auto" w:fill="auto"/>
            <w:vAlign w:val="center"/>
          </w:tcPr>
          <w:p w14:paraId="46717D74">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443" w:type="pct"/>
            <w:tcBorders>
              <w:top w:val="nil"/>
              <w:left w:val="nil"/>
              <w:bottom w:val="single" w:color="000000" w:sz="8" w:space="0"/>
              <w:right w:val="single" w:color="000000" w:sz="8" w:space="0"/>
            </w:tcBorders>
            <w:shd w:val="clear" w:color="auto" w:fill="auto"/>
            <w:vAlign w:val="center"/>
          </w:tcPr>
          <w:p w14:paraId="017A236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2024年</w:t>
            </w:r>
          </w:p>
        </w:tc>
        <w:tc>
          <w:tcPr>
            <w:tcW w:w="584" w:type="pct"/>
            <w:tcBorders>
              <w:top w:val="single" w:color="000000" w:sz="8" w:space="0"/>
              <w:left w:val="nil"/>
              <w:bottom w:val="single" w:color="000000" w:sz="8" w:space="0"/>
              <w:right w:val="single" w:color="000000" w:sz="8" w:space="0"/>
            </w:tcBorders>
            <w:shd w:val="clear" w:color="auto" w:fill="auto"/>
            <w:vAlign w:val="center"/>
          </w:tcPr>
          <w:p w14:paraId="34E3EFC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2025年</w:t>
            </w:r>
          </w:p>
        </w:tc>
        <w:tc>
          <w:tcPr>
            <w:tcW w:w="584" w:type="pct"/>
            <w:tcBorders>
              <w:top w:val="single" w:color="000000" w:sz="8" w:space="0"/>
              <w:left w:val="nil"/>
              <w:bottom w:val="single" w:color="000000" w:sz="8" w:space="0"/>
              <w:right w:val="single" w:color="000000" w:sz="8" w:space="0"/>
            </w:tcBorders>
            <w:shd w:val="clear" w:color="auto" w:fill="auto"/>
            <w:vAlign w:val="center"/>
          </w:tcPr>
          <w:p w14:paraId="0442152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2026年</w:t>
            </w:r>
          </w:p>
        </w:tc>
        <w:tc>
          <w:tcPr>
            <w:tcW w:w="584" w:type="pct"/>
            <w:tcBorders>
              <w:top w:val="single" w:color="000000" w:sz="8" w:space="0"/>
              <w:left w:val="nil"/>
              <w:bottom w:val="single" w:color="000000" w:sz="8" w:space="0"/>
              <w:right w:val="single" w:color="000000" w:sz="8" w:space="0"/>
            </w:tcBorders>
            <w:shd w:val="clear" w:color="auto" w:fill="auto"/>
            <w:vAlign w:val="center"/>
          </w:tcPr>
          <w:p w14:paraId="78A77FC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2027年</w:t>
            </w:r>
          </w:p>
        </w:tc>
        <w:tc>
          <w:tcPr>
            <w:tcW w:w="584" w:type="pct"/>
            <w:tcBorders>
              <w:top w:val="single" w:color="000000" w:sz="8" w:space="0"/>
              <w:left w:val="nil"/>
              <w:bottom w:val="single" w:color="000000" w:sz="8" w:space="0"/>
              <w:right w:val="single" w:color="000000" w:sz="8" w:space="0"/>
            </w:tcBorders>
            <w:shd w:val="clear" w:color="auto" w:fill="auto"/>
            <w:vAlign w:val="center"/>
          </w:tcPr>
          <w:p w14:paraId="2971BAF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2028年</w:t>
            </w:r>
          </w:p>
        </w:tc>
        <w:tc>
          <w:tcPr>
            <w:tcW w:w="443" w:type="pct"/>
            <w:tcBorders>
              <w:top w:val="single" w:color="000000" w:sz="8" w:space="0"/>
              <w:left w:val="nil"/>
              <w:bottom w:val="single" w:color="000000" w:sz="8" w:space="0"/>
              <w:right w:val="single" w:color="000000" w:sz="8" w:space="0"/>
            </w:tcBorders>
            <w:shd w:val="clear" w:color="auto" w:fill="auto"/>
            <w:vAlign w:val="center"/>
          </w:tcPr>
          <w:p w14:paraId="6E03BBD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前期小计</w:t>
            </w:r>
          </w:p>
        </w:tc>
        <w:tc>
          <w:tcPr>
            <w:tcW w:w="443" w:type="pct"/>
            <w:tcBorders>
              <w:top w:val="single" w:color="000000" w:sz="8" w:space="0"/>
              <w:left w:val="nil"/>
              <w:bottom w:val="single" w:color="000000" w:sz="8" w:space="0"/>
              <w:right w:val="single" w:color="000000" w:sz="8" w:space="0"/>
            </w:tcBorders>
            <w:shd w:val="clear" w:color="auto" w:fill="auto"/>
            <w:vAlign w:val="center"/>
          </w:tcPr>
          <w:p w14:paraId="0D0F917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后期小计</w:t>
            </w:r>
          </w:p>
        </w:tc>
        <w:tc>
          <w:tcPr>
            <w:tcW w:w="445" w:type="pct"/>
            <w:tcBorders>
              <w:top w:val="single" w:color="000000" w:sz="8" w:space="0"/>
              <w:left w:val="nil"/>
              <w:bottom w:val="single" w:color="000000" w:sz="8" w:space="0"/>
              <w:right w:val="single" w:color="000000" w:sz="8" w:space="0"/>
            </w:tcBorders>
            <w:shd w:val="clear" w:color="auto" w:fill="auto"/>
            <w:vAlign w:val="center"/>
          </w:tcPr>
          <w:p w14:paraId="007FBA1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合计</w:t>
            </w:r>
          </w:p>
        </w:tc>
      </w:tr>
      <w:tr w14:paraId="58759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443"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AA1C853">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443" w:type="pct"/>
            <w:tcBorders>
              <w:top w:val="nil"/>
              <w:left w:val="nil"/>
              <w:bottom w:val="single" w:color="000000" w:sz="8" w:space="0"/>
              <w:right w:val="single" w:color="000000" w:sz="8" w:space="0"/>
            </w:tcBorders>
            <w:shd w:val="clear" w:color="auto" w:fill="auto"/>
            <w:vAlign w:val="center"/>
          </w:tcPr>
          <w:p w14:paraId="5770C9D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合计</w:t>
            </w:r>
          </w:p>
        </w:tc>
        <w:tc>
          <w:tcPr>
            <w:tcW w:w="443" w:type="pct"/>
            <w:tcBorders>
              <w:top w:val="nil"/>
              <w:left w:val="nil"/>
              <w:bottom w:val="single" w:color="000000" w:sz="8" w:space="0"/>
              <w:right w:val="single" w:color="000000" w:sz="8" w:space="0"/>
            </w:tcBorders>
            <w:shd w:val="clear" w:color="auto" w:fill="auto"/>
            <w:vAlign w:val="center"/>
          </w:tcPr>
          <w:p w14:paraId="06993F1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18.40</w:t>
            </w:r>
          </w:p>
        </w:tc>
        <w:tc>
          <w:tcPr>
            <w:tcW w:w="584" w:type="pct"/>
            <w:tcBorders>
              <w:top w:val="nil"/>
              <w:left w:val="nil"/>
              <w:bottom w:val="single" w:color="000000" w:sz="8" w:space="0"/>
              <w:right w:val="single" w:color="000000" w:sz="8" w:space="0"/>
            </w:tcBorders>
            <w:shd w:val="clear" w:color="auto" w:fill="auto"/>
            <w:vAlign w:val="center"/>
          </w:tcPr>
          <w:p w14:paraId="7703DEC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187.56</w:t>
            </w:r>
          </w:p>
        </w:tc>
        <w:tc>
          <w:tcPr>
            <w:tcW w:w="584" w:type="pct"/>
            <w:tcBorders>
              <w:top w:val="nil"/>
              <w:left w:val="nil"/>
              <w:bottom w:val="single" w:color="000000" w:sz="8" w:space="0"/>
              <w:right w:val="single" w:color="000000" w:sz="8" w:space="0"/>
            </w:tcBorders>
            <w:shd w:val="clear" w:color="auto" w:fill="auto"/>
            <w:vAlign w:val="center"/>
          </w:tcPr>
          <w:p w14:paraId="572DD36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125.19</w:t>
            </w:r>
          </w:p>
        </w:tc>
        <w:tc>
          <w:tcPr>
            <w:tcW w:w="584" w:type="pct"/>
            <w:tcBorders>
              <w:top w:val="nil"/>
              <w:left w:val="nil"/>
              <w:bottom w:val="single" w:color="000000" w:sz="8" w:space="0"/>
              <w:right w:val="single" w:color="000000" w:sz="8" w:space="0"/>
            </w:tcBorders>
            <w:shd w:val="clear" w:color="auto" w:fill="auto"/>
            <w:vAlign w:val="center"/>
          </w:tcPr>
          <w:p w14:paraId="118C2B9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169.94</w:t>
            </w:r>
          </w:p>
        </w:tc>
        <w:tc>
          <w:tcPr>
            <w:tcW w:w="584" w:type="pct"/>
            <w:tcBorders>
              <w:top w:val="nil"/>
              <w:left w:val="nil"/>
              <w:bottom w:val="single" w:color="000000" w:sz="8" w:space="0"/>
              <w:right w:val="single" w:color="000000" w:sz="8" w:space="0"/>
            </w:tcBorders>
            <w:shd w:val="clear" w:color="auto" w:fill="auto"/>
            <w:vAlign w:val="center"/>
          </w:tcPr>
          <w:p w14:paraId="7CC3E0B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82.13</w:t>
            </w:r>
          </w:p>
        </w:tc>
        <w:tc>
          <w:tcPr>
            <w:tcW w:w="443" w:type="pct"/>
            <w:tcBorders>
              <w:top w:val="nil"/>
              <w:left w:val="nil"/>
              <w:bottom w:val="single" w:color="000000" w:sz="8" w:space="0"/>
              <w:right w:val="single" w:color="000000" w:sz="8" w:space="0"/>
            </w:tcBorders>
            <w:shd w:val="clear" w:color="auto" w:fill="auto"/>
            <w:vAlign w:val="center"/>
          </w:tcPr>
          <w:p w14:paraId="2C6AAF4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583.22</w:t>
            </w:r>
          </w:p>
        </w:tc>
        <w:tc>
          <w:tcPr>
            <w:tcW w:w="443" w:type="pct"/>
            <w:tcBorders>
              <w:top w:val="nil"/>
              <w:left w:val="nil"/>
              <w:bottom w:val="single" w:color="000000" w:sz="8" w:space="0"/>
              <w:right w:val="single" w:color="000000" w:sz="8" w:space="0"/>
            </w:tcBorders>
            <w:shd w:val="clear" w:color="auto" w:fill="auto"/>
            <w:vAlign w:val="center"/>
          </w:tcPr>
          <w:p w14:paraId="7204570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300.00</w:t>
            </w:r>
          </w:p>
        </w:tc>
        <w:tc>
          <w:tcPr>
            <w:tcW w:w="445" w:type="pct"/>
            <w:tcBorders>
              <w:top w:val="nil"/>
              <w:left w:val="nil"/>
              <w:bottom w:val="single" w:color="000000" w:sz="8" w:space="0"/>
              <w:right w:val="single" w:color="000000" w:sz="8" w:space="0"/>
            </w:tcBorders>
            <w:shd w:val="clear" w:color="auto" w:fill="auto"/>
            <w:vAlign w:val="center"/>
          </w:tcPr>
          <w:p w14:paraId="01250D4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883.22</w:t>
            </w:r>
          </w:p>
        </w:tc>
      </w:tr>
      <w:tr w14:paraId="00E6ED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443"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643AF9D">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443" w:type="pct"/>
            <w:tcBorders>
              <w:top w:val="nil"/>
              <w:left w:val="nil"/>
              <w:bottom w:val="single" w:color="000000" w:sz="8" w:space="0"/>
              <w:right w:val="single" w:color="000000" w:sz="8" w:space="0"/>
            </w:tcBorders>
            <w:shd w:val="clear" w:color="auto" w:fill="auto"/>
            <w:vAlign w:val="center"/>
          </w:tcPr>
          <w:p w14:paraId="3391C12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小计</w:t>
            </w:r>
          </w:p>
        </w:tc>
        <w:tc>
          <w:tcPr>
            <w:tcW w:w="443" w:type="pct"/>
            <w:tcBorders>
              <w:top w:val="nil"/>
              <w:left w:val="nil"/>
              <w:bottom w:val="single" w:color="000000" w:sz="8" w:space="0"/>
              <w:right w:val="single" w:color="000000" w:sz="8" w:space="0"/>
            </w:tcBorders>
            <w:shd w:val="clear" w:color="auto" w:fill="auto"/>
            <w:vAlign w:val="center"/>
          </w:tcPr>
          <w:p w14:paraId="0EBE7EB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18.40</w:t>
            </w:r>
          </w:p>
        </w:tc>
        <w:tc>
          <w:tcPr>
            <w:tcW w:w="584" w:type="pct"/>
            <w:tcBorders>
              <w:top w:val="nil"/>
              <w:left w:val="nil"/>
              <w:bottom w:val="single" w:color="000000" w:sz="8" w:space="0"/>
              <w:right w:val="single" w:color="000000" w:sz="8" w:space="0"/>
            </w:tcBorders>
            <w:shd w:val="clear" w:color="auto" w:fill="auto"/>
            <w:vAlign w:val="center"/>
          </w:tcPr>
          <w:p w14:paraId="7B28AB0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144.95</w:t>
            </w:r>
          </w:p>
        </w:tc>
        <w:tc>
          <w:tcPr>
            <w:tcW w:w="584" w:type="pct"/>
            <w:tcBorders>
              <w:top w:val="nil"/>
              <w:left w:val="nil"/>
              <w:bottom w:val="single" w:color="000000" w:sz="8" w:space="0"/>
              <w:right w:val="single" w:color="000000" w:sz="8" w:space="0"/>
            </w:tcBorders>
            <w:shd w:val="clear" w:color="auto" w:fill="auto"/>
            <w:vAlign w:val="center"/>
          </w:tcPr>
          <w:p w14:paraId="5238F52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125.19</w:t>
            </w:r>
          </w:p>
        </w:tc>
        <w:tc>
          <w:tcPr>
            <w:tcW w:w="584" w:type="pct"/>
            <w:tcBorders>
              <w:top w:val="nil"/>
              <w:left w:val="nil"/>
              <w:bottom w:val="single" w:color="000000" w:sz="8" w:space="0"/>
              <w:right w:val="single" w:color="000000" w:sz="8" w:space="0"/>
            </w:tcBorders>
            <w:shd w:val="clear" w:color="auto" w:fill="auto"/>
            <w:vAlign w:val="center"/>
          </w:tcPr>
          <w:p w14:paraId="0E809A9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169.94</w:t>
            </w:r>
          </w:p>
        </w:tc>
        <w:tc>
          <w:tcPr>
            <w:tcW w:w="584" w:type="pct"/>
            <w:tcBorders>
              <w:top w:val="nil"/>
              <w:left w:val="nil"/>
              <w:bottom w:val="single" w:color="000000" w:sz="8" w:space="0"/>
              <w:right w:val="single" w:color="000000" w:sz="8" w:space="0"/>
            </w:tcBorders>
            <w:shd w:val="clear" w:color="auto" w:fill="auto"/>
            <w:vAlign w:val="center"/>
          </w:tcPr>
          <w:p w14:paraId="1073431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82.13</w:t>
            </w:r>
          </w:p>
        </w:tc>
        <w:tc>
          <w:tcPr>
            <w:tcW w:w="443" w:type="pct"/>
            <w:tcBorders>
              <w:top w:val="nil"/>
              <w:left w:val="nil"/>
              <w:bottom w:val="single" w:color="000000" w:sz="8" w:space="0"/>
              <w:right w:val="single" w:color="000000" w:sz="8" w:space="0"/>
            </w:tcBorders>
            <w:shd w:val="clear" w:color="auto" w:fill="auto"/>
            <w:vAlign w:val="center"/>
          </w:tcPr>
          <w:p w14:paraId="1309F8F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540.61</w:t>
            </w:r>
          </w:p>
        </w:tc>
        <w:tc>
          <w:tcPr>
            <w:tcW w:w="443" w:type="pct"/>
            <w:tcBorders>
              <w:top w:val="nil"/>
              <w:left w:val="nil"/>
              <w:bottom w:val="single" w:color="000000" w:sz="8" w:space="0"/>
              <w:right w:val="single" w:color="000000" w:sz="8" w:space="0"/>
            </w:tcBorders>
            <w:shd w:val="clear" w:color="auto" w:fill="auto"/>
            <w:vAlign w:val="center"/>
          </w:tcPr>
          <w:p w14:paraId="341D4A8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200.00</w:t>
            </w:r>
          </w:p>
        </w:tc>
        <w:tc>
          <w:tcPr>
            <w:tcW w:w="445" w:type="pct"/>
            <w:tcBorders>
              <w:top w:val="nil"/>
              <w:left w:val="nil"/>
              <w:bottom w:val="single" w:color="000000" w:sz="8" w:space="0"/>
              <w:right w:val="single" w:color="000000" w:sz="8" w:space="0"/>
            </w:tcBorders>
            <w:shd w:val="clear" w:color="auto" w:fill="auto"/>
            <w:vAlign w:val="center"/>
          </w:tcPr>
          <w:p w14:paraId="15C32E0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740.61</w:t>
            </w:r>
          </w:p>
        </w:tc>
      </w:tr>
      <w:tr w14:paraId="1A4827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443" w:type="pct"/>
            <w:tcBorders>
              <w:top w:val="nil"/>
              <w:left w:val="single" w:color="000000" w:sz="8" w:space="0"/>
              <w:bottom w:val="single" w:color="000000" w:sz="8" w:space="0"/>
              <w:right w:val="single" w:color="000000" w:sz="8" w:space="0"/>
            </w:tcBorders>
            <w:shd w:val="clear" w:color="auto" w:fill="auto"/>
            <w:vAlign w:val="center"/>
          </w:tcPr>
          <w:p w14:paraId="2122E48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林场场部</w:t>
            </w:r>
          </w:p>
        </w:tc>
        <w:tc>
          <w:tcPr>
            <w:tcW w:w="443" w:type="pct"/>
            <w:vMerge w:val="restart"/>
            <w:tcBorders>
              <w:top w:val="nil"/>
              <w:left w:val="nil"/>
              <w:bottom w:val="single" w:color="000000" w:sz="8" w:space="0"/>
              <w:right w:val="single" w:color="000000" w:sz="8" w:space="0"/>
            </w:tcBorders>
            <w:shd w:val="clear" w:color="auto" w:fill="auto"/>
            <w:vAlign w:val="center"/>
          </w:tcPr>
          <w:p w14:paraId="048E8E7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竹林改造</w:t>
            </w:r>
          </w:p>
        </w:tc>
        <w:tc>
          <w:tcPr>
            <w:tcW w:w="443" w:type="pct"/>
            <w:tcBorders>
              <w:top w:val="nil"/>
              <w:left w:val="nil"/>
              <w:bottom w:val="single" w:color="000000" w:sz="8" w:space="0"/>
              <w:right w:val="single" w:color="000000" w:sz="8" w:space="0"/>
            </w:tcBorders>
            <w:shd w:val="clear" w:color="auto" w:fill="auto"/>
            <w:vAlign w:val="center"/>
          </w:tcPr>
          <w:p w14:paraId="04AA1F1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2.77</w:t>
            </w:r>
          </w:p>
        </w:tc>
        <w:tc>
          <w:tcPr>
            <w:tcW w:w="584" w:type="pct"/>
            <w:tcBorders>
              <w:top w:val="nil"/>
              <w:left w:val="nil"/>
              <w:bottom w:val="single" w:color="000000" w:sz="8" w:space="0"/>
              <w:right w:val="single" w:color="000000" w:sz="8" w:space="0"/>
            </w:tcBorders>
            <w:shd w:val="clear" w:color="auto" w:fill="auto"/>
            <w:vAlign w:val="center"/>
          </w:tcPr>
          <w:p w14:paraId="265CE011">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584" w:type="pct"/>
            <w:tcBorders>
              <w:top w:val="nil"/>
              <w:left w:val="nil"/>
              <w:bottom w:val="single" w:color="000000" w:sz="8" w:space="0"/>
              <w:right w:val="single" w:color="000000" w:sz="8" w:space="0"/>
            </w:tcBorders>
            <w:shd w:val="clear" w:color="auto" w:fill="auto"/>
            <w:vAlign w:val="center"/>
          </w:tcPr>
          <w:p w14:paraId="03290376">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584" w:type="pct"/>
            <w:tcBorders>
              <w:top w:val="nil"/>
              <w:left w:val="nil"/>
              <w:bottom w:val="single" w:color="000000" w:sz="8" w:space="0"/>
              <w:right w:val="single" w:color="000000" w:sz="8" w:space="0"/>
            </w:tcBorders>
            <w:shd w:val="clear" w:color="auto" w:fill="auto"/>
            <w:vAlign w:val="center"/>
          </w:tcPr>
          <w:p w14:paraId="06ADAFFD">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584" w:type="pct"/>
            <w:tcBorders>
              <w:top w:val="nil"/>
              <w:left w:val="nil"/>
              <w:bottom w:val="single" w:color="000000" w:sz="8" w:space="0"/>
              <w:right w:val="single" w:color="000000" w:sz="8" w:space="0"/>
            </w:tcBorders>
            <w:shd w:val="clear" w:color="auto" w:fill="auto"/>
            <w:vAlign w:val="center"/>
          </w:tcPr>
          <w:p w14:paraId="68E6E22E">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443" w:type="pct"/>
            <w:tcBorders>
              <w:top w:val="nil"/>
              <w:left w:val="nil"/>
              <w:bottom w:val="single" w:color="000000" w:sz="8" w:space="0"/>
              <w:right w:val="single" w:color="000000" w:sz="8" w:space="0"/>
            </w:tcBorders>
            <w:shd w:val="clear" w:color="auto" w:fill="auto"/>
            <w:vAlign w:val="center"/>
          </w:tcPr>
          <w:p w14:paraId="7A99D27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2.77</w:t>
            </w:r>
          </w:p>
        </w:tc>
        <w:tc>
          <w:tcPr>
            <w:tcW w:w="443" w:type="pct"/>
            <w:tcBorders>
              <w:top w:val="nil"/>
              <w:left w:val="nil"/>
              <w:bottom w:val="single" w:color="000000" w:sz="8" w:space="0"/>
              <w:right w:val="single" w:color="000000" w:sz="8" w:space="0"/>
            </w:tcBorders>
            <w:shd w:val="clear" w:color="auto" w:fill="auto"/>
            <w:vAlign w:val="center"/>
          </w:tcPr>
          <w:p w14:paraId="65E541D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50.00</w:t>
            </w:r>
          </w:p>
        </w:tc>
        <w:tc>
          <w:tcPr>
            <w:tcW w:w="445" w:type="pct"/>
            <w:tcBorders>
              <w:top w:val="nil"/>
              <w:left w:val="nil"/>
              <w:bottom w:val="single" w:color="000000" w:sz="8" w:space="0"/>
              <w:right w:val="single" w:color="000000" w:sz="8" w:space="0"/>
            </w:tcBorders>
            <w:shd w:val="clear" w:color="auto" w:fill="auto"/>
            <w:vAlign w:val="center"/>
          </w:tcPr>
          <w:p w14:paraId="52547C4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52.77</w:t>
            </w:r>
          </w:p>
        </w:tc>
      </w:tr>
      <w:tr w14:paraId="277F8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443" w:type="pct"/>
            <w:tcBorders>
              <w:top w:val="nil"/>
              <w:left w:val="single" w:color="000000" w:sz="8" w:space="0"/>
              <w:bottom w:val="single" w:color="000000" w:sz="8" w:space="0"/>
              <w:right w:val="single" w:color="000000" w:sz="8" w:space="0"/>
            </w:tcBorders>
            <w:shd w:val="clear" w:color="auto" w:fill="auto"/>
            <w:vAlign w:val="center"/>
          </w:tcPr>
          <w:p w14:paraId="3918639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阳明山村</w:t>
            </w:r>
          </w:p>
        </w:tc>
        <w:tc>
          <w:tcPr>
            <w:tcW w:w="443" w:type="pct"/>
            <w:vMerge w:val="continue"/>
            <w:tcBorders>
              <w:top w:val="nil"/>
              <w:left w:val="nil"/>
              <w:bottom w:val="single" w:color="000000" w:sz="8" w:space="0"/>
              <w:right w:val="single" w:color="000000" w:sz="8" w:space="0"/>
            </w:tcBorders>
            <w:shd w:val="clear" w:color="auto" w:fill="auto"/>
            <w:vAlign w:val="center"/>
          </w:tcPr>
          <w:p w14:paraId="3AC70D87">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443" w:type="pct"/>
            <w:tcBorders>
              <w:top w:val="nil"/>
              <w:left w:val="nil"/>
              <w:bottom w:val="single" w:color="000000" w:sz="8" w:space="0"/>
              <w:right w:val="single" w:color="000000" w:sz="8" w:space="0"/>
            </w:tcBorders>
            <w:shd w:val="clear" w:color="auto" w:fill="auto"/>
            <w:vAlign w:val="center"/>
          </w:tcPr>
          <w:p w14:paraId="0CB8A18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15.63</w:t>
            </w:r>
          </w:p>
        </w:tc>
        <w:tc>
          <w:tcPr>
            <w:tcW w:w="584" w:type="pct"/>
            <w:tcBorders>
              <w:top w:val="nil"/>
              <w:left w:val="nil"/>
              <w:bottom w:val="single" w:color="000000" w:sz="8" w:space="0"/>
              <w:right w:val="single" w:color="000000" w:sz="8" w:space="0"/>
            </w:tcBorders>
            <w:shd w:val="clear" w:color="auto" w:fill="auto"/>
            <w:vAlign w:val="center"/>
          </w:tcPr>
          <w:p w14:paraId="4E00E61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144.95</w:t>
            </w:r>
          </w:p>
        </w:tc>
        <w:tc>
          <w:tcPr>
            <w:tcW w:w="584" w:type="pct"/>
            <w:tcBorders>
              <w:top w:val="nil"/>
              <w:left w:val="nil"/>
              <w:bottom w:val="single" w:color="000000" w:sz="8" w:space="0"/>
              <w:right w:val="single" w:color="000000" w:sz="8" w:space="0"/>
            </w:tcBorders>
            <w:shd w:val="clear" w:color="auto" w:fill="auto"/>
            <w:vAlign w:val="center"/>
          </w:tcPr>
          <w:p w14:paraId="1EBA47C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125.19</w:t>
            </w:r>
          </w:p>
        </w:tc>
        <w:tc>
          <w:tcPr>
            <w:tcW w:w="584" w:type="pct"/>
            <w:tcBorders>
              <w:top w:val="nil"/>
              <w:left w:val="nil"/>
              <w:bottom w:val="single" w:color="000000" w:sz="8" w:space="0"/>
              <w:right w:val="single" w:color="000000" w:sz="8" w:space="0"/>
            </w:tcBorders>
            <w:shd w:val="clear" w:color="auto" w:fill="auto"/>
            <w:vAlign w:val="center"/>
          </w:tcPr>
          <w:p w14:paraId="069C607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169.94</w:t>
            </w:r>
          </w:p>
        </w:tc>
        <w:tc>
          <w:tcPr>
            <w:tcW w:w="584" w:type="pct"/>
            <w:tcBorders>
              <w:top w:val="nil"/>
              <w:left w:val="nil"/>
              <w:bottom w:val="single" w:color="000000" w:sz="8" w:space="0"/>
              <w:right w:val="single" w:color="000000" w:sz="8" w:space="0"/>
            </w:tcBorders>
            <w:shd w:val="clear" w:color="auto" w:fill="auto"/>
            <w:vAlign w:val="center"/>
          </w:tcPr>
          <w:p w14:paraId="74833D5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82.13</w:t>
            </w:r>
          </w:p>
        </w:tc>
        <w:tc>
          <w:tcPr>
            <w:tcW w:w="443" w:type="pct"/>
            <w:tcBorders>
              <w:top w:val="nil"/>
              <w:left w:val="nil"/>
              <w:bottom w:val="single" w:color="000000" w:sz="8" w:space="0"/>
              <w:right w:val="single" w:color="000000" w:sz="8" w:space="0"/>
            </w:tcBorders>
            <w:shd w:val="clear" w:color="auto" w:fill="auto"/>
            <w:vAlign w:val="center"/>
          </w:tcPr>
          <w:p w14:paraId="5CBE842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537.84</w:t>
            </w:r>
          </w:p>
        </w:tc>
        <w:tc>
          <w:tcPr>
            <w:tcW w:w="443" w:type="pct"/>
            <w:tcBorders>
              <w:top w:val="nil"/>
              <w:left w:val="nil"/>
              <w:bottom w:val="single" w:color="000000" w:sz="8" w:space="0"/>
              <w:right w:val="single" w:color="000000" w:sz="8" w:space="0"/>
            </w:tcBorders>
            <w:shd w:val="clear" w:color="auto" w:fill="auto"/>
            <w:vAlign w:val="center"/>
          </w:tcPr>
          <w:p w14:paraId="44D687B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100.00</w:t>
            </w:r>
          </w:p>
        </w:tc>
        <w:tc>
          <w:tcPr>
            <w:tcW w:w="445" w:type="pct"/>
            <w:tcBorders>
              <w:top w:val="nil"/>
              <w:left w:val="nil"/>
              <w:bottom w:val="single" w:color="000000" w:sz="8" w:space="0"/>
              <w:right w:val="single" w:color="000000" w:sz="8" w:space="0"/>
            </w:tcBorders>
            <w:shd w:val="clear" w:color="auto" w:fill="auto"/>
            <w:vAlign w:val="center"/>
          </w:tcPr>
          <w:p w14:paraId="42D3499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637.84</w:t>
            </w:r>
          </w:p>
        </w:tc>
      </w:tr>
      <w:tr w14:paraId="388CE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443" w:type="pct"/>
            <w:tcBorders>
              <w:top w:val="nil"/>
              <w:left w:val="single" w:color="000000" w:sz="8" w:space="0"/>
              <w:bottom w:val="single" w:color="000000" w:sz="8" w:space="0"/>
              <w:right w:val="single" w:color="000000" w:sz="8" w:space="0"/>
            </w:tcBorders>
            <w:shd w:val="clear" w:color="auto" w:fill="auto"/>
            <w:vAlign w:val="center"/>
          </w:tcPr>
          <w:p w14:paraId="2699E25B">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443" w:type="pct"/>
            <w:tcBorders>
              <w:top w:val="nil"/>
              <w:left w:val="nil"/>
              <w:bottom w:val="single" w:color="000000" w:sz="8" w:space="0"/>
              <w:right w:val="single" w:color="000000" w:sz="8" w:space="0"/>
            </w:tcBorders>
            <w:shd w:val="clear" w:color="auto" w:fill="auto"/>
            <w:vAlign w:val="center"/>
          </w:tcPr>
          <w:p w14:paraId="3A82B15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小计</w:t>
            </w:r>
          </w:p>
        </w:tc>
        <w:tc>
          <w:tcPr>
            <w:tcW w:w="443" w:type="pct"/>
            <w:tcBorders>
              <w:top w:val="nil"/>
              <w:left w:val="nil"/>
              <w:bottom w:val="single" w:color="000000" w:sz="8" w:space="0"/>
              <w:right w:val="single" w:color="000000" w:sz="8" w:space="0"/>
            </w:tcBorders>
            <w:shd w:val="clear" w:color="auto" w:fill="auto"/>
            <w:vAlign w:val="center"/>
          </w:tcPr>
          <w:p w14:paraId="4B6CCC96">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584" w:type="pct"/>
            <w:tcBorders>
              <w:top w:val="nil"/>
              <w:left w:val="nil"/>
              <w:bottom w:val="single" w:color="000000" w:sz="8" w:space="0"/>
              <w:right w:val="single" w:color="000000" w:sz="8" w:space="0"/>
            </w:tcBorders>
            <w:shd w:val="clear" w:color="auto" w:fill="auto"/>
            <w:vAlign w:val="center"/>
          </w:tcPr>
          <w:p w14:paraId="0992FF4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42.61</w:t>
            </w:r>
          </w:p>
        </w:tc>
        <w:tc>
          <w:tcPr>
            <w:tcW w:w="584" w:type="pct"/>
            <w:tcBorders>
              <w:top w:val="nil"/>
              <w:left w:val="nil"/>
              <w:bottom w:val="single" w:color="000000" w:sz="8" w:space="0"/>
              <w:right w:val="single" w:color="000000" w:sz="8" w:space="0"/>
            </w:tcBorders>
            <w:shd w:val="clear" w:color="auto" w:fill="auto"/>
            <w:vAlign w:val="center"/>
          </w:tcPr>
          <w:p w14:paraId="03F33102">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584" w:type="pct"/>
            <w:tcBorders>
              <w:top w:val="nil"/>
              <w:left w:val="nil"/>
              <w:bottom w:val="single" w:color="000000" w:sz="8" w:space="0"/>
              <w:right w:val="single" w:color="000000" w:sz="8" w:space="0"/>
            </w:tcBorders>
            <w:shd w:val="clear" w:color="auto" w:fill="auto"/>
            <w:vAlign w:val="center"/>
          </w:tcPr>
          <w:p w14:paraId="5238442F">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584" w:type="pct"/>
            <w:tcBorders>
              <w:top w:val="nil"/>
              <w:left w:val="nil"/>
              <w:bottom w:val="single" w:color="000000" w:sz="8" w:space="0"/>
              <w:right w:val="single" w:color="000000" w:sz="8" w:space="0"/>
            </w:tcBorders>
            <w:shd w:val="clear" w:color="auto" w:fill="auto"/>
            <w:vAlign w:val="center"/>
          </w:tcPr>
          <w:p w14:paraId="654EC3C6">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443" w:type="pct"/>
            <w:tcBorders>
              <w:top w:val="nil"/>
              <w:left w:val="nil"/>
              <w:bottom w:val="single" w:color="000000" w:sz="8" w:space="0"/>
              <w:right w:val="single" w:color="000000" w:sz="8" w:space="0"/>
            </w:tcBorders>
            <w:shd w:val="clear" w:color="auto" w:fill="auto"/>
            <w:vAlign w:val="center"/>
          </w:tcPr>
          <w:p w14:paraId="0743E2B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42.61</w:t>
            </w:r>
          </w:p>
        </w:tc>
        <w:tc>
          <w:tcPr>
            <w:tcW w:w="443" w:type="pct"/>
            <w:tcBorders>
              <w:top w:val="nil"/>
              <w:left w:val="nil"/>
              <w:bottom w:val="single" w:color="000000" w:sz="8" w:space="0"/>
              <w:right w:val="single" w:color="000000" w:sz="8" w:space="0"/>
            </w:tcBorders>
            <w:shd w:val="clear" w:color="auto" w:fill="auto"/>
            <w:vAlign w:val="center"/>
          </w:tcPr>
          <w:p w14:paraId="0D4291F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100.00</w:t>
            </w:r>
          </w:p>
        </w:tc>
        <w:tc>
          <w:tcPr>
            <w:tcW w:w="445" w:type="pct"/>
            <w:tcBorders>
              <w:top w:val="nil"/>
              <w:left w:val="nil"/>
              <w:bottom w:val="single" w:color="000000" w:sz="8" w:space="0"/>
              <w:right w:val="single" w:color="000000" w:sz="8" w:space="0"/>
            </w:tcBorders>
            <w:shd w:val="clear" w:color="auto" w:fill="auto"/>
            <w:vAlign w:val="center"/>
          </w:tcPr>
          <w:p w14:paraId="6C3F525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142.61</w:t>
            </w:r>
          </w:p>
        </w:tc>
      </w:tr>
      <w:tr w14:paraId="2B904A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443" w:type="pct"/>
            <w:tcBorders>
              <w:top w:val="nil"/>
              <w:left w:val="single" w:color="000000" w:sz="8" w:space="0"/>
              <w:bottom w:val="single" w:color="000000" w:sz="8" w:space="0"/>
              <w:right w:val="single" w:color="000000" w:sz="8" w:space="0"/>
            </w:tcBorders>
            <w:shd w:val="clear" w:color="auto" w:fill="auto"/>
            <w:vAlign w:val="center"/>
          </w:tcPr>
          <w:p w14:paraId="40D1087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阳明山村</w:t>
            </w:r>
          </w:p>
        </w:tc>
        <w:tc>
          <w:tcPr>
            <w:tcW w:w="443" w:type="pct"/>
            <w:vMerge w:val="restart"/>
            <w:tcBorders>
              <w:top w:val="nil"/>
              <w:left w:val="nil"/>
              <w:bottom w:val="single" w:color="000000" w:sz="8" w:space="0"/>
              <w:right w:val="single" w:color="000000" w:sz="8" w:space="0"/>
            </w:tcBorders>
            <w:shd w:val="clear" w:color="auto" w:fill="auto"/>
            <w:vAlign w:val="center"/>
          </w:tcPr>
          <w:p w14:paraId="4134679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幼林抚育</w:t>
            </w:r>
          </w:p>
        </w:tc>
        <w:tc>
          <w:tcPr>
            <w:tcW w:w="443" w:type="pct"/>
            <w:tcBorders>
              <w:top w:val="nil"/>
              <w:left w:val="nil"/>
              <w:bottom w:val="single" w:color="000000" w:sz="8" w:space="0"/>
              <w:right w:val="single" w:color="000000" w:sz="8" w:space="0"/>
            </w:tcBorders>
            <w:shd w:val="clear" w:color="auto" w:fill="auto"/>
            <w:vAlign w:val="center"/>
          </w:tcPr>
          <w:p w14:paraId="25D19BD4">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584" w:type="pct"/>
            <w:tcBorders>
              <w:top w:val="nil"/>
              <w:left w:val="nil"/>
              <w:bottom w:val="single" w:color="000000" w:sz="8" w:space="0"/>
              <w:right w:val="single" w:color="000000" w:sz="8" w:space="0"/>
            </w:tcBorders>
            <w:shd w:val="clear" w:color="auto" w:fill="auto"/>
            <w:vAlign w:val="center"/>
          </w:tcPr>
          <w:p w14:paraId="0428383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42.61</w:t>
            </w:r>
          </w:p>
        </w:tc>
        <w:tc>
          <w:tcPr>
            <w:tcW w:w="584" w:type="pct"/>
            <w:tcBorders>
              <w:top w:val="nil"/>
              <w:left w:val="nil"/>
              <w:bottom w:val="single" w:color="000000" w:sz="8" w:space="0"/>
              <w:right w:val="single" w:color="000000" w:sz="8" w:space="0"/>
            </w:tcBorders>
            <w:shd w:val="clear" w:color="auto" w:fill="auto"/>
            <w:vAlign w:val="center"/>
          </w:tcPr>
          <w:p w14:paraId="78D3E165">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584" w:type="pct"/>
            <w:tcBorders>
              <w:top w:val="nil"/>
              <w:left w:val="nil"/>
              <w:bottom w:val="single" w:color="000000" w:sz="8" w:space="0"/>
              <w:right w:val="single" w:color="000000" w:sz="8" w:space="0"/>
            </w:tcBorders>
            <w:shd w:val="clear" w:color="auto" w:fill="auto"/>
            <w:vAlign w:val="center"/>
          </w:tcPr>
          <w:p w14:paraId="4BA44482">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584" w:type="pct"/>
            <w:tcBorders>
              <w:top w:val="nil"/>
              <w:left w:val="nil"/>
              <w:bottom w:val="single" w:color="000000" w:sz="8" w:space="0"/>
              <w:right w:val="single" w:color="000000" w:sz="8" w:space="0"/>
            </w:tcBorders>
            <w:shd w:val="clear" w:color="auto" w:fill="auto"/>
            <w:vAlign w:val="center"/>
          </w:tcPr>
          <w:p w14:paraId="1F2BBC43">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443" w:type="pct"/>
            <w:tcBorders>
              <w:top w:val="nil"/>
              <w:left w:val="nil"/>
              <w:bottom w:val="single" w:color="000000" w:sz="8" w:space="0"/>
              <w:right w:val="single" w:color="000000" w:sz="8" w:space="0"/>
            </w:tcBorders>
            <w:shd w:val="clear" w:color="auto" w:fill="auto"/>
            <w:vAlign w:val="center"/>
          </w:tcPr>
          <w:p w14:paraId="7563817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42.61</w:t>
            </w:r>
          </w:p>
        </w:tc>
        <w:tc>
          <w:tcPr>
            <w:tcW w:w="443" w:type="pct"/>
            <w:tcBorders>
              <w:top w:val="nil"/>
              <w:left w:val="nil"/>
              <w:bottom w:val="single" w:color="000000" w:sz="8" w:space="0"/>
              <w:right w:val="single" w:color="000000" w:sz="8" w:space="0"/>
            </w:tcBorders>
            <w:shd w:val="clear" w:color="auto" w:fill="auto"/>
            <w:vAlign w:val="center"/>
          </w:tcPr>
          <w:p w14:paraId="742E43B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50.00</w:t>
            </w:r>
          </w:p>
        </w:tc>
        <w:tc>
          <w:tcPr>
            <w:tcW w:w="445" w:type="pct"/>
            <w:tcBorders>
              <w:top w:val="nil"/>
              <w:left w:val="nil"/>
              <w:bottom w:val="single" w:color="000000" w:sz="8" w:space="0"/>
              <w:right w:val="single" w:color="000000" w:sz="8" w:space="0"/>
            </w:tcBorders>
            <w:shd w:val="clear" w:color="auto" w:fill="auto"/>
            <w:vAlign w:val="center"/>
          </w:tcPr>
          <w:p w14:paraId="26142B9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92.61</w:t>
            </w:r>
          </w:p>
        </w:tc>
      </w:tr>
      <w:tr w14:paraId="6DDA4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443" w:type="pct"/>
            <w:tcBorders>
              <w:top w:val="nil"/>
              <w:left w:val="single" w:color="000000" w:sz="8" w:space="0"/>
              <w:bottom w:val="single" w:color="000000" w:sz="8" w:space="0"/>
              <w:right w:val="single" w:color="000000" w:sz="8" w:space="0"/>
            </w:tcBorders>
            <w:shd w:val="clear" w:color="auto" w:fill="auto"/>
            <w:vAlign w:val="center"/>
          </w:tcPr>
          <w:p w14:paraId="2FB8ED7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林场场部</w:t>
            </w:r>
          </w:p>
        </w:tc>
        <w:tc>
          <w:tcPr>
            <w:tcW w:w="443" w:type="pct"/>
            <w:vMerge w:val="continue"/>
            <w:tcBorders>
              <w:top w:val="nil"/>
              <w:left w:val="nil"/>
              <w:bottom w:val="single" w:color="000000" w:sz="8" w:space="0"/>
              <w:right w:val="single" w:color="000000" w:sz="8" w:space="0"/>
            </w:tcBorders>
            <w:shd w:val="clear" w:color="auto" w:fill="auto"/>
            <w:vAlign w:val="center"/>
          </w:tcPr>
          <w:p w14:paraId="4DCAE6AA">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443" w:type="pct"/>
            <w:tcBorders>
              <w:top w:val="nil"/>
              <w:left w:val="nil"/>
              <w:bottom w:val="single" w:color="000000" w:sz="8" w:space="0"/>
              <w:right w:val="single" w:color="000000" w:sz="8" w:space="0"/>
            </w:tcBorders>
            <w:shd w:val="clear" w:color="auto" w:fill="auto"/>
            <w:vAlign w:val="center"/>
          </w:tcPr>
          <w:p w14:paraId="527A4A76">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584" w:type="pct"/>
            <w:tcBorders>
              <w:top w:val="nil"/>
              <w:left w:val="nil"/>
              <w:bottom w:val="single" w:color="000000" w:sz="8" w:space="0"/>
              <w:right w:val="single" w:color="000000" w:sz="8" w:space="0"/>
            </w:tcBorders>
            <w:shd w:val="clear" w:color="auto" w:fill="auto"/>
            <w:vAlign w:val="center"/>
          </w:tcPr>
          <w:p w14:paraId="2E1FB8B7">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584" w:type="pct"/>
            <w:tcBorders>
              <w:top w:val="nil"/>
              <w:left w:val="nil"/>
              <w:bottom w:val="single" w:color="000000" w:sz="8" w:space="0"/>
              <w:right w:val="single" w:color="000000" w:sz="8" w:space="0"/>
            </w:tcBorders>
            <w:shd w:val="clear" w:color="auto" w:fill="auto"/>
            <w:vAlign w:val="center"/>
          </w:tcPr>
          <w:p w14:paraId="705EF4C8">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584" w:type="pct"/>
            <w:tcBorders>
              <w:top w:val="nil"/>
              <w:left w:val="nil"/>
              <w:bottom w:val="single" w:color="000000" w:sz="8" w:space="0"/>
              <w:right w:val="single" w:color="000000" w:sz="8" w:space="0"/>
            </w:tcBorders>
            <w:shd w:val="clear" w:color="auto" w:fill="auto"/>
            <w:vAlign w:val="center"/>
          </w:tcPr>
          <w:p w14:paraId="4BD144B5">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584" w:type="pct"/>
            <w:tcBorders>
              <w:top w:val="nil"/>
              <w:left w:val="nil"/>
              <w:bottom w:val="single" w:color="000000" w:sz="8" w:space="0"/>
              <w:right w:val="single" w:color="000000" w:sz="8" w:space="0"/>
            </w:tcBorders>
            <w:shd w:val="clear" w:color="auto" w:fill="auto"/>
            <w:vAlign w:val="center"/>
          </w:tcPr>
          <w:p w14:paraId="77152E6A">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443" w:type="pct"/>
            <w:tcBorders>
              <w:top w:val="nil"/>
              <w:left w:val="nil"/>
              <w:bottom w:val="single" w:color="000000" w:sz="8" w:space="0"/>
              <w:right w:val="single" w:color="000000" w:sz="8" w:space="0"/>
            </w:tcBorders>
            <w:shd w:val="clear" w:color="auto" w:fill="auto"/>
            <w:vAlign w:val="center"/>
          </w:tcPr>
          <w:p w14:paraId="4C24BA78">
            <w:pPr>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443" w:type="pct"/>
            <w:tcBorders>
              <w:top w:val="nil"/>
              <w:left w:val="nil"/>
              <w:bottom w:val="single" w:color="000000" w:sz="8" w:space="0"/>
              <w:right w:val="single" w:color="000000" w:sz="8" w:space="0"/>
            </w:tcBorders>
            <w:shd w:val="clear" w:color="auto" w:fill="auto"/>
            <w:vAlign w:val="center"/>
          </w:tcPr>
          <w:p w14:paraId="0450E77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50.00</w:t>
            </w:r>
          </w:p>
        </w:tc>
        <w:tc>
          <w:tcPr>
            <w:tcW w:w="445" w:type="pct"/>
            <w:tcBorders>
              <w:top w:val="nil"/>
              <w:left w:val="nil"/>
              <w:bottom w:val="single" w:color="000000" w:sz="8" w:space="0"/>
              <w:right w:val="single" w:color="000000" w:sz="8" w:space="0"/>
            </w:tcBorders>
            <w:shd w:val="clear" w:color="auto" w:fill="auto"/>
            <w:vAlign w:val="center"/>
          </w:tcPr>
          <w:p w14:paraId="1E9D925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50.00</w:t>
            </w:r>
          </w:p>
        </w:tc>
      </w:tr>
    </w:tbl>
    <w:p w14:paraId="1D9C74D6">
      <w:pPr>
        <w:pStyle w:val="7"/>
        <w:ind w:firstLine="480"/>
        <w:rPr>
          <w:rFonts w:cs="Times New Roman"/>
        </w:rPr>
      </w:pPr>
    </w:p>
    <w:p w14:paraId="163AE759">
      <w:pPr>
        <w:kinsoku/>
        <w:autoSpaceDE/>
        <w:autoSpaceDN/>
        <w:adjustRightInd/>
        <w:snapToGrid/>
        <w:spacing w:line="240" w:lineRule="auto"/>
        <w:ind w:firstLine="0" w:firstLineChars="0"/>
        <w:jc w:val="left"/>
        <w:textAlignment w:val="auto"/>
        <w:rPr>
          <w:rFonts w:cs="Times New Roman"/>
        </w:rPr>
      </w:pPr>
      <w:r>
        <w:rPr>
          <w:rFonts w:cs="Times New Roman"/>
        </w:rPr>
        <w:br w:type="page"/>
      </w:r>
    </w:p>
    <w:p w14:paraId="071C7F6D">
      <w:pPr>
        <w:ind w:firstLine="480"/>
        <w:rPr>
          <w:rFonts w:cs="Times New Roman"/>
        </w:rPr>
        <w:sectPr>
          <w:footerReference r:id="rId46" w:type="default"/>
          <w:type w:val="continuous"/>
          <w:pgSz w:w="16843" w:h="11905" w:orient="landscape"/>
          <w:pgMar w:top="1803" w:right="1440" w:bottom="1406" w:left="1440" w:header="873" w:footer="1276" w:gutter="0"/>
          <w:cols w:space="0" w:num="1"/>
          <w:rtlGutter w:val="0"/>
          <w:docGrid w:linePitch="326" w:charSpace="0"/>
        </w:sectPr>
      </w:pPr>
    </w:p>
    <w:p w14:paraId="1C2BAA94">
      <w:pPr>
        <w:pStyle w:val="7"/>
        <w:spacing w:line="240" w:lineRule="auto"/>
        <w:ind w:firstLine="0" w:firstLineChars="0"/>
        <w:jc w:val="center"/>
        <w:rPr>
          <w:rFonts w:eastAsia="黑体" w:cs="Times New Roman"/>
          <w:b/>
          <w:szCs w:val="24"/>
          <w:lang w:eastAsia="zh-CN"/>
        </w:rPr>
      </w:pPr>
      <w:r>
        <w:rPr>
          <w:rFonts w:eastAsia="黑体" w:cs="Times New Roman"/>
          <w:b/>
          <w:szCs w:val="24"/>
          <w:lang w:eastAsia="zh-CN"/>
        </w:rPr>
        <w:t>附表5</w:t>
      </w:r>
      <w:r>
        <w:rPr>
          <w:rFonts w:hint="eastAsia" w:eastAsia="黑体" w:cs="Times New Roman"/>
          <w:b/>
          <w:szCs w:val="24"/>
          <w:lang w:eastAsia="zh-CN"/>
        </w:rPr>
        <w:t>森林经营投资估算表</w:t>
      </w:r>
    </w:p>
    <w:p w14:paraId="523BB4A0">
      <w:pPr>
        <w:spacing w:line="240" w:lineRule="auto"/>
        <w:ind w:firstLine="0" w:firstLineChars="0"/>
        <w:jc w:val="right"/>
        <w:rPr>
          <w:rFonts w:cs="Times New Roman"/>
          <w:bCs/>
          <w:sz w:val="21"/>
          <w:lang w:eastAsia="zh-CN"/>
        </w:rPr>
      </w:pPr>
      <w:r>
        <w:rPr>
          <w:rFonts w:cs="Times New Roman"/>
          <w:sz w:val="21"/>
          <w:lang w:eastAsia="zh-CN" w:bidi="ar"/>
        </w:rPr>
        <w:t>单位：hm</w:t>
      </w:r>
      <w:r>
        <w:rPr>
          <w:rFonts w:cs="Times New Roman"/>
          <w:sz w:val="21"/>
          <w:vertAlign w:val="superscript"/>
          <w:lang w:eastAsia="zh-CN" w:bidi="ar"/>
        </w:rPr>
        <w:t>2</w:t>
      </w:r>
      <w:r>
        <w:rPr>
          <w:rFonts w:cs="Times New Roman"/>
          <w:sz w:val="21"/>
          <w:lang w:eastAsia="zh-CN" w:bidi="ar"/>
        </w:rPr>
        <w:t>、m</w:t>
      </w:r>
      <w:r>
        <w:rPr>
          <w:rFonts w:cs="Times New Roman"/>
          <w:sz w:val="21"/>
          <w:vertAlign w:val="superscript"/>
          <w:lang w:eastAsia="zh-CN" w:bidi="ar"/>
        </w:rPr>
        <w:t>3</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986"/>
        <w:gridCol w:w="884"/>
        <w:gridCol w:w="1037"/>
        <w:gridCol w:w="1037"/>
        <w:gridCol w:w="884"/>
        <w:gridCol w:w="678"/>
        <w:gridCol w:w="781"/>
        <w:gridCol w:w="421"/>
        <w:gridCol w:w="884"/>
        <w:gridCol w:w="781"/>
        <w:gridCol w:w="781"/>
        <w:gridCol w:w="421"/>
        <w:gridCol w:w="524"/>
        <w:gridCol w:w="627"/>
        <w:gridCol w:w="627"/>
        <w:gridCol w:w="421"/>
        <w:gridCol w:w="627"/>
        <w:gridCol w:w="524"/>
        <w:gridCol w:w="627"/>
      </w:tblGrid>
      <w:tr w14:paraId="51534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2" w:type="pct"/>
            <w:vMerge w:val="restart"/>
            <w:shd w:val="clear" w:color="auto" w:fill="auto"/>
            <w:vAlign w:val="center"/>
          </w:tcPr>
          <w:p w14:paraId="578D3531">
            <w:pPr>
              <w:spacing w:line="240" w:lineRule="auto"/>
              <w:ind w:firstLine="0" w:firstLineChars="0"/>
              <w:jc w:val="center"/>
              <w:textAlignment w:val="center"/>
              <w:rPr>
                <w:rFonts w:cs="宋体"/>
                <w:color w:val="002060"/>
                <w:sz w:val="21"/>
                <w:szCs w:val="21"/>
              </w:rPr>
            </w:pPr>
            <w:r>
              <w:rPr>
                <w:rFonts w:hint="eastAsia" w:cs="宋体"/>
                <w:sz w:val="21"/>
                <w:szCs w:val="21"/>
                <w:lang w:eastAsia="zh-CN" w:bidi="ar"/>
              </w:rPr>
              <w:t>建设年度</w:t>
            </w:r>
          </w:p>
        </w:tc>
        <w:tc>
          <w:tcPr>
            <w:tcW w:w="315" w:type="pct"/>
            <w:vMerge w:val="restart"/>
            <w:shd w:val="clear" w:color="auto" w:fill="auto"/>
            <w:vAlign w:val="center"/>
          </w:tcPr>
          <w:p w14:paraId="5F3E7530">
            <w:pPr>
              <w:spacing w:line="240" w:lineRule="auto"/>
              <w:ind w:firstLine="0" w:firstLineChars="0"/>
              <w:jc w:val="center"/>
              <w:textAlignment w:val="center"/>
              <w:rPr>
                <w:rFonts w:cs="宋体"/>
                <w:color w:val="002060"/>
                <w:sz w:val="21"/>
                <w:szCs w:val="21"/>
              </w:rPr>
            </w:pPr>
            <w:r>
              <w:rPr>
                <w:rFonts w:hint="eastAsia" w:cs="宋体"/>
                <w:sz w:val="21"/>
                <w:szCs w:val="21"/>
                <w:lang w:eastAsia="zh-CN" w:bidi="ar"/>
              </w:rPr>
              <w:t>合计</w:t>
            </w:r>
          </w:p>
        </w:tc>
        <w:tc>
          <w:tcPr>
            <w:tcW w:w="925" w:type="pct"/>
            <w:gridSpan w:val="3"/>
            <w:shd w:val="clear" w:color="auto" w:fill="auto"/>
            <w:vAlign w:val="center"/>
          </w:tcPr>
          <w:p w14:paraId="7A228ADA">
            <w:pPr>
              <w:spacing w:line="240" w:lineRule="auto"/>
              <w:ind w:firstLine="0" w:firstLineChars="0"/>
              <w:jc w:val="center"/>
              <w:textAlignment w:val="center"/>
              <w:rPr>
                <w:rFonts w:cs="宋体"/>
                <w:color w:val="002060"/>
                <w:sz w:val="21"/>
                <w:szCs w:val="21"/>
              </w:rPr>
            </w:pPr>
            <w:r>
              <w:rPr>
                <w:rFonts w:hint="eastAsia" w:cs="宋体"/>
                <w:sz w:val="21"/>
                <w:szCs w:val="21"/>
                <w:lang w:eastAsia="zh-CN" w:bidi="ar"/>
              </w:rPr>
              <w:t>采伐投入</w:t>
            </w:r>
          </w:p>
        </w:tc>
        <w:tc>
          <w:tcPr>
            <w:tcW w:w="1417" w:type="pct"/>
            <w:gridSpan w:val="5"/>
            <w:shd w:val="clear" w:color="auto" w:fill="auto"/>
            <w:vAlign w:val="center"/>
          </w:tcPr>
          <w:p w14:paraId="1A35B3ED">
            <w:pPr>
              <w:spacing w:line="240" w:lineRule="auto"/>
              <w:ind w:firstLine="0" w:firstLineChars="0"/>
              <w:jc w:val="center"/>
              <w:textAlignment w:val="center"/>
              <w:rPr>
                <w:rFonts w:cs="宋体"/>
                <w:color w:val="002060"/>
                <w:sz w:val="21"/>
                <w:szCs w:val="21"/>
              </w:rPr>
            </w:pPr>
            <w:r>
              <w:rPr>
                <w:rFonts w:hint="eastAsia" w:cs="宋体"/>
                <w:sz w:val="21"/>
                <w:szCs w:val="21"/>
                <w:lang w:eastAsia="zh-CN" w:bidi="ar"/>
              </w:rPr>
              <w:t>森林培育</w:t>
            </w:r>
          </w:p>
        </w:tc>
        <w:tc>
          <w:tcPr>
            <w:tcW w:w="892" w:type="pct"/>
            <w:gridSpan w:val="4"/>
            <w:shd w:val="clear" w:color="auto" w:fill="auto"/>
            <w:vAlign w:val="center"/>
          </w:tcPr>
          <w:p w14:paraId="19443FC6">
            <w:pPr>
              <w:spacing w:line="240" w:lineRule="auto"/>
              <w:ind w:firstLine="0" w:firstLineChars="0"/>
              <w:jc w:val="center"/>
              <w:textAlignment w:val="center"/>
              <w:rPr>
                <w:rFonts w:cs="宋体"/>
                <w:color w:val="002060"/>
                <w:sz w:val="21"/>
                <w:szCs w:val="21"/>
                <w:lang w:eastAsia="zh-CN"/>
              </w:rPr>
            </w:pPr>
            <w:r>
              <w:rPr>
                <w:rFonts w:hint="eastAsia" w:cs="宋体"/>
                <w:sz w:val="21"/>
                <w:szCs w:val="21"/>
                <w:lang w:eastAsia="zh-CN" w:bidi="ar"/>
              </w:rPr>
              <w:t>森林健康与生物多样性保护</w:t>
            </w:r>
          </w:p>
        </w:tc>
        <w:tc>
          <w:tcPr>
            <w:tcW w:w="595" w:type="pct"/>
            <w:gridSpan w:val="3"/>
            <w:shd w:val="clear" w:color="auto" w:fill="auto"/>
            <w:vAlign w:val="center"/>
          </w:tcPr>
          <w:p w14:paraId="6A4F5D01">
            <w:pPr>
              <w:spacing w:line="240" w:lineRule="auto"/>
              <w:ind w:firstLine="0" w:firstLineChars="0"/>
              <w:jc w:val="center"/>
              <w:textAlignment w:val="center"/>
              <w:rPr>
                <w:rFonts w:cs="宋体"/>
                <w:color w:val="002060"/>
                <w:sz w:val="21"/>
                <w:szCs w:val="21"/>
              </w:rPr>
            </w:pPr>
            <w:r>
              <w:rPr>
                <w:rFonts w:hint="eastAsia" w:cs="宋体"/>
                <w:sz w:val="21"/>
                <w:szCs w:val="21"/>
                <w:lang w:eastAsia="zh-CN" w:bidi="ar"/>
              </w:rPr>
              <w:t>营林设施与经营能力</w:t>
            </w:r>
          </w:p>
        </w:tc>
        <w:tc>
          <w:tcPr>
            <w:tcW w:w="632" w:type="pct"/>
            <w:gridSpan w:val="3"/>
            <w:shd w:val="clear" w:color="auto" w:fill="auto"/>
            <w:vAlign w:val="center"/>
          </w:tcPr>
          <w:p w14:paraId="01AFD38C">
            <w:pPr>
              <w:spacing w:line="240" w:lineRule="auto"/>
              <w:ind w:firstLine="0" w:firstLineChars="0"/>
              <w:jc w:val="center"/>
              <w:textAlignment w:val="center"/>
              <w:rPr>
                <w:rFonts w:cs="宋体"/>
                <w:color w:val="002060"/>
                <w:sz w:val="21"/>
                <w:szCs w:val="21"/>
              </w:rPr>
            </w:pPr>
            <w:r>
              <w:rPr>
                <w:rFonts w:hint="eastAsia" w:cs="宋体"/>
                <w:sz w:val="21"/>
                <w:szCs w:val="21"/>
                <w:lang w:eastAsia="zh-CN" w:bidi="ar"/>
              </w:rPr>
              <w:t>森林多资源利用</w:t>
            </w:r>
          </w:p>
        </w:tc>
      </w:tr>
      <w:tr w14:paraId="5D726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2" w:type="pct"/>
            <w:vMerge w:val="continue"/>
            <w:shd w:val="clear" w:color="auto" w:fill="auto"/>
            <w:vAlign w:val="center"/>
          </w:tcPr>
          <w:p w14:paraId="0425FF9F">
            <w:pPr>
              <w:spacing w:line="240" w:lineRule="auto"/>
              <w:ind w:firstLine="0" w:firstLineChars="0"/>
              <w:jc w:val="center"/>
              <w:rPr>
                <w:rFonts w:cs="宋体"/>
                <w:color w:val="002060"/>
                <w:sz w:val="21"/>
                <w:szCs w:val="21"/>
              </w:rPr>
            </w:pPr>
          </w:p>
        </w:tc>
        <w:tc>
          <w:tcPr>
            <w:tcW w:w="315" w:type="pct"/>
            <w:vMerge w:val="continue"/>
            <w:shd w:val="clear" w:color="auto" w:fill="auto"/>
            <w:vAlign w:val="center"/>
          </w:tcPr>
          <w:p w14:paraId="40CC1C9A">
            <w:pPr>
              <w:spacing w:line="240" w:lineRule="auto"/>
              <w:ind w:firstLine="0" w:firstLineChars="0"/>
              <w:jc w:val="center"/>
              <w:rPr>
                <w:rFonts w:cs="宋体"/>
                <w:color w:val="002060"/>
                <w:sz w:val="21"/>
                <w:szCs w:val="21"/>
              </w:rPr>
            </w:pPr>
          </w:p>
        </w:tc>
        <w:tc>
          <w:tcPr>
            <w:tcW w:w="315" w:type="pct"/>
            <w:shd w:val="clear" w:color="auto" w:fill="auto"/>
            <w:vAlign w:val="center"/>
          </w:tcPr>
          <w:p w14:paraId="71720F5E">
            <w:pPr>
              <w:spacing w:line="240" w:lineRule="auto"/>
              <w:ind w:firstLine="0" w:firstLineChars="0"/>
              <w:jc w:val="center"/>
              <w:textAlignment w:val="center"/>
              <w:rPr>
                <w:rFonts w:cs="宋体"/>
                <w:color w:val="002060"/>
                <w:sz w:val="21"/>
                <w:szCs w:val="21"/>
              </w:rPr>
            </w:pPr>
            <w:r>
              <w:rPr>
                <w:rFonts w:hint="eastAsia" w:cs="宋体"/>
                <w:sz w:val="21"/>
                <w:szCs w:val="21"/>
                <w:lang w:eastAsia="zh-CN" w:bidi="ar"/>
              </w:rPr>
              <w:t>合计</w:t>
            </w:r>
          </w:p>
        </w:tc>
        <w:tc>
          <w:tcPr>
            <w:tcW w:w="347" w:type="pct"/>
            <w:shd w:val="clear" w:color="auto" w:fill="auto"/>
            <w:noWrap/>
            <w:vAlign w:val="center"/>
          </w:tcPr>
          <w:p w14:paraId="3FC477AB">
            <w:pPr>
              <w:spacing w:line="240" w:lineRule="auto"/>
              <w:ind w:firstLine="0" w:firstLineChars="0"/>
              <w:jc w:val="center"/>
              <w:textAlignment w:val="center"/>
              <w:rPr>
                <w:rFonts w:cs="宋体"/>
                <w:color w:val="002060"/>
                <w:sz w:val="21"/>
                <w:szCs w:val="21"/>
              </w:rPr>
            </w:pPr>
            <w:r>
              <w:rPr>
                <w:rFonts w:hint="eastAsia" w:cs="宋体"/>
                <w:sz w:val="21"/>
                <w:szCs w:val="21"/>
                <w:lang w:eastAsia="zh-CN" w:bidi="ar"/>
              </w:rPr>
              <w:t>竹林采伐</w:t>
            </w:r>
          </w:p>
        </w:tc>
        <w:tc>
          <w:tcPr>
            <w:tcW w:w="262" w:type="pct"/>
            <w:shd w:val="clear" w:color="auto" w:fill="auto"/>
            <w:noWrap/>
            <w:vAlign w:val="center"/>
          </w:tcPr>
          <w:p w14:paraId="6F2FB1F6">
            <w:pPr>
              <w:spacing w:line="240" w:lineRule="auto"/>
              <w:ind w:firstLine="0" w:firstLineChars="0"/>
              <w:jc w:val="center"/>
              <w:textAlignment w:val="center"/>
              <w:rPr>
                <w:rFonts w:cs="宋体"/>
                <w:color w:val="002060"/>
                <w:sz w:val="21"/>
                <w:szCs w:val="21"/>
              </w:rPr>
            </w:pPr>
            <w:r>
              <w:rPr>
                <w:rFonts w:hint="eastAsia" w:cs="宋体"/>
                <w:sz w:val="21"/>
                <w:szCs w:val="21"/>
                <w:lang w:eastAsia="zh-CN" w:bidi="ar"/>
              </w:rPr>
              <w:t>竹笋采挖</w:t>
            </w:r>
          </w:p>
        </w:tc>
        <w:tc>
          <w:tcPr>
            <w:tcW w:w="352" w:type="pct"/>
            <w:shd w:val="clear" w:color="auto" w:fill="auto"/>
            <w:vAlign w:val="center"/>
          </w:tcPr>
          <w:p w14:paraId="13CB1837">
            <w:pPr>
              <w:spacing w:line="240" w:lineRule="auto"/>
              <w:ind w:firstLine="0" w:firstLineChars="0"/>
              <w:jc w:val="center"/>
              <w:textAlignment w:val="center"/>
              <w:rPr>
                <w:rFonts w:cs="宋体"/>
                <w:color w:val="002060"/>
                <w:sz w:val="21"/>
                <w:szCs w:val="21"/>
              </w:rPr>
            </w:pPr>
            <w:r>
              <w:rPr>
                <w:rFonts w:hint="eastAsia" w:cs="宋体"/>
                <w:sz w:val="21"/>
                <w:szCs w:val="21"/>
                <w:lang w:eastAsia="zh-CN" w:bidi="ar"/>
              </w:rPr>
              <w:t>合计</w:t>
            </w:r>
          </w:p>
        </w:tc>
        <w:tc>
          <w:tcPr>
            <w:tcW w:w="282" w:type="pct"/>
            <w:shd w:val="clear" w:color="auto" w:fill="auto"/>
            <w:vAlign w:val="center"/>
          </w:tcPr>
          <w:p w14:paraId="716CB48B">
            <w:pPr>
              <w:spacing w:line="240" w:lineRule="auto"/>
              <w:ind w:firstLine="0" w:firstLineChars="0"/>
              <w:jc w:val="center"/>
              <w:textAlignment w:val="center"/>
              <w:rPr>
                <w:rFonts w:cs="宋体"/>
                <w:color w:val="002060"/>
                <w:sz w:val="21"/>
                <w:szCs w:val="21"/>
              </w:rPr>
            </w:pPr>
            <w:r>
              <w:rPr>
                <w:rFonts w:hint="eastAsia" w:cs="宋体"/>
                <w:sz w:val="21"/>
                <w:szCs w:val="21"/>
                <w:lang w:eastAsia="zh-CN" w:bidi="ar"/>
              </w:rPr>
              <w:t>森林抚育</w:t>
            </w:r>
          </w:p>
        </w:tc>
        <w:tc>
          <w:tcPr>
            <w:tcW w:w="295" w:type="pct"/>
            <w:shd w:val="clear" w:color="auto" w:fill="auto"/>
            <w:vAlign w:val="center"/>
          </w:tcPr>
          <w:p w14:paraId="72572C08">
            <w:pPr>
              <w:spacing w:line="240" w:lineRule="auto"/>
              <w:ind w:firstLine="0" w:firstLineChars="0"/>
              <w:jc w:val="center"/>
              <w:textAlignment w:val="center"/>
              <w:rPr>
                <w:rFonts w:cs="宋体"/>
                <w:color w:val="002060"/>
                <w:sz w:val="21"/>
                <w:szCs w:val="21"/>
              </w:rPr>
            </w:pPr>
            <w:r>
              <w:rPr>
                <w:rFonts w:hint="eastAsia" w:cs="宋体"/>
                <w:sz w:val="21"/>
                <w:szCs w:val="21"/>
                <w:lang w:eastAsia="zh-CN" w:bidi="ar"/>
              </w:rPr>
              <w:t>毛竹林培育</w:t>
            </w:r>
          </w:p>
        </w:tc>
        <w:tc>
          <w:tcPr>
            <w:tcW w:w="169" w:type="pct"/>
            <w:shd w:val="clear" w:color="auto" w:fill="auto"/>
            <w:vAlign w:val="center"/>
          </w:tcPr>
          <w:p w14:paraId="154132B5">
            <w:pPr>
              <w:spacing w:line="240" w:lineRule="auto"/>
              <w:ind w:firstLine="0" w:firstLineChars="0"/>
              <w:jc w:val="center"/>
              <w:textAlignment w:val="center"/>
              <w:rPr>
                <w:rFonts w:cs="宋体"/>
                <w:color w:val="002060"/>
                <w:sz w:val="21"/>
                <w:szCs w:val="21"/>
              </w:rPr>
            </w:pPr>
            <w:r>
              <w:rPr>
                <w:rFonts w:hint="eastAsia" w:cs="宋体"/>
                <w:sz w:val="21"/>
                <w:szCs w:val="21"/>
                <w:lang w:eastAsia="zh-CN" w:bidi="ar"/>
              </w:rPr>
              <w:t>种苗生产</w:t>
            </w:r>
          </w:p>
        </w:tc>
        <w:tc>
          <w:tcPr>
            <w:tcW w:w="316" w:type="pct"/>
            <w:shd w:val="clear" w:color="auto" w:fill="auto"/>
            <w:vAlign w:val="center"/>
          </w:tcPr>
          <w:p w14:paraId="014310B7">
            <w:pPr>
              <w:spacing w:line="240" w:lineRule="auto"/>
              <w:ind w:firstLine="0" w:firstLineChars="0"/>
              <w:jc w:val="center"/>
              <w:textAlignment w:val="center"/>
              <w:rPr>
                <w:rFonts w:cs="宋体"/>
                <w:color w:val="002060"/>
                <w:sz w:val="21"/>
                <w:szCs w:val="21"/>
              </w:rPr>
            </w:pPr>
            <w:r>
              <w:rPr>
                <w:rFonts w:hint="eastAsia" w:cs="宋体"/>
                <w:sz w:val="21"/>
                <w:szCs w:val="21"/>
                <w:lang w:eastAsia="zh-CN" w:bidi="ar"/>
              </w:rPr>
              <w:t>森林培育重点工程</w:t>
            </w:r>
          </w:p>
        </w:tc>
        <w:tc>
          <w:tcPr>
            <w:tcW w:w="278" w:type="pct"/>
            <w:shd w:val="clear" w:color="auto" w:fill="auto"/>
            <w:vAlign w:val="center"/>
          </w:tcPr>
          <w:p w14:paraId="04E4F07C">
            <w:pPr>
              <w:spacing w:line="240" w:lineRule="auto"/>
              <w:ind w:firstLine="0" w:firstLineChars="0"/>
              <w:jc w:val="center"/>
              <w:textAlignment w:val="center"/>
              <w:rPr>
                <w:rFonts w:cs="宋体"/>
                <w:color w:val="002060"/>
                <w:sz w:val="21"/>
                <w:szCs w:val="21"/>
              </w:rPr>
            </w:pPr>
            <w:r>
              <w:rPr>
                <w:rFonts w:hint="eastAsia" w:cs="宋体"/>
                <w:sz w:val="21"/>
                <w:szCs w:val="21"/>
                <w:lang w:eastAsia="zh-CN" w:bidi="ar"/>
              </w:rPr>
              <w:t>小计</w:t>
            </w:r>
          </w:p>
        </w:tc>
        <w:tc>
          <w:tcPr>
            <w:tcW w:w="278" w:type="pct"/>
            <w:shd w:val="clear" w:color="auto" w:fill="auto"/>
            <w:vAlign w:val="center"/>
          </w:tcPr>
          <w:p w14:paraId="5DEA7AC5">
            <w:pPr>
              <w:spacing w:line="240" w:lineRule="auto"/>
              <w:ind w:firstLine="0" w:firstLineChars="0"/>
              <w:jc w:val="center"/>
              <w:textAlignment w:val="center"/>
              <w:rPr>
                <w:rFonts w:cs="宋体"/>
                <w:color w:val="002060"/>
                <w:sz w:val="21"/>
                <w:szCs w:val="21"/>
              </w:rPr>
            </w:pPr>
            <w:r>
              <w:rPr>
                <w:rFonts w:hint="eastAsia" w:cs="宋体"/>
                <w:sz w:val="21"/>
                <w:szCs w:val="21"/>
                <w:lang w:eastAsia="zh-CN" w:bidi="ar"/>
              </w:rPr>
              <w:t>防火</w:t>
            </w:r>
          </w:p>
        </w:tc>
        <w:tc>
          <w:tcPr>
            <w:tcW w:w="148" w:type="pct"/>
            <w:shd w:val="clear" w:color="auto" w:fill="auto"/>
            <w:vAlign w:val="center"/>
          </w:tcPr>
          <w:p w14:paraId="0774C5F9">
            <w:pPr>
              <w:spacing w:line="240" w:lineRule="auto"/>
              <w:ind w:firstLine="0" w:firstLineChars="0"/>
              <w:jc w:val="center"/>
              <w:textAlignment w:val="center"/>
              <w:rPr>
                <w:rFonts w:cs="宋体"/>
                <w:color w:val="002060"/>
                <w:sz w:val="21"/>
                <w:szCs w:val="21"/>
              </w:rPr>
            </w:pPr>
            <w:r>
              <w:rPr>
                <w:rFonts w:hint="eastAsia" w:cs="宋体"/>
                <w:sz w:val="21"/>
                <w:szCs w:val="21"/>
                <w:lang w:eastAsia="zh-CN" w:bidi="ar"/>
              </w:rPr>
              <w:t>病虫害防治</w:t>
            </w:r>
          </w:p>
        </w:tc>
        <w:tc>
          <w:tcPr>
            <w:tcW w:w="186" w:type="pct"/>
            <w:shd w:val="clear" w:color="auto" w:fill="auto"/>
            <w:vAlign w:val="center"/>
          </w:tcPr>
          <w:p w14:paraId="25DB92FD">
            <w:pPr>
              <w:spacing w:line="240" w:lineRule="auto"/>
              <w:ind w:firstLine="0" w:firstLineChars="0"/>
              <w:jc w:val="center"/>
              <w:textAlignment w:val="center"/>
              <w:rPr>
                <w:rFonts w:cs="宋体"/>
                <w:color w:val="002060"/>
                <w:sz w:val="21"/>
                <w:szCs w:val="21"/>
              </w:rPr>
            </w:pPr>
            <w:r>
              <w:rPr>
                <w:rFonts w:hint="eastAsia" w:cs="宋体"/>
                <w:sz w:val="21"/>
                <w:szCs w:val="21"/>
                <w:lang w:eastAsia="zh-CN" w:bidi="ar"/>
              </w:rPr>
              <w:t>动植物保护</w:t>
            </w:r>
          </w:p>
        </w:tc>
        <w:tc>
          <w:tcPr>
            <w:tcW w:w="222" w:type="pct"/>
            <w:shd w:val="clear" w:color="auto" w:fill="auto"/>
            <w:vAlign w:val="center"/>
          </w:tcPr>
          <w:p w14:paraId="73A2A9DB">
            <w:pPr>
              <w:spacing w:line="240" w:lineRule="auto"/>
              <w:ind w:firstLine="0" w:firstLineChars="0"/>
              <w:jc w:val="center"/>
              <w:textAlignment w:val="center"/>
              <w:rPr>
                <w:rFonts w:cs="宋体"/>
                <w:color w:val="002060"/>
                <w:sz w:val="21"/>
                <w:szCs w:val="21"/>
              </w:rPr>
            </w:pPr>
            <w:r>
              <w:rPr>
                <w:rFonts w:hint="eastAsia" w:cs="宋体"/>
                <w:sz w:val="21"/>
                <w:szCs w:val="21"/>
                <w:lang w:eastAsia="zh-CN" w:bidi="ar"/>
              </w:rPr>
              <w:t>小计</w:t>
            </w:r>
          </w:p>
        </w:tc>
        <w:tc>
          <w:tcPr>
            <w:tcW w:w="222" w:type="pct"/>
            <w:shd w:val="clear" w:color="auto" w:fill="auto"/>
            <w:vAlign w:val="center"/>
          </w:tcPr>
          <w:p w14:paraId="425B2E5E">
            <w:pPr>
              <w:spacing w:line="240" w:lineRule="auto"/>
              <w:ind w:firstLine="0" w:firstLineChars="0"/>
              <w:jc w:val="center"/>
              <w:textAlignment w:val="center"/>
              <w:rPr>
                <w:rFonts w:cs="宋体"/>
                <w:color w:val="002060"/>
                <w:sz w:val="21"/>
                <w:szCs w:val="21"/>
              </w:rPr>
            </w:pPr>
            <w:r>
              <w:rPr>
                <w:rFonts w:hint="eastAsia" w:cs="宋体"/>
                <w:sz w:val="21"/>
                <w:szCs w:val="21"/>
                <w:lang w:eastAsia="zh-CN" w:bidi="ar"/>
              </w:rPr>
              <w:t>营林设施建设</w:t>
            </w:r>
          </w:p>
        </w:tc>
        <w:tc>
          <w:tcPr>
            <w:tcW w:w="149" w:type="pct"/>
            <w:shd w:val="clear" w:color="auto" w:fill="auto"/>
            <w:vAlign w:val="center"/>
          </w:tcPr>
          <w:p w14:paraId="3F0EB712">
            <w:pPr>
              <w:spacing w:line="240" w:lineRule="auto"/>
              <w:ind w:firstLine="0" w:firstLineChars="0"/>
              <w:jc w:val="center"/>
              <w:textAlignment w:val="center"/>
              <w:rPr>
                <w:rFonts w:cs="宋体"/>
                <w:color w:val="002060"/>
                <w:sz w:val="21"/>
                <w:szCs w:val="21"/>
              </w:rPr>
            </w:pPr>
            <w:r>
              <w:rPr>
                <w:rFonts w:hint="eastAsia" w:cs="宋体"/>
                <w:sz w:val="21"/>
                <w:szCs w:val="21"/>
                <w:lang w:eastAsia="zh-CN" w:bidi="ar"/>
              </w:rPr>
              <w:t>森林经营能力建设</w:t>
            </w:r>
          </w:p>
        </w:tc>
        <w:tc>
          <w:tcPr>
            <w:tcW w:w="222" w:type="pct"/>
            <w:shd w:val="clear" w:color="auto" w:fill="auto"/>
            <w:vAlign w:val="center"/>
          </w:tcPr>
          <w:p w14:paraId="32920F19">
            <w:pPr>
              <w:spacing w:line="240" w:lineRule="auto"/>
              <w:ind w:firstLine="0" w:firstLineChars="0"/>
              <w:jc w:val="center"/>
              <w:textAlignment w:val="center"/>
              <w:rPr>
                <w:rFonts w:cs="宋体"/>
                <w:color w:val="002060"/>
                <w:sz w:val="21"/>
                <w:szCs w:val="21"/>
              </w:rPr>
            </w:pPr>
            <w:r>
              <w:rPr>
                <w:rFonts w:hint="eastAsia" w:cs="宋体"/>
                <w:sz w:val="21"/>
                <w:szCs w:val="21"/>
                <w:lang w:eastAsia="zh-CN" w:bidi="ar"/>
              </w:rPr>
              <w:t>小计</w:t>
            </w:r>
          </w:p>
        </w:tc>
        <w:tc>
          <w:tcPr>
            <w:tcW w:w="185" w:type="pct"/>
            <w:shd w:val="clear" w:color="auto" w:fill="auto"/>
            <w:vAlign w:val="center"/>
          </w:tcPr>
          <w:p w14:paraId="2859F897">
            <w:pPr>
              <w:spacing w:line="240" w:lineRule="auto"/>
              <w:ind w:firstLine="0" w:firstLineChars="0"/>
              <w:jc w:val="center"/>
              <w:textAlignment w:val="center"/>
              <w:rPr>
                <w:rFonts w:cs="宋体"/>
                <w:color w:val="002060"/>
                <w:sz w:val="21"/>
                <w:szCs w:val="21"/>
              </w:rPr>
            </w:pPr>
            <w:r>
              <w:rPr>
                <w:rFonts w:hint="eastAsia" w:cs="宋体"/>
                <w:sz w:val="21"/>
                <w:szCs w:val="21"/>
                <w:lang w:eastAsia="zh-CN" w:bidi="ar"/>
              </w:rPr>
              <w:t>森林旅游</w:t>
            </w:r>
          </w:p>
        </w:tc>
        <w:tc>
          <w:tcPr>
            <w:tcW w:w="223" w:type="pct"/>
            <w:shd w:val="clear" w:color="auto" w:fill="auto"/>
            <w:vAlign w:val="center"/>
          </w:tcPr>
          <w:p w14:paraId="1EA28FC6">
            <w:pPr>
              <w:spacing w:line="240" w:lineRule="auto"/>
              <w:ind w:firstLine="0" w:firstLineChars="0"/>
              <w:jc w:val="center"/>
              <w:textAlignment w:val="center"/>
              <w:rPr>
                <w:rFonts w:cs="宋体"/>
                <w:color w:val="002060"/>
                <w:sz w:val="21"/>
                <w:szCs w:val="21"/>
              </w:rPr>
            </w:pPr>
            <w:r>
              <w:rPr>
                <w:rFonts w:hint="eastAsia" w:cs="宋体"/>
                <w:sz w:val="21"/>
                <w:szCs w:val="21"/>
                <w:lang w:eastAsia="zh-CN" w:bidi="ar"/>
              </w:rPr>
              <w:t>林下经济</w:t>
            </w:r>
          </w:p>
        </w:tc>
      </w:tr>
      <w:tr w14:paraId="31DE2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2" w:type="pct"/>
            <w:shd w:val="clear" w:color="auto" w:fill="auto"/>
            <w:vAlign w:val="center"/>
          </w:tcPr>
          <w:p w14:paraId="09DB02E6">
            <w:pPr>
              <w:spacing w:line="240" w:lineRule="auto"/>
              <w:ind w:firstLine="0" w:firstLineChars="0"/>
              <w:jc w:val="center"/>
              <w:textAlignment w:val="center"/>
              <w:rPr>
                <w:rFonts w:cs="宋体"/>
                <w:color w:val="002060"/>
                <w:sz w:val="21"/>
                <w:szCs w:val="21"/>
              </w:rPr>
            </w:pPr>
            <w:r>
              <w:rPr>
                <w:rFonts w:hint="eastAsia" w:cs="宋体"/>
                <w:sz w:val="21"/>
                <w:szCs w:val="21"/>
                <w:lang w:eastAsia="zh-CN" w:bidi="ar"/>
              </w:rPr>
              <w:t>合计</w:t>
            </w:r>
          </w:p>
        </w:tc>
        <w:tc>
          <w:tcPr>
            <w:tcW w:w="315" w:type="pct"/>
            <w:shd w:val="clear" w:color="auto" w:fill="auto"/>
            <w:vAlign w:val="center"/>
          </w:tcPr>
          <w:p w14:paraId="320AF12C">
            <w:pPr>
              <w:spacing w:line="240" w:lineRule="auto"/>
              <w:ind w:firstLine="0" w:firstLineChars="0"/>
              <w:jc w:val="center"/>
              <w:textAlignment w:val="center"/>
              <w:rPr>
                <w:rFonts w:cs="Times New Roman"/>
                <w:color w:val="002060"/>
                <w:sz w:val="21"/>
                <w:szCs w:val="21"/>
              </w:rPr>
            </w:pPr>
            <w:r>
              <w:rPr>
                <w:rFonts w:hint="eastAsia" w:cs="Times New Roman"/>
                <w:sz w:val="21"/>
                <w:szCs w:val="21"/>
                <w:lang w:eastAsia="zh-CN" w:bidi="ar"/>
              </w:rPr>
              <w:t>10045.42</w:t>
            </w:r>
          </w:p>
        </w:tc>
        <w:tc>
          <w:tcPr>
            <w:tcW w:w="315" w:type="pct"/>
            <w:shd w:val="clear" w:color="auto" w:fill="auto"/>
            <w:vAlign w:val="center"/>
          </w:tcPr>
          <w:p w14:paraId="68D2E0A0">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1310.32</w:t>
            </w:r>
          </w:p>
        </w:tc>
        <w:tc>
          <w:tcPr>
            <w:tcW w:w="347" w:type="pct"/>
            <w:shd w:val="clear" w:color="auto" w:fill="auto"/>
            <w:vAlign w:val="center"/>
          </w:tcPr>
          <w:p w14:paraId="7D004A70">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1100.32</w:t>
            </w:r>
          </w:p>
        </w:tc>
        <w:tc>
          <w:tcPr>
            <w:tcW w:w="262" w:type="pct"/>
            <w:shd w:val="clear" w:color="auto" w:fill="auto"/>
            <w:vAlign w:val="center"/>
          </w:tcPr>
          <w:p w14:paraId="0F34B59C">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210</w:t>
            </w:r>
          </w:p>
        </w:tc>
        <w:tc>
          <w:tcPr>
            <w:tcW w:w="352" w:type="pct"/>
            <w:shd w:val="clear" w:color="auto" w:fill="auto"/>
            <w:vAlign w:val="center"/>
          </w:tcPr>
          <w:p w14:paraId="7427CC27">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2193.24</w:t>
            </w:r>
          </w:p>
        </w:tc>
        <w:tc>
          <w:tcPr>
            <w:tcW w:w="282" w:type="pct"/>
            <w:shd w:val="clear" w:color="auto" w:fill="auto"/>
            <w:vAlign w:val="center"/>
          </w:tcPr>
          <w:p w14:paraId="35CFF3FF">
            <w:pPr>
              <w:spacing w:line="240" w:lineRule="auto"/>
              <w:ind w:firstLine="0" w:firstLineChars="0"/>
              <w:jc w:val="center"/>
              <w:textAlignment w:val="center"/>
              <w:rPr>
                <w:rFonts w:cs="Times New Roman"/>
                <w:color w:val="002060"/>
                <w:sz w:val="21"/>
                <w:szCs w:val="21"/>
              </w:rPr>
            </w:pPr>
            <w:r>
              <w:rPr>
                <w:rFonts w:hint="eastAsia" w:cs="Times New Roman"/>
                <w:sz w:val="21"/>
                <w:szCs w:val="21"/>
                <w:lang w:eastAsia="zh-CN" w:bidi="ar"/>
              </w:rPr>
              <w:t>42.65</w:t>
            </w:r>
          </w:p>
        </w:tc>
        <w:tc>
          <w:tcPr>
            <w:tcW w:w="295" w:type="pct"/>
            <w:shd w:val="clear" w:color="auto" w:fill="auto"/>
            <w:vAlign w:val="center"/>
          </w:tcPr>
          <w:p w14:paraId="05D052FC">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139.51</w:t>
            </w:r>
          </w:p>
        </w:tc>
        <w:tc>
          <w:tcPr>
            <w:tcW w:w="169" w:type="pct"/>
            <w:shd w:val="clear" w:color="auto" w:fill="auto"/>
            <w:vAlign w:val="center"/>
          </w:tcPr>
          <w:p w14:paraId="240C3CC1">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35</w:t>
            </w:r>
          </w:p>
        </w:tc>
        <w:tc>
          <w:tcPr>
            <w:tcW w:w="316" w:type="pct"/>
            <w:shd w:val="clear" w:color="auto" w:fill="auto"/>
            <w:vAlign w:val="center"/>
          </w:tcPr>
          <w:p w14:paraId="04837C3A">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1962.31</w:t>
            </w:r>
          </w:p>
        </w:tc>
        <w:tc>
          <w:tcPr>
            <w:tcW w:w="278" w:type="pct"/>
            <w:shd w:val="clear" w:color="auto" w:fill="auto"/>
            <w:vAlign w:val="center"/>
          </w:tcPr>
          <w:p w14:paraId="434174D1">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709.65</w:t>
            </w:r>
          </w:p>
        </w:tc>
        <w:tc>
          <w:tcPr>
            <w:tcW w:w="278" w:type="pct"/>
            <w:shd w:val="clear" w:color="auto" w:fill="auto"/>
            <w:vAlign w:val="center"/>
          </w:tcPr>
          <w:p w14:paraId="412B5529">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494.65</w:t>
            </w:r>
          </w:p>
        </w:tc>
        <w:tc>
          <w:tcPr>
            <w:tcW w:w="148" w:type="pct"/>
            <w:shd w:val="clear" w:color="auto" w:fill="auto"/>
            <w:vAlign w:val="center"/>
          </w:tcPr>
          <w:p w14:paraId="366EDA90">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70</w:t>
            </w:r>
          </w:p>
        </w:tc>
        <w:tc>
          <w:tcPr>
            <w:tcW w:w="186" w:type="pct"/>
            <w:shd w:val="clear" w:color="auto" w:fill="auto"/>
            <w:vAlign w:val="center"/>
          </w:tcPr>
          <w:p w14:paraId="55C3A9E4">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145</w:t>
            </w:r>
          </w:p>
        </w:tc>
        <w:tc>
          <w:tcPr>
            <w:tcW w:w="222" w:type="pct"/>
            <w:shd w:val="clear" w:color="auto" w:fill="auto"/>
            <w:vAlign w:val="center"/>
          </w:tcPr>
          <w:p w14:paraId="4E597907">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1330</w:t>
            </w:r>
          </w:p>
        </w:tc>
        <w:tc>
          <w:tcPr>
            <w:tcW w:w="222" w:type="pct"/>
            <w:shd w:val="clear" w:color="auto" w:fill="auto"/>
            <w:vAlign w:val="center"/>
          </w:tcPr>
          <w:p w14:paraId="5984DC48">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1260</w:t>
            </w:r>
          </w:p>
        </w:tc>
        <w:tc>
          <w:tcPr>
            <w:tcW w:w="149" w:type="pct"/>
            <w:shd w:val="clear" w:color="auto" w:fill="auto"/>
            <w:vAlign w:val="center"/>
          </w:tcPr>
          <w:p w14:paraId="59038EB8">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70</w:t>
            </w:r>
          </w:p>
        </w:tc>
        <w:tc>
          <w:tcPr>
            <w:tcW w:w="222" w:type="pct"/>
            <w:shd w:val="clear" w:color="auto" w:fill="auto"/>
            <w:vAlign w:val="center"/>
          </w:tcPr>
          <w:p w14:paraId="78871D81">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3836</w:t>
            </w:r>
          </w:p>
        </w:tc>
        <w:tc>
          <w:tcPr>
            <w:tcW w:w="185" w:type="pct"/>
            <w:shd w:val="clear" w:color="auto" w:fill="auto"/>
            <w:vAlign w:val="center"/>
          </w:tcPr>
          <w:p w14:paraId="7283D6F2">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966</w:t>
            </w:r>
          </w:p>
        </w:tc>
        <w:tc>
          <w:tcPr>
            <w:tcW w:w="223" w:type="pct"/>
            <w:shd w:val="clear" w:color="auto" w:fill="auto"/>
            <w:vAlign w:val="center"/>
          </w:tcPr>
          <w:p w14:paraId="46D9F022">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2870</w:t>
            </w:r>
          </w:p>
        </w:tc>
      </w:tr>
      <w:tr w14:paraId="49E60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2" w:type="pct"/>
            <w:shd w:val="clear" w:color="auto" w:fill="auto"/>
            <w:vAlign w:val="center"/>
          </w:tcPr>
          <w:p w14:paraId="32F1F68B">
            <w:pPr>
              <w:spacing w:line="240" w:lineRule="auto"/>
              <w:ind w:firstLine="0" w:firstLineChars="0"/>
              <w:jc w:val="center"/>
              <w:textAlignment w:val="center"/>
              <w:rPr>
                <w:rFonts w:cs="Times New Roman"/>
                <w:color w:val="002060"/>
                <w:sz w:val="21"/>
                <w:szCs w:val="21"/>
              </w:rPr>
            </w:pPr>
            <w:r>
              <w:rPr>
                <w:rStyle w:val="44"/>
                <w:color w:val="000000"/>
                <w:sz w:val="21"/>
                <w:szCs w:val="21"/>
                <w:u w:val="none"/>
                <w:lang w:eastAsia="zh-CN" w:bidi="ar"/>
              </w:rPr>
              <w:t>2024</w:t>
            </w:r>
            <w:r>
              <w:rPr>
                <w:rFonts w:hint="eastAsia" w:cs="宋体"/>
                <w:sz w:val="21"/>
                <w:szCs w:val="21"/>
                <w:lang w:eastAsia="zh-CN" w:bidi="ar"/>
              </w:rPr>
              <w:t>年</w:t>
            </w:r>
          </w:p>
        </w:tc>
        <w:tc>
          <w:tcPr>
            <w:tcW w:w="315" w:type="pct"/>
            <w:shd w:val="clear" w:color="auto" w:fill="auto"/>
            <w:vAlign w:val="center"/>
          </w:tcPr>
          <w:p w14:paraId="078BEF6B">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1352.95</w:t>
            </w:r>
          </w:p>
        </w:tc>
        <w:tc>
          <w:tcPr>
            <w:tcW w:w="315" w:type="pct"/>
            <w:shd w:val="clear" w:color="auto" w:fill="auto"/>
            <w:vAlign w:val="center"/>
          </w:tcPr>
          <w:p w14:paraId="1E6C82D6">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185.76</w:t>
            </w:r>
          </w:p>
        </w:tc>
        <w:tc>
          <w:tcPr>
            <w:tcW w:w="347" w:type="pct"/>
            <w:shd w:val="clear" w:color="auto" w:fill="auto"/>
            <w:vAlign w:val="center"/>
          </w:tcPr>
          <w:p w14:paraId="43E4109A">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155.76</w:t>
            </w:r>
          </w:p>
        </w:tc>
        <w:tc>
          <w:tcPr>
            <w:tcW w:w="262" w:type="pct"/>
            <w:shd w:val="clear" w:color="auto" w:fill="auto"/>
            <w:vAlign w:val="center"/>
          </w:tcPr>
          <w:p w14:paraId="1F5DBB04">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30</w:t>
            </w:r>
          </w:p>
        </w:tc>
        <w:tc>
          <w:tcPr>
            <w:tcW w:w="352" w:type="pct"/>
            <w:shd w:val="clear" w:color="auto" w:fill="auto"/>
            <w:vAlign w:val="center"/>
          </w:tcPr>
          <w:p w14:paraId="69DC3E79">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305.26</w:t>
            </w:r>
          </w:p>
        </w:tc>
        <w:tc>
          <w:tcPr>
            <w:tcW w:w="282" w:type="pct"/>
            <w:shd w:val="clear" w:color="auto" w:fill="auto"/>
            <w:vAlign w:val="center"/>
          </w:tcPr>
          <w:p w14:paraId="4155A6BC">
            <w:pPr>
              <w:spacing w:line="240" w:lineRule="auto"/>
              <w:ind w:firstLine="0" w:firstLineChars="0"/>
              <w:jc w:val="center"/>
              <w:rPr>
                <w:rFonts w:cs="Times New Roman"/>
                <w:color w:val="002060"/>
                <w:sz w:val="21"/>
                <w:szCs w:val="21"/>
              </w:rPr>
            </w:pPr>
          </w:p>
        </w:tc>
        <w:tc>
          <w:tcPr>
            <w:tcW w:w="295" w:type="pct"/>
            <w:shd w:val="clear" w:color="auto" w:fill="auto"/>
            <w:vAlign w:val="center"/>
          </w:tcPr>
          <w:p w14:paraId="0DEA6107">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19.93</w:t>
            </w:r>
          </w:p>
        </w:tc>
        <w:tc>
          <w:tcPr>
            <w:tcW w:w="169" w:type="pct"/>
            <w:shd w:val="clear" w:color="auto" w:fill="auto"/>
            <w:vAlign w:val="center"/>
          </w:tcPr>
          <w:p w14:paraId="7398FE24">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5</w:t>
            </w:r>
          </w:p>
        </w:tc>
        <w:tc>
          <w:tcPr>
            <w:tcW w:w="316" w:type="pct"/>
            <w:shd w:val="clear" w:color="auto" w:fill="auto"/>
            <w:vAlign w:val="center"/>
          </w:tcPr>
          <w:p w14:paraId="4F5A988C">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280.33</w:t>
            </w:r>
          </w:p>
        </w:tc>
        <w:tc>
          <w:tcPr>
            <w:tcW w:w="278" w:type="pct"/>
            <w:shd w:val="clear" w:color="auto" w:fill="auto"/>
            <w:vAlign w:val="center"/>
          </w:tcPr>
          <w:p w14:paraId="619B1B3C">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123.93</w:t>
            </w:r>
          </w:p>
        </w:tc>
        <w:tc>
          <w:tcPr>
            <w:tcW w:w="278" w:type="pct"/>
            <w:shd w:val="clear" w:color="auto" w:fill="auto"/>
            <w:vAlign w:val="center"/>
          </w:tcPr>
          <w:p w14:paraId="1670A79D">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78.93</w:t>
            </w:r>
          </w:p>
        </w:tc>
        <w:tc>
          <w:tcPr>
            <w:tcW w:w="148" w:type="pct"/>
            <w:shd w:val="clear" w:color="auto" w:fill="auto"/>
            <w:vAlign w:val="center"/>
          </w:tcPr>
          <w:p w14:paraId="7ADAEB34">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10</w:t>
            </w:r>
          </w:p>
        </w:tc>
        <w:tc>
          <w:tcPr>
            <w:tcW w:w="186" w:type="pct"/>
            <w:shd w:val="clear" w:color="auto" w:fill="auto"/>
            <w:vAlign w:val="center"/>
          </w:tcPr>
          <w:p w14:paraId="3B7E1A6F">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35</w:t>
            </w:r>
          </w:p>
        </w:tc>
        <w:tc>
          <w:tcPr>
            <w:tcW w:w="222" w:type="pct"/>
            <w:shd w:val="clear" w:color="auto" w:fill="auto"/>
            <w:vAlign w:val="center"/>
          </w:tcPr>
          <w:p w14:paraId="6FC8E791">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190</w:t>
            </w:r>
          </w:p>
        </w:tc>
        <w:tc>
          <w:tcPr>
            <w:tcW w:w="222" w:type="pct"/>
            <w:shd w:val="clear" w:color="auto" w:fill="auto"/>
            <w:vAlign w:val="center"/>
          </w:tcPr>
          <w:p w14:paraId="09689E50">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180</w:t>
            </w:r>
          </w:p>
        </w:tc>
        <w:tc>
          <w:tcPr>
            <w:tcW w:w="149" w:type="pct"/>
            <w:shd w:val="clear" w:color="auto" w:fill="auto"/>
            <w:vAlign w:val="center"/>
          </w:tcPr>
          <w:p w14:paraId="0D8E27A0">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10</w:t>
            </w:r>
          </w:p>
        </w:tc>
        <w:tc>
          <w:tcPr>
            <w:tcW w:w="222" w:type="pct"/>
            <w:shd w:val="clear" w:color="auto" w:fill="auto"/>
            <w:vAlign w:val="center"/>
          </w:tcPr>
          <w:p w14:paraId="2192E052">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548</w:t>
            </w:r>
          </w:p>
        </w:tc>
        <w:tc>
          <w:tcPr>
            <w:tcW w:w="185" w:type="pct"/>
            <w:shd w:val="clear" w:color="auto" w:fill="auto"/>
            <w:vAlign w:val="center"/>
          </w:tcPr>
          <w:p w14:paraId="1AB4704D">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138</w:t>
            </w:r>
          </w:p>
        </w:tc>
        <w:tc>
          <w:tcPr>
            <w:tcW w:w="223" w:type="pct"/>
            <w:shd w:val="clear" w:color="auto" w:fill="auto"/>
            <w:vAlign w:val="center"/>
          </w:tcPr>
          <w:p w14:paraId="1744EA87">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410</w:t>
            </w:r>
          </w:p>
        </w:tc>
      </w:tr>
      <w:tr w14:paraId="1CB4C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2" w:type="pct"/>
            <w:shd w:val="clear" w:color="auto" w:fill="auto"/>
            <w:vAlign w:val="center"/>
          </w:tcPr>
          <w:p w14:paraId="1953C16F">
            <w:pPr>
              <w:spacing w:line="240" w:lineRule="auto"/>
              <w:ind w:firstLine="0" w:firstLineChars="0"/>
              <w:jc w:val="center"/>
              <w:textAlignment w:val="center"/>
              <w:rPr>
                <w:rFonts w:cs="Times New Roman"/>
                <w:color w:val="002060"/>
                <w:sz w:val="21"/>
                <w:szCs w:val="21"/>
              </w:rPr>
            </w:pPr>
            <w:r>
              <w:rPr>
                <w:rStyle w:val="44"/>
                <w:color w:val="000000"/>
                <w:sz w:val="21"/>
                <w:szCs w:val="21"/>
                <w:u w:val="none"/>
                <w:lang w:eastAsia="zh-CN" w:bidi="ar"/>
              </w:rPr>
              <w:t>2025</w:t>
            </w:r>
            <w:r>
              <w:rPr>
                <w:rFonts w:hint="eastAsia" w:cs="宋体"/>
                <w:sz w:val="21"/>
                <w:szCs w:val="21"/>
                <w:lang w:eastAsia="zh-CN" w:bidi="ar"/>
              </w:rPr>
              <w:t>年</w:t>
            </w:r>
          </w:p>
        </w:tc>
        <w:tc>
          <w:tcPr>
            <w:tcW w:w="315" w:type="pct"/>
            <w:shd w:val="clear" w:color="auto" w:fill="auto"/>
            <w:vAlign w:val="center"/>
          </w:tcPr>
          <w:p w14:paraId="3D307EF0">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1365.08</w:t>
            </w:r>
          </w:p>
        </w:tc>
        <w:tc>
          <w:tcPr>
            <w:tcW w:w="315" w:type="pct"/>
            <w:shd w:val="clear" w:color="auto" w:fill="auto"/>
            <w:vAlign w:val="center"/>
          </w:tcPr>
          <w:p w14:paraId="08829F33">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185.76</w:t>
            </w:r>
          </w:p>
        </w:tc>
        <w:tc>
          <w:tcPr>
            <w:tcW w:w="347" w:type="pct"/>
            <w:shd w:val="clear" w:color="auto" w:fill="auto"/>
            <w:vAlign w:val="center"/>
          </w:tcPr>
          <w:p w14:paraId="16220B1F">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155.76</w:t>
            </w:r>
          </w:p>
        </w:tc>
        <w:tc>
          <w:tcPr>
            <w:tcW w:w="262" w:type="pct"/>
            <w:shd w:val="clear" w:color="auto" w:fill="auto"/>
            <w:vAlign w:val="center"/>
          </w:tcPr>
          <w:p w14:paraId="33116274">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30</w:t>
            </w:r>
          </w:p>
        </w:tc>
        <w:tc>
          <w:tcPr>
            <w:tcW w:w="352" w:type="pct"/>
            <w:shd w:val="clear" w:color="auto" w:fill="auto"/>
            <w:vAlign w:val="center"/>
          </w:tcPr>
          <w:p w14:paraId="3CFACCD7">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317.39</w:t>
            </w:r>
          </w:p>
        </w:tc>
        <w:tc>
          <w:tcPr>
            <w:tcW w:w="282" w:type="pct"/>
            <w:shd w:val="clear" w:color="auto" w:fill="auto"/>
            <w:vAlign w:val="center"/>
          </w:tcPr>
          <w:p w14:paraId="7C911FA1">
            <w:pPr>
              <w:spacing w:line="240" w:lineRule="auto"/>
              <w:ind w:firstLine="0" w:firstLineChars="0"/>
              <w:jc w:val="center"/>
              <w:textAlignment w:val="center"/>
              <w:rPr>
                <w:rFonts w:cs="Times New Roman"/>
                <w:color w:val="002060"/>
                <w:sz w:val="21"/>
                <w:szCs w:val="21"/>
              </w:rPr>
            </w:pPr>
            <w:r>
              <w:rPr>
                <w:rFonts w:hint="eastAsia" w:cs="Times New Roman"/>
                <w:color w:val="002060"/>
                <w:sz w:val="21"/>
                <w:szCs w:val="21"/>
                <w:lang w:eastAsia="zh-CN"/>
              </w:rPr>
              <w:t>12.</w:t>
            </w:r>
            <w:r>
              <w:rPr>
                <w:rFonts w:hint="eastAsia" w:cs="Times New Roman"/>
                <w:color w:val="002060"/>
                <w:sz w:val="21"/>
                <w:szCs w:val="21"/>
                <w:lang w:val="en-US" w:eastAsia="zh-CN"/>
              </w:rPr>
              <w:t>65</w:t>
            </w:r>
          </w:p>
        </w:tc>
        <w:tc>
          <w:tcPr>
            <w:tcW w:w="295" w:type="pct"/>
            <w:shd w:val="clear" w:color="auto" w:fill="auto"/>
            <w:vAlign w:val="center"/>
          </w:tcPr>
          <w:p w14:paraId="66776749">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19.93</w:t>
            </w:r>
          </w:p>
        </w:tc>
        <w:tc>
          <w:tcPr>
            <w:tcW w:w="169" w:type="pct"/>
            <w:shd w:val="clear" w:color="auto" w:fill="auto"/>
            <w:vAlign w:val="center"/>
          </w:tcPr>
          <w:p w14:paraId="0DC248D8">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5</w:t>
            </w:r>
          </w:p>
        </w:tc>
        <w:tc>
          <w:tcPr>
            <w:tcW w:w="316" w:type="pct"/>
            <w:shd w:val="clear" w:color="auto" w:fill="auto"/>
            <w:vAlign w:val="center"/>
          </w:tcPr>
          <w:p w14:paraId="71713A77">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280.33</w:t>
            </w:r>
          </w:p>
        </w:tc>
        <w:tc>
          <w:tcPr>
            <w:tcW w:w="278" w:type="pct"/>
            <w:shd w:val="clear" w:color="auto" w:fill="auto"/>
            <w:vAlign w:val="center"/>
          </w:tcPr>
          <w:p w14:paraId="1FDCE9AF">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123.93</w:t>
            </w:r>
          </w:p>
        </w:tc>
        <w:tc>
          <w:tcPr>
            <w:tcW w:w="278" w:type="pct"/>
            <w:shd w:val="clear" w:color="auto" w:fill="auto"/>
            <w:vAlign w:val="center"/>
          </w:tcPr>
          <w:p w14:paraId="78FD9B30">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78.93</w:t>
            </w:r>
          </w:p>
        </w:tc>
        <w:tc>
          <w:tcPr>
            <w:tcW w:w="148" w:type="pct"/>
            <w:shd w:val="clear" w:color="auto" w:fill="auto"/>
            <w:vAlign w:val="center"/>
          </w:tcPr>
          <w:p w14:paraId="34377E9E">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10</w:t>
            </w:r>
          </w:p>
        </w:tc>
        <w:tc>
          <w:tcPr>
            <w:tcW w:w="186" w:type="pct"/>
            <w:shd w:val="clear" w:color="auto" w:fill="auto"/>
            <w:vAlign w:val="center"/>
          </w:tcPr>
          <w:p w14:paraId="500148BE">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35</w:t>
            </w:r>
          </w:p>
        </w:tc>
        <w:tc>
          <w:tcPr>
            <w:tcW w:w="222" w:type="pct"/>
            <w:shd w:val="clear" w:color="auto" w:fill="auto"/>
            <w:vAlign w:val="center"/>
          </w:tcPr>
          <w:p w14:paraId="5C507697">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190</w:t>
            </w:r>
          </w:p>
        </w:tc>
        <w:tc>
          <w:tcPr>
            <w:tcW w:w="222" w:type="pct"/>
            <w:shd w:val="clear" w:color="auto" w:fill="auto"/>
            <w:vAlign w:val="center"/>
          </w:tcPr>
          <w:p w14:paraId="15E26955">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180</w:t>
            </w:r>
          </w:p>
        </w:tc>
        <w:tc>
          <w:tcPr>
            <w:tcW w:w="149" w:type="pct"/>
            <w:shd w:val="clear" w:color="auto" w:fill="auto"/>
            <w:vAlign w:val="center"/>
          </w:tcPr>
          <w:p w14:paraId="29EF99A1">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10</w:t>
            </w:r>
          </w:p>
        </w:tc>
        <w:tc>
          <w:tcPr>
            <w:tcW w:w="222" w:type="pct"/>
            <w:shd w:val="clear" w:color="auto" w:fill="auto"/>
            <w:vAlign w:val="center"/>
          </w:tcPr>
          <w:p w14:paraId="67E56E5B">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548</w:t>
            </w:r>
          </w:p>
        </w:tc>
        <w:tc>
          <w:tcPr>
            <w:tcW w:w="185" w:type="pct"/>
            <w:shd w:val="clear" w:color="auto" w:fill="auto"/>
            <w:vAlign w:val="center"/>
          </w:tcPr>
          <w:p w14:paraId="67C79417">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138</w:t>
            </w:r>
          </w:p>
        </w:tc>
        <w:tc>
          <w:tcPr>
            <w:tcW w:w="223" w:type="pct"/>
            <w:shd w:val="clear" w:color="auto" w:fill="auto"/>
            <w:vAlign w:val="center"/>
          </w:tcPr>
          <w:p w14:paraId="6E8919EF">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410</w:t>
            </w:r>
          </w:p>
        </w:tc>
      </w:tr>
      <w:tr w14:paraId="11249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2" w:type="pct"/>
            <w:shd w:val="clear" w:color="auto" w:fill="auto"/>
            <w:vAlign w:val="center"/>
          </w:tcPr>
          <w:p w14:paraId="5F76F3EB">
            <w:pPr>
              <w:spacing w:line="240" w:lineRule="auto"/>
              <w:ind w:firstLine="0" w:firstLineChars="0"/>
              <w:jc w:val="center"/>
              <w:textAlignment w:val="center"/>
              <w:rPr>
                <w:rFonts w:cs="Times New Roman"/>
                <w:color w:val="002060"/>
                <w:sz w:val="21"/>
                <w:szCs w:val="21"/>
              </w:rPr>
            </w:pPr>
            <w:r>
              <w:rPr>
                <w:rStyle w:val="44"/>
                <w:color w:val="000000"/>
                <w:sz w:val="21"/>
                <w:szCs w:val="21"/>
                <w:u w:val="none"/>
                <w:lang w:eastAsia="zh-CN" w:bidi="ar"/>
              </w:rPr>
              <w:t>2026</w:t>
            </w:r>
            <w:r>
              <w:rPr>
                <w:rFonts w:hint="eastAsia" w:cs="宋体"/>
                <w:sz w:val="21"/>
                <w:szCs w:val="21"/>
                <w:lang w:eastAsia="zh-CN" w:bidi="ar"/>
              </w:rPr>
              <w:t>年</w:t>
            </w:r>
          </w:p>
        </w:tc>
        <w:tc>
          <w:tcPr>
            <w:tcW w:w="315" w:type="pct"/>
            <w:shd w:val="clear" w:color="auto" w:fill="auto"/>
            <w:vAlign w:val="center"/>
          </w:tcPr>
          <w:p w14:paraId="717856EF">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1339.43</w:t>
            </w:r>
          </w:p>
        </w:tc>
        <w:tc>
          <w:tcPr>
            <w:tcW w:w="315" w:type="pct"/>
            <w:shd w:val="clear" w:color="auto" w:fill="auto"/>
            <w:vAlign w:val="center"/>
          </w:tcPr>
          <w:p w14:paraId="30AC037D">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185.76</w:t>
            </w:r>
          </w:p>
        </w:tc>
        <w:tc>
          <w:tcPr>
            <w:tcW w:w="347" w:type="pct"/>
            <w:shd w:val="clear" w:color="auto" w:fill="auto"/>
            <w:vAlign w:val="center"/>
          </w:tcPr>
          <w:p w14:paraId="520EA535">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155.76</w:t>
            </w:r>
          </w:p>
        </w:tc>
        <w:tc>
          <w:tcPr>
            <w:tcW w:w="262" w:type="pct"/>
            <w:shd w:val="clear" w:color="auto" w:fill="auto"/>
            <w:vAlign w:val="center"/>
          </w:tcPr>
          <w:p w14:paraId="16E4B115">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30</w:t>
            </w:r>
          </w:p>
        </w:tc>
        <w:tc>
          <w:tcPr>
            <w:tcW w:w="352" w:type="pct"/>
            <w:shd w:val="clear" w:color="auto" w:fill="auto"/>
            <w:vAlign w:val="center"/>
          </w:tcPr>
          <w:p w14:paraId="5E6A2966">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311.74</w:t>
            </w:r>
          </w:p>
        </w:tc>
        <w:tc>
          <w:tcPr>
            <w:tcW w:w="282" w:type="pct"/>
            <w:shd w:val="clear" w:color="auto" w:fill="auto"/>
            <w:vAlign w:val="center"/>
          </w:tcPr>
          <w:p w14:paraId="29C325CB">
            <w:pPr>
              <w:spacing w:line="240" w:lineRule="auto"/>
              <w:ind w:firstLine="0" w:firstLineChars="0"/>
              <w:jc w:val="center"/>
              <w:textAlignment w:val="center"/>
              <w:rPr>
                <w:rFonts w:cs="Times New Roman"/>
                <w:color w:val="002060"/>
                <w:sz w:val="21"/>
                <w:szCs w:val="21"/>
              </w:rPr>
            </w:pPr>
          </w:p>
        </w:tc>
        <w:tc>
          <w:tcPr>
            <w:tcW w:w="295" w:type="pct"/>
            <w:shd w:val="clear" w:color="auto" w:fill="auto"/>
            <w:vAlign w:val="center"/>
          </w:tcPr>
          <w:p w14:paraId="3E8D9A43">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19.93</w:t>
            </w:r>
          </w:p>
        </w:tc>
        <w:tc>
          <w:tcPr>
            <w:tcW w:w="169" w:type="pct"/>
            <w:shd w:val="clear" w:color="auto" w:fill="auto"/>
            <w:vAlign w:val="center"/>
          </w:tcPr>
          <w:p w14:paraId="5963DB0C">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5</w:t>
            </w:r>
          </w:p>
        </w:tc>
        <w:tc>
          <w:tcPr>
            <w:tcW w:w="316" w:type="pct"/>
            <w:shd w:val="clear" w:color="auto" w:fill="auto"/>
            <w:vAlign w:val="center"/>
          </w:tcPr>
          <w:p w14:paraId="66D74BF9">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280.33</w:t>
            </w:r>
          </w:p>
        </w:tc>
        <w:tc>
          <w:tcPr>
            <w:tcW w:w="278" w:type="pct"/>
            <w:shd w:val="clear" w:color="auto" w:fill="auto"/>
            <w:vAlign w:val="center"/>
          </w:tcPr>
          <w:p w14:paraId="6C8A8FE2">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103.93</w:t>
            </w:r>
          </w:p>
        </w:tc>
        <w:tc>
          <w:tcPr>
            <w:tcW w:w="278" w:type="pct"/>
            <w:shd w:val="clear" w:color="auto" w:fill="auto"/>
            <w:vAlign w:val="center"/>
          </w:tcPr>
          <w:p w14:paraId="1ABEB7AE">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78.93</w:t>
            </w:r>
          </w:p>
        </w:tc>
        <w:tc>
          <w:tcPr>
            <w:tcW w:w="148" w:type="pct"/>
            <w:shd w:val="clear" w:color="auto" w:fill="auto"/>
            <w:vAlign w:val="center"/>
          </w:tcPr>
          <w:p w14:paraId="21995B50">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10</w:t>
            </w:r>
          </w:p>
        </w:tc>
        <w:tc>
          <w:tcPr>
            <w:tcW w:w="186" w:type="pct"/>
            <w:shd w:val="clear" w:color="auto" w:fill="auto"/>
            <w:vAlign w:val="center"/>
          </w:tcPr>
          <w:p w14:paraId="1350E262">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15</w:t>
            </w:r>
          </w:p>
        </w:tc>
        <w:tc>
          <w:tcPr>
            <w:tcW w:w="222" w:type="pct"/>
            <w:shd w:val="clear" w:color="auto" w:fill="auto"/>
            <w:vAlign w:val="center"/>
          </w:tcPr>
          <w:p w14:paraId="210986AC">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190</w:t>
            </w:r>
          </w:p>
        </w:tc>
        <w:tc>
          <w:tcPr>
            <w:tcW w:w="222" w:type="pct"/>
            <w:shd w:val="clear" w:color="auto" w:fill="auto"/>
            <w:vAlign w:val="center"/>
          </w:tcPr>
          <w:p w14:paraId="05802963">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180</w:t>
            </w:r>
          </w:p>
        </w:tc>
        <w:tc>
          <w:tcPr>
            <w:tcW w:w="149" w:type="pct"/>
            <w:shd w:val="clear" w:color="auto" w:fill="auto"/>
            <w:vAlign w:val="center"/>
          </w:tcPr>
          <w:p w14:paraId="20C07796">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10</w:t>
            </w:r>
          </w:p>
        </w:tc>
        <w:tc>
          <w:tcPr>
            <w:tcW w:w="222" w:type="pct"/>
            <w:shd w:val="clear" w:color="auto" w:fill="auto"/>
            <w:vAlign w:val="center"/>
          </w:tcPr>
          <w:p w14:paraId="12B866F3">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548</w:t>
            </w:r>
          </w:p>
        </w:tc>
        <w:tc>
          <w:tcPr>
            <w:tcW w:w="185" w:type="pct"/>
            <w:shd w:val="clear" w:color="auto" w:fill="auto"/>
            <w:vAlign w:val="center"/>
          </w:tcPr>
          <w:p w14:paraId="47522742">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138</w:t>
            </w:r>
          </w:p>
        </w:tc>
        <w:tc>
          <w:tcPr>
            <w:tcW w:w="223" w:type="pct"/>
            <w:shd w:val="clear" w:color="auto" w:fill="auto"/>
            <w:vAlign w:val="center"/>
          </w:tcPr>
          <w:p w14:paraId="35B8E48C">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410</w:t>
            </w:r>
          </w:p>
        </w:tc>
      </w:tr>
      <w:tr w14:paraId="38A86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2" w:type="pct"/>
            <w:shd w:val="clear" w:color="auto" w:fill="auto"/>
            <w:vAlign w:val="center"/>
          </w:tcPr>
          <w:p w14:paraId="43271234">
            <w:pPr>
              <w:spacing w:line="240" w:lineRule="auto"/>
              <w:ind w:firstLine="0" w:firstLineChars="0"/>
              <w:jc w:val="center"/>
              <w:textAlignment w:val="center"/>
              <w:rPr>
                <w:rFonts w:cs="Times New Roman"/>
                <w:color w:val="002060"/>
                <w:sz w:val="21"/>
                <w:szCs w:val="21"/>
              </w:rPr>
            </w:pPr>
            <w:r>
              <w:rPr>
                <w:rStyle w:val="44"/>
                <w:color w:val="000000"/>
                <w:sz w:val="21"/>
                <w:szCs w:val="21"/>
                <w:u w:val="none"/>
                <w:lang w:eastAsia="zh-CN" w:bidi="ar"/>
              </w:rPr>
              <w:t>2027</w:t>
            </w:r>
            <w:r>
              <w:rPr>
                <w:rFonts w:hint="eastAsia" w:cs="宋体"/>
                <w:sz w:val="21"/>
                <w:szCs w:val="21"/>
                <w:lang w:eastAsia="zh-CN" w:bidi="ar"/>
              </w:rPr>
              <w:t>年</w:t>
            </w:r>
          </w:p>
        </w:tc>
        <w:tc>
          <w:tcPr>
            <w:tcW w:w="315" w:type="pct"/>
            <w:shd w:val="clear" w:color="auto" w:fill="auto"/>
            <w:vAlign w:val="center"/>
          </w:tcPr>
          <w:p w14:paraId="4CF23420">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1340.76</w:t>
            </w:r>
          </w:p>
        </w:tc>
        <w:tc>
          <w:tcPr>
            <w:tcW w:w="315" w:type="pct"/>
            <w:shd w:val="clear" w:color="auto" w:fill="auto"/>
            <w:vAlign w:val="center"/>
          </w:tcPr>
          <w:p w14:paraId="02C6844C">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185.76</w:t>
            </w:r>
          </w:p>
        </w:tc>
        <w:tc>
          <w:tcPr>
            <w:tcW w:w="347" w:type="pct"/>
            <w:shd w:val="clear" w:color="auto" w:fill="auto"/>
            <w:vAlign w:val="center"/>
          </w:tcPr>
          <w:p w14:paraId="14CE14D4">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155.76</w:t>
            </w:r>
          </w:p>
        </w:tc>
        <w:tc>
          <w:tcPr>
            <w:tcW w:w="262" w:type="pct"/>
            <w:shd w:val="clear" w:color="auto" w:fill="auto"/>
            <w:vAlign w:val="center"/>
          </w:tcPr>
          <w:p w14:paraId="4101CBDB">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30</w:t>
            </w:r>
          </w:p>
        </w:tc>
        <w:tc>
          <w:tcPr>
            <w:tcW w:w="352" w:type="pct"/>
            <w:shd w:val="clear" w:color="auto" w:fill="auto"/>
            <w:vAlign w:val="center"/>
          </w:tcPr>
          <w:p w14:paraId="7CF65BEF">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313.07</w:t>
            </w:r>
          </w:p>
        </w:tc>
        <w:tc>
          <w:tcPr>
            <w:tcW w:w="282" w:type="pct"/>
            <w:shd w:val="clear" w:color="auto" w:fill="auto"/>
            <w:vAlign w:val="center"/>
          </w:tcPr>
          <w:p w14:paraId="1231D5B1">
            <w:pPr>
              <w:spacing w:line="240" w:lineRule="auto"/>
              <w:ind w:firstLine="0" w:firstLineChars="0"/>
              <w:jc w:val="center"/>
              <w:textAlignment w:val="center"/>
              <w:rPr>
                <w:rFonts w:cs="Times New Roman"/>
                <w:color w:val="002060"/>
                <w:sz w:val="21"/>
                <w:szCs w:val="21"/>
              </w:rPr>
            </w:pPr>
          </w:p>
        </w:tc>
        <w:tc>
          <w:tcPr>
            <w:tcW w:w="295" w:type="pct"/>
            <w:shd w:val="clear" w:color="auto" w:fill="auto"/>
            <w:vAlign w:val="center"/>
          </w:tcPr>
          <w:p w14:paraId="1CDF9024">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19.93</w:t>
            </w:r>
          </w:p>
        </w:tc>
        <w:tc>
          <w:tcPr>
            <w:tcW w:w="169" w:type="pct"/>
            <w:shd w:val="clear" w:color="auto" w:fill="auto"/>
            <w:vAlign w:val="center"/>
          </w:tcPr>
          <w:p w14:paraId="47A96854">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5</w:t>
            </w:r>
          </w:p>
        </w:tc>
        <w:tc>
          <w:tcPr>
            <w:tcW w:w="316" w:type="pct"/>
            <w:shd w:val="clear" w:color="auto" w:fill="auto"/>
            <w:vAlign w:val="center"/>
          </w:tcPr>
          <w:p w14:paraId="491441A5">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280.33</w:t>
            </w:r>
          </w:p>
        </w:tc>
        <w:tc>
          <w:tcPr>
            <w:tcW w:w="278" w:type="pct"/>
            <w:shd w:val="clear" w:color="auto" w:fill="auto"/>
            <w:vAlign w:val="center"/>
          </w:tcPr>
          <w:p w14:paraId="29273CB2">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103.93</w:t>
            </w:r>
          </w:p>
        </w:tc>
        <w:tc>
          <w:tcPr>
            <w:tcW w:w="278" w:type="pct"/>
            <w:shd w:val="clear" w:color="auto" w:fill="auto"/>
            <w:vAlign w:val="center"/>
          </w:tcPr>
          <w:p w14:paraId="615045C3">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78.93</w:t>
            </w:r>
          </w:p>
        </w:tc>
        <w:tc>
          <w:tcPr>
            <w:tcW w:w="148" w:type="pct"/>
            <w:shd w:val="clear" w:color="auto" w:fill="auto"/>
            <w:vAlign w:val="center"/>
          </w:tcPr>
          <w:p w14:paraId="5F914685">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10</w:t>
            </w:r>
          </w:p>
        </w:tc>
        <w:tc>
          <w:tcPr>
            <w:tcW w:w="186" w:type="pct"/>
            <w:shd w:val="clear" w:color="auto" w:fill="auto"/>
            <w:vAlign w:val="center"/>
          </w:tcPr>
          <w:p w14:paraId="634B3FBF">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15</w:t>
            </w:r>
          </w:p>
        </w:tc>
        <w:tc>
          <w:tcPr>
            <w:tcW w:w="222" w:type="pct"/>
            <w:shd w:val="clear" w:color="auto" w:fill="auto"/>
            <w:vAlign w:val="center"/>
          </w:tcPr>
          <w:p w14:paraId="58D95DA6">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190</w:t>
            </w:r>
          </w:p>
        </w:tc>
        <w:tc>
          <w:tcPr>
            <w:tcW w:w="222" w:type="pct"/>
            <w:shd w:val="clear" w:color="auto" w:fill="auto"/>
            <w:vAlign w:val="center"/>
          </w:tcPr>
          <w:p w14:paraId="25EA8C49">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180</w:t>
            </w:r>
          </w:p>
        </w:tc>
        <w:tc>
          <w:tcPr>
            <w:tcW w:w="149" w:type="pct"/>
            <w:shd w:val="clear" w:color="auto" w:fill="auto"/>
            <w:vAlign w:val="center"/>
          </w:tcPr>
          <w:p w14:paraId="3214A456">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10</w:t>
            </w:r>
          </w:p>
        </w:tc>
        <w:tc>
          <w:tcPr>
            <w:tcW w:w="222" w:type="pct"/>
            <w:shd w:val="clear" w:color="auto" w:fill="auto"/>
            <w:vAlign w:val="center"/>
          </w:tcPr>
          <w:p w14:paraId="5CF14C96">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548</w:t>
            </w:r>
          </w:p>
        </w:tc>
        <w:tc>
          <w:tcPr>
            <w:tcW w:w="185" w:type="pct"/>
            <w:shd w:val="clear" w:color="auto" w:fill="auto"/>
            <w:vAlign w:val="center"/>
          </w:tcPr>
          <w:p w14:paraId="3013EC10">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138</w:t>
            </w:r>
          </w:p>
        </w:tc>
        <w:tc>
          <w:tcPr>
            <w:tcW w:w="223" w:type="pct"/>
            <w:shd w:val="clear" w:color="auto" w:fill="auto"/>
            <w:vAlign w:val="center"/>
          </w:tcPr>
          <w:p w14:paraId="0753E5ED">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410</w:t>
            </w:r>
          </w:p>
        </w:tc>
      </w:tr>
      <w:tr w14:paraId="6BC87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2" w:type="pct"/>
            <w:shd w:val="clear" w:color="auto" w:fill="auto"/>
            <w:vAlign w:val="center"/>
          </w:tcPr>
          <w:p w14:paraId="306479B4">
            <w:pPr>
              <w:spacing w:line="240" w:lineRule="auto"/>
              <w:ind w:firstLine="0" w:firstLineChars="0"/>
              <w:jc w:val="center"/>
              <w:textAlignment w:val="center"/>
              <w:rPr>
                <w:rFonts w:cs="Times New Roman"/>
                <w:color w:val="002060"/>
                <w:sz w:val="21"/>
                <w:szCs w:val="21"/>
              </w:rPr>
            </w:pPr>
            <w:r>
              <w:rPr>
                <w:rStyle w:val="44"/>
                <w:color w:val="000000"/>
                <w:sz w:val="21"/>
                <w:szCs w:val="21"/>
                <w:u w:val="none"/>
                <w:lang w:eastAsia="zh-CN" w:bidi="ar"/>
              </w:rPr>
              <w:t>2028</w:t>
            </w:r>
            <w:r>
              <w:rPr>
                <w:rFonts w:hint="eastAsia" w:cs="宋体"/>
                <w:sz w:val="21"/>
                <w:szCs w:val="21"/>
                <w:lang w:eastAsia="zh-CN" w:bidi="ar"/>
              </w:rPr>
              <w:t>年</w:t>
            </w:r>
          </w:p>
        </w:tc>
        <w:tc>
          <w:tcPr>
            <w:tcW w:w="315" w:type="pct"/>
            <w:shd w:val="clear" w:color="auto" w:fill="auto"/>
            <w:vAlign w:val="center"/>
          </w:tcPr>
          <w:p w14:paraId="199DC310">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1332.95</w:t>
            </w:r>
          </w:p>
        </w:tc>
        <w:tc>
          <w:tcPr>
            <w:tcW w:w="315" w:type="pct"/>
            <w:shd w:val="clear" w:color="auto" w:fill="auto"/>
            <w:vAlign w:val="center"/>
          </w:tcPr>
          <w:p w14:paraId="5450FA07">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185.76</w:t>
            </w:r>
          </w:p>
        </w:tc>
        <w:tc>
          <w:tcPr>
            <w:tcW w:w="347" w:type="pct"/>
            <w:shd w:val="clear" w:color="auto" w:fill="auto"/>
            <w:vAlign w:val="center"/>
          </w:tcPr>
          <w:p w14:paraId="4194C7BE">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155.76</w:t>
            </w:r>
          </w:p>
        </w:tc>
        <w:tc>
          <w:tcPr>
            <w:tcW w:w="262" w:type="pct"/>
            <w:shd w:val="clear" w:color="auto" w:fill="auto"/>
            <w:vAlign w:val="center"/>
          </w:tcPr>
          <w:p w14:paraId="03BF9EC4">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30</w:t>
            </w:r>
          </w:p>
        </w:tc>
        <w:tc>
          <w:tcPr>
            <w:tcW w:w="352" w:type="pct"/>
            <w:shd w:val="clear" w:color="auto" w:fill="auto"/>
            <w:vAlign w:val="center"/>
          </w:tcPr>
          <w:p w14:paraId="693A7767">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305.26</w:t>
            </w:r>
          </w:p>
        </w:tc>
        <w:tc>
          <w:tcPr>
            <w:tcW w:w="282" w:type="pct"/>
            <w:shd w:val="clear" w:color="auto" w:fill="auto"/>
            <w:vAlign w:val="center"/>
          </w:tcPr>
          <w:p w14:paraId="03039F16">
            <w:pPr>
              <w:spacing w:line="240" w:lineRule="auto"/>
              <w:ind w:firstLine="0" w:firstLineChars="0"/>
              <w:jc w:val="center"/>
              <w:rPr>
                <w:rFonts w:cs="Times New Roman"/>
                <w:color w:val="002060"/>
                <w:sz w:val="21"/>
                <w:szCs w:val="21"/>
              </w:rPr>
            </w:pPr>
          </w:p>
        </w:tc>
        <w:tc>
          <w:tcPr>
            <w:tcW w:w="295" w:type="pct"/>
            <w:shd w:val="clear" w:color="auto" w:fill="auto"/>
            <w:vAlign w:val="center"/>
          </w:tcPr>
          <w:p w14:paraId="3CFABB5A">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19.93</w:t>
            </w:r>
          </w:p>
        </w:tc>
        <w:tc>
          <w:tcPr>
            <w:tcW w:w="169" w:type="pct"/>
            <w:shd w:val="clear" w:color="auto" w:fill="auto"/>
            <w:vAlign w:val="center"/>
          </w:tcPr>
          <w:p w14:paraId="79F2338D">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5</w:t>
            </w:r>
          </w:p>
        </w:tc>
        <w:tc>
          <w:tcPr>
            <w:tcW w:w="316" w:type="pct"/>
            <w:shd w:val="clear" w:color="auto" w:fill="auto"/>
            <w:vAlign w:val="center"/>
          </w:tcPr>
          <w:p w14:paraId="5BB0A07B">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280.33</w:t>
            </w:r>
          </w:p>
        </w:tc>
        <w:tc>
          <w:tcPr>
            <w:tcW w:w="278" w:type="pct"/>
            <w:shd w:val="clear" w:color="auto" w:fill="auto"/>
            <w:vAlign w:val="center"/>
          </w:tcPr>
          <w:p w14:paraId="22097D0E">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103.93</w:t>
            </w:r>
          </w:p>
        </w:tc>
        <w:tc>
          <w:tcPr>
            <w:tcW w:w="278" w:type="pct"/>
            <w:shd w:val="clear" w:color="auto" w:fill="auto"/>
            <w:vAlign w:val="center"/>
          </w:tcPr>
          <w:p w14:paraId="610F4AEA">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78.93</w:t>
            </w:r>
          </w:p>
        </w:tc>
        <w:tc>
          <w:tcPr>
            <w:tcW w:w="148" w:type="pct"/>
            <w:shd w:val="clear" w:color="auto" w:fill="auto"/>
            <w:vAlign w:val="center"/>
          </w:tcPr>
          <w:p w14:paraId="22B9E221">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10</w:t>
            </w:r>
          </w:p>
        </w:tc>
        <w:tc>
          <w:tcPr>
            <w:tcW w:w="186" w:type="pct"/>
            <w:shd w:val="clear" w:color="auto" w:fill="auto"/>
            <w:vAlign w:val="center"/>
          </w:tcPr>
          <w:p w14:paraId="5024CDC6">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15</w:t>
            </w:r>
          </w:p>
        </w:tc>
        <w:tc>
          <w:tcPr>
            <w:tcW w:w="222" w:type="pct"/>
            <w:shd w:val="clear" w:color="auto" w:fill="auto"/>
            <w:vAlign w:val="center"/>
          </w:tcPr>
          <w:p w14:paraId="2EF71134">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190</w:t>
            </w:r>
          </w:p>
        </w:tc>
        <w:tc>
          <w:tcPr>
            <w:tcW w:w="222" w:type="pct"/>
            <w:shd w:val="clear" w:color="auto" w:fill="auto"/>
            <w:vAlign w:val="center"/>
          </w:tcPr>
          <w:p w14:paraId="575BBD6C">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180</w:t>
            </w:r>
          </w:p>
        </w:tc>
        <w:tc>
          <w:tcPr>
            <w:tcW w:w="149" w:type="pct"/>
            <w:shd w:val="clear" w:color="auto" w:fill="auto"/>
            <w:vAlign w:val="center"/>
          </w:tcPr>
          <w:p w14:paraId="757EC7A6">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10</w:t>
            </w:r>
          </w:p>
        </w:tc>
        <w:tc>
          <w:tcPr>
            <w:tcW w:w="222" w:type="pct"/>
            <w:shd w:val="clear" w:color="auto" w:fill="auto"/>
            <w:vAlign w:val="center"/>
          </w:tcPr>
          <w:p w14:paraId="1BBE2F55">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548</w:t>
            </w:r>
          </w:p>
        </w:tc>
        <w:tc>
          <w:tcPr>
            <w:tcW w:w="185" w:type="pct"/>
            <w:shd w:val="clear" w:color="auto" w:fill="auto"/>
            <w:vAlign w:val="center"/>
          </w:tcPr>
          <w:p w14:paraId="6A2A8573">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138</w:t>
            </w:r>
          </w:p>
        </w:tc>
        <w:tc>
          <w:tcPr>
            <w:tcW w:w="223" w:type="pct"/>
            <w:shd w:val="clear" w:color="auto" w:fill="auto"/>
            <w:vAlign w:val="center"/>
          </w:tcPr>
          <w:p w14:paraId="7C4E881B">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410</w:t>
            </w:r>
          </w:p>
        </w:tc>
      </w:tr>
      <w:tr w14:paraId="54C3F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2" w:type="pct"/>
            <w:shd w:val="clear" w:color="auto" w:fill="auto"/>
            <w:vAlign w:val="center"/>
          </w:tcPr>
          <w:p w14:paraId="03FAAA22">
            <w:pPr>
              <w:spacing w:line="240" w:lineRule="auto"/>
              <w:ind w:firstLine="0" w:firstLineChars="0"/>
              <w:jc w:val="center"/>
              <w:textAlignment w:val="center"/>
              <w:rPr>
                <w:rFonts w:cs="宋体"/>
                <w:color w:val="002060"/>
                <w:sz w:val="21"/>
                <w:szCs w:val="21"/>
              </w:rPr>
            </w:pPr>
            <w:r>
              <w:rPr>
                <w:rFonts w:hint="eastAsia" w:cs="宋体"/>
                <w:sz w:val="21"/>
                <w:szCs w:val="21"/>
                <w:lang w:eastAsia="zh-CN" w:bidi="ar"/>
              </w:rPr>
              <w:t>前期</w:t>
            </w:r>
          </w:p>
        </w:tc>
        <w:tc>
          <w:tcPr>
            <w:tcW w:w="315" w:type="pct"/>
            <w:shd w:val="clear" w:color="auto" w:fill="auto"/>
            <w:vAlign w:val="center"/>
          </w:tcPr>
          <w:p w14:paraId="425D9745">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6741.17</w:t>
            </w:r>
          </w:p>
        </w:tc>
        <w:tc>
          <w:tcPr>
            <w:tcW w:w="315" w:type="pct"/>
            <w:shd w:val="clear" w:color="auto" w:fill="auto"/>
            <w:vAlign w:val="center"/>
          </w:tcPr>
          <w:p w14:paraId="1B80FF65">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938.8</w:t>
            </w:r>
          </w:p>
        </w:tc>
        <w:tc>
          <w:tcPr>
            <w:tcW w:w="347" w:type="pct"/>
            <w:shd w:val="clear" w:color="auto" w:fill="auto"/>
            <w:vAlign w:val="center"/>
          </w:tcPr>
          <w:p w14:paraId="3ED28A8D">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788.8</w:t>
            </w:r>
          </w:p>
        </w:tc>
        <w:tc>
          <w:tcPr>
            <w:tcW w:w="262" w:type="pct"/>
            <w:shd w:val="clear" w:color="auto" w:fill="auto"/>
            <w:vAlign w:val="center"/>
          </w:tcPr>
          <w:p w14:paraId="2E1A1A4A">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150</w:t>
            </w:r>
          </w:p>
        </w:tc>
        <w:tc>
          <w:tcPr>
            <w:tcW w:w="352" w:type="pct"/>
            <w:shd w:val="clear" w:color="auto" w:fill="auto"/>
            <w:vAlign w:val="center"/>
          </w:tcPr>
          <w:p w14:paraId="3A6F6545">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1552.72</w:t>
            </w:r>
          </w:p>
        </w:tc>
        <w:tc>
          <w:tcPr>
            <w:tcW w:w="282" w:type="pct"/>
            <w:shd w:val="clear" w:color="auto" w:fill="auto"/>
            <w:vAlign w:val="center"/>
          </w:tcPr>
          <w:p w14:paraId="5E8CE07B">
            <w:pPr>
              <w:spacing w:line="240" w:lineRule="auto"/>
              <w:ind w:firstLine="0" w:firstLineChars="0"/>
              <w:jc w:val="center"/>
              <w:textAlignment w:val="center"/>
              <w:rPr>
                <w:rFonts w:cs="Times New Roman"/>
                <w:color w:val="002060"/>
                <w:sz w:val="21"/>
                <w:szCs w:val="21"/>
              </w:rPr>
            </w:pPr>
          </w:p>
        </w:tc>
        <w:tc>
          <w:tcPr>
            <w:tcW w:w="295" w:type="pct"/>
            <w:shd w:val="clear" w:color="auto" w:fill="auto"/>
            <w:vAlign w:val="center"/>
          </w:tcPr>
          <w:p w14:paraId="5D8CB569">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99.65</w:t>
            </w:r>
          </w:p>
        </w:tc>
        <w:tc>
          <w:tcPr>
            <w:tcW w:w="169" w:type="pct"/>
            <w:shd w:val="clear" w:color="auto" w:fill="auto"/>
            <w:vAlign w:val="center"/>
          </w:tcPr>
          <w:p w14:paraId="7A18581B">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25</w:t>
            </w:r>
          </w:p>
        </w:tc>
        <w:tc>
          <w:tcPr>
            <w:tcW w:w="316" w:type="pct"/>
            <w:shd w:val="clear" w:color="auto" w:fill="auto"/>
            <w:vAlign w:val="center"/>
          </w:tcPr>
          <w:p w14:paraId="12F8F148">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1401.65</w:t>
            </w:r>
          </w:p>
        </w:tc>
        <w:tc>
          <w:tcPr>
            <w:tcW w:w="278" w:type="pct"/>
            <w:shd w:val="clear" w:color="auto" w:fill="auto"/>
            <w:vAlign w:val="center"/>
          </w:tcPr>
          <w:p w14:paraId="734D192A">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559.65</w:t>
            </w:r>
          </w:p>
        </w:tc>
        <w:tc>
          <w:tcPr>
            <w:tcW w:w="278" w:type="pct"/>
            <w:shd w:val="clear" w:color="auto" w:fill="auto"/>
            <w:vAlign w:val="center"/>
          </w:tcPr>
          <w:p w14:paraId="6FCB616E">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394.65</w:t>
            </w:r>
          </w:p>
        </w:tc>
        <w:tc>
          <w:tcPr>
            <w:tcW w:w="148" w:type="pct"/>
            <w:shd w:val="clear" w:color="auto" w:fill="auto"/>
            <w:vAlign w:val="center"/>
          </w:tcPr>
          <w:p w14:paraId="6865BEDB">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50</w:t>
            </w:r>
          </w:p>
        </w:tc>
        <w:tc>
          <w:tcPr>
            <w:tcW w:w="186" w:type="pct"/>
            <w:shd w:val="clear" w:color="auto" w:fill="auto"/>
            <w:vAlign w:val="center"/>
          </w:tcPr>
          <w:p w14:paraId="2257C82E">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115</w:t>
            </w:r>
          </w:p>
        </w:tc>
        <w:tc>
          <w:tcPr>
            <w:tcW w:w="222" w:type="pct"/>
            <w:shd w:val="clear" w:color="auto" w:fill="auto"/>
            <w:vAlign w:val="center"/>
          </w:tcPr>
          <w:p w14:paraId="1CA7406A">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950</w:t>
            </w:r>
          </w:p>
        </w:tc>
        <w:tc>
          <w:tcPr>
            <w:tcW w:w="222" w:type="pct"/>
            <w:shd w:val="clear" w:color="auto" w:fill="auto"/>
            <w:vAlign w:val="center"/>
          </w:tcPr>
          <w:p w14:paraId="575EE2B8">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900</w:t>
            </w:r>
          </w:p>
        </w:tc>
        <w:tc>
          <w:tcPr>
            <w:tcW w:w="149" w:type="pct"/>
            <w:shd w:val="clear" w:color="auto" w:fill="auto"/>
            <w:vAlign w:val="center"/>
          </w:tcPr>
          <w:p w14:paraId="6E2CA03B">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50</w:t>
            </w:r>
          </w:p>
        </w:tc>
        <w:tc>
          <w:tcPr>
            <w:tcW w:w="222" w:type="pct"/>
            <w:shd w:val="clear" w:color="auto" w:fill="auto"/>
            <w:vAlign w:val="center"/>
          </w:tcPr>
          <w:p w14:paraId="410BED25">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2740</w:t>
            </w:r>
          </w:p>
        </w:tc>
        <w:tc>
          <w:tcPr>
            <w:tcW w:w="185" w:type="pct"/>
            <w:shd w:val="clear" w:color="auto" w:fill="auto"/>
            <w:vAlign w:val="center"/>
          </w:tcPr>
          <w:p w14:paraId="01958C12">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690</w:t>
            </w:r>
          </w:p>
        </w:tc>
        <w:tc>
          <w:tcPr>
            <w:tcW w:w="223" w:type="pct"/>
            <w:shd w:val="clear" w:color="auto" w:fill="auto"/>
            <w:vAlign w:val="center"/>
          </w:tcPr>
          <w:p w14:paraId="612B4A08">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2050</w:t>
            </w:r>
          </w:p>
        </w:tc>
      </w:tr>
      <w:tr w14:paraId="63100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2" w:type="pct"/>
            <w:shd w:val="clear" w:color="auto" w:fill="auto"/>
            <w:vAlign w:val="center"/>
          </w:tcPr>
          <w:p w14:paraId="7CF2A3C7">
            <w:pPr>
              <w:spacing w:line="240" w:lineRule="auto"/>
              <w:ind w:firstLine="0" w:firstLineChars="0"/>
              <w:jc w:val="center"/>
              <w:textAlignment w:val="center"/>
              <w:rPr>
                <w:rFonts w:cs="宋体"/>
                <w:color w:val="002060"/>
                <w:sz w:val="21"/>
                <w:szCs w:val="21"/>
              </w:rPr>
            </w:pPr>
            <w:r>
              <w:rPr>
                <w:rFonts w:hint="eastAsia" w:cs="宋体"/>
                <w:sz w:val="21"/>
                <w:szCs w:val="21"/>
                <w:lang w:eastAsia="zh-CN" w:bidi="ar"/>
              </w:rPr>
              <w:t>后期</w:t>
            </w:r>
          </w:p>
        </w:tc>
        <w:tc>
          <w:tcPr>
            <w:tcW w:w="315" w:type="pct"/>
            <w:shd w:val="clear" w:color="auto" w:fill="auto"/>
            <w:vAlign w:val="center"/>
          </w:tcPr>
          <w:p w14:paraId="0381F797">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2638.04</w:t>
            </w:r>
          </w:p>
        </w:tc>
        <w:tc>
          <w:tcPr>
            <w:tcW w:w="315" w:type="pct"/>
            <w:shd w:val="clear" w:color="auto" w:fill="auto"/>
            <w:vAlign w:val="center"/>
          </w:tcPr>
          <w:p w14:paraId="2C041DB8">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371.52</w:t>
            </w:r>
          </w:p>
        </w:tc>
        <w:tc>
          <w:tcPr>
            <w:tcW w:w="347" w:type="pct"/>
            <w:shd w:val="clear" w:color="auto" w:fill="auto"/>
            <w:vAlign w:val="center"/>
          </w:tcPr>
          <w:p w14:paraId="34F4E8B9">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311.52</w:t>
            </w:r>
          </w:p>
        </w:tc>
        <w:tc>
          <w:tcPr>
            <w:tcW w:w="262" w:type="pct"/>
            <w:shd w:val="clear" w:color="auto" w:fill="auto"/>
            <w:vAlign w:val="center"/>
          </w:tcPr>
          <w:p w14:paraId="3290C29F">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60</w:t>
            </w:r>
          </w:p>
        </w:tc>
        <w:tc>
          <w:tcPr>
            <w:tcW w:w="352" w:type="pct"/>
            <w:shd w:val="clear" w:color="auto" w:fill="auto"/>
            <w:vAlign w:val="center"/>
          </w:tcPr>
          <w:p w14:paraId="76871730">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640.52</w:t>
            </w:r>
          </w:p>
        </w:tc>
        <w:tc>
          <w:tcPr>
            <w:tcW w:w="282" w:type="pct"/>
            <w:shd w:val="clear" w:color="auto" w:fill="auto"/>
            <w:vAlign w:val="center"/>
          </w:tcPr>
          <w:p w14:paraId="37918CF1">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30</w:t>
            </w:r>
          </w:p>
        </w:tc>
        <w:tc>
          <w:tcPr>
            <w:tcW w:w="295" w:type="pct"/>
            <w:shd w:val="clear" w:color="auto" w:fill="auto"/>
            <w:vAlign w:val="center"/>
          </w:tcPr>
          <w:p w14:paraId="65D8C0CE">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39.86</w:t>
            </w:r>
          </w:p>
        </w:tc>
        <w:tc>
          <w:tcPr>
            <w:tcW w:w="169" w:type="pct"/>
            <w:shd w:val="clear" w:color="auto" w:fill="auto"/>
            <w:vAlign w:val="center"/>
          </w:tcPr>
          <w:p w14:paraId="47699513">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10</w:t>
            </w:r>
          </w:p>
        </w:tc>
        <w:tc>
          <w:tcPr>
            <w:tcW w:w="316" w:type="pct"/>
            <w:shd w:val="clear" w:color="auto" w:fill="auto"/>
            <w:vAlign w:val="center"/>
          </w:tcPr>
          <w:p w14:paraId="3888C581">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560.66</w:t>
            </w:r>
          </w:p>
        </w:tc>
        <w:tc>
          <w:tcPr>
            <w:tcW w:w="278" w:type="pct"/>
            <w:shd w:val="clear" w:color="auto" w:fill="auto"/>
            <w:vAlign w:val="center"/>
          </w:tcPr>
          <w:p w14:paraId="720DCA44">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150</w:t>
            </w:r>
          </w:p>
        </w:tc>
        <w:tc>
          <w:tcPr>
            <w:tcW w:w="278" w:type="pct"/>
            <w:shd w:val="clear" w:color="auto" w:fill="auto"/>
            <w:vAlign w:val="center"/>
          </w:tcPr>
          <w:p w14:paraId="16157BD5">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100</w:t>
            </w:r>
          </w:p>
        </w:tc>
        <w:tc>
          <w:tcPr>
            <w:tcW w:w="148" w:type="pct"/>
            <w:shd w:val="clear" w:color="auto" w:fill="auto"/>
            <w:vAlign w:val="center"/>
          </w:tcPr>
          <w:p w14:paraId="513C47DC">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20</w:t>
            </w:r>
          </w:p>
        </w:tc>
        <w:tc>
          <w:tcPr>
            <w:tcW w:w="186" w:type="pct"/>
            <w:shd w:val="clear" w:color="auto" w:fill="auto"/>
            <w:vAlign w:val="center"/>
          </w:tcPr>
          <w:p w14:paraId="109DA694">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30</w:t>
            </w:r>
          </w:p>
        </w:tc>
        <w:tc>
          <w:tcPr>
            <w:tcW w:w="222" w:type="pct"/>
            <w:shd w:val="clear" w:color="auto" w:fill="auto"/>
            <w:vAlign w:val="center"/>
          </w:tcPr>
          <w:p w14:paraId="0B0C4593">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380</w:t>
            </w:r>
          </w:p>
        </w:tc>
        <w:tc>
          <w:tcPr>
            <w:tcW w:w="222" w:type="pct"/>
            <w:shd w:val="clear" w:color="auto" w:fill="auto"/>
            <w:vAlign w:val="center"/>
          </w:tcPr>
          <w:p w14:paraId="70D5C8A7">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360</w:t>
            </w:r>
          </w:p>
        </w:tc>
        <w:tc>
          <w:tcPr>
            <w:tcW w:w="149" w:type="pct"/>
            <w:shd w:val="clear" w:color="auto" w:fill="auto"/>
            <w:vAlign w:val="center"/>
          </w:tcPr>
          <w:p w14:paraId="547FADF8">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20</w:t>
            </w:r>
          </w:p>
        </w:tc>
        <w:tc>
          <w:tcPr>
            <w:tcW w:w="222" w:type="pct"/>
            <w:shd w:val="clear" w:color="auto" w:fill="auto"/>
            <w:vAlign w:val="center"/>
          </w:tcPr>
          <w:p w14:paraId="4141F450">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1096</w:t>
            </w:r>
          </w:p>
        </w:tc>
        <w:tc>
          <w:tcPr>
            <w:tcW w:w="185" w:type="pct"/>
            <w:shd w:val="clear" w:color="auto" w:fill="auto"/>
            <w:vAlign w:val="center"/>
          </w:tcPr>
          <w:p w14:paraId="1A466626">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276</w:t>
            </w:r>
          </w:p>
        </w:tc>
        <w:tc>
          <w:tcPr>
            <w:tcW w:w="223" w:type="pct"/>
            <w:shd w:val="clear" w:color="auto" w:fill="auto"/>
            <w:vAlign w:val="center"/>
          </w:tcPr>
          <w:p w14:paraId="19C9856A">
            <w:pPr>
              <w:spacing w:line="240" w:lineRule="auto"/>
              <w:ind w:firstLine="0" w:firstLineChars="0"/>
              <w:jc w:val="center"/>
              <w:textAlignment w:val="center"/>
              <w:rPr>
                <w:rFonts w:cs="Times New Roman"/>
                <w:color w:val="002060"/>
                <w:sz w:val="21"/>
                <w:szCs w:val="21"/>
              </w:rPr>
            </w:pPr>
            <w:r>
              <w:rPr>
                <w:rFonts w:cs="Times New Roman"/>
                <w:sz w:val="21"/>
                <w:szCs w:val="21"/>
                <w:lang w:eastAsia="zh-CN" w:bidi="ar"/>
              </w:rPr>
              <w:t>820</w:t>
            </w:r>
          </w:p>
        </w:tc>
      </w:tr>
    </w:tbl>
    <w:p w14:paraId="6E4746E0">
      <w:pPr>
        <w:ind w:firstLine="0" w:firstLineChars="0"/>
        <w:rPr>
          <w:rFonts w:cs="Times New Roman"/>
          <w:b/>
          <w:bCs/>
          <w:sz w:val="28"/>
          <w:szCs w:val="28"/>
        </w:rPr>
        <w:sectPr>
          <w:footerReference r:id="rId47" w:type="default"/>
          <w:type w:val="continuous"/>
          <w:pgSz w:w="16843" w:h="11905" w:orient="landscape"/>
          <w:pgMar w:top="1803" w:right="1440" w:bottom="1406" w:left="1440" w:header="873" w:footer="1276" w:gutter="0"/>
          <w:cols w:space="0" w:num="1"/>
          <w:rtlGutter w:val="0"/>
          <w:docGrid w:linePitch="326" w:charSpace="0"/>
        </w:sectPr>
      </w:pPr>
    </w:p>
    <w:p w14:paraId="3AED2F87">
      <w:pPr>
        <w:pStyle w:val="7"/>
        <w:ind w:firstLine="480"/>
        <w:rPr>
          <w:rFonts w:cs="Times New Roman"/>
        </w:rPr>
      </w:pPr>
      <w:r>
        <w:rPr>
          <w:rFonts w:hint="eastAsia" w:cs="Times New Roman"/>
          <w:lang w:eastAsia="zh-CN"/>
        </w:rPr>
        <w:drawing>
          <wp:inline distT="0" distB="0" distL="114300" distR="114300">
            <wp:extent cx="8052435" cy="5694045"/>
            <wp:effectExtent l="0" t="0" r="5715" b="1905"/>
            <wp:docPr id="10" name="图片 10" descr="2731ff17477b7afcbbade6a04f124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731ff17477b7afcbbade6a04f124b9"/>
                    <pic:cNvPicPr>
                      <a:picLocks noChangeAspect="1"/>
                    </pic:cNvPicPr>
                  </pic:nvPicPr>
                  <pic:blipFill>
                    <a:blip r:embed="rId62"/>
                    <a:stretch>
                      <a:fillRect/>
                    </a:stretch>
                  </pic:blipFill>
                  <pic:spPr>
                    <a:xfrm>
                      <a:off x="0" y="0"/>
                      <a:ext cx="8052435" cy="5694045"/>
                    </a:xfrm>
                    <a:prstGeom prst="rect">
                      <a:avLst/>
                    </a:prstGeom>
                  </pic:spPr>
                </pic:pic>
              </a:graphicData>
            </a:graphic>
          </wp:inline>
        </w:drawing>
      </w:r>
    </w:p>
    <w:p w14:paraId="413E2DBE">
      <w:pPr>
        <w:ind w:firstLine="480"/>
        <w:rPr>
          <w:rFonts w:cs="Times New Roman"/>
        </w:rPr>
        <w:sectPr>
          <w:type w:val="continuous"/>
          <w:pgSz w:w="16843" w:h="11905" w:orient="landscape"/>
          <w:pgMar w:top="1803" w:right="1440" w:bottom="1406" w:left="1440" w:header="873" w:footer="1276" w:gutter="0"/>
          <w:cols w:space="0" w:num="1"/>
          <w:rtlGutter w:val="0"/>
          <w:docGrid w:linePitch="326" w:charSpace="0"/>
        </w:sectPr>
      </w:pPr>
    </w:p>
    <w:p w14:paraId="51BE67C3">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rFonts w:cs="Times New Roman"/>
        </w:rPr>
      </w:pPr>
      <w:r>
        <w:rPr>
          <w:rFonts w:hint="eastAsia"/>
        </w:rPr>
        <w:drawing>
          <wp:inline distT="0" distB="0" distL="0" distR="0">
            <wp:extent cx="7387590" cy="10175875"/>
            <wp:effectExtent l="0" t="0" r="0" b="0"/>
            <wp:docPr id="1817273409" name="图片 1" descr="G:/阳明山图纸/经营设施布局图.png经营设施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273409" name="图片 1" descr="G:/阳明山图纸/经营设施布局图.png经营设施布局图"/>
                    <pic:cNvPicPr>
                      <a:picLocks noChangeAspect="1"/>
                    </pic:cNvPicPr>
                  </pic:nvPicPr>
                  <pic:blipFill>
                    <a:blip r:embed="rId63"/>
                    <a:srcRect t="2530"/>
                    <a:stretch>
                      <a:fillRect/>
                    </a:stretch>
                  </pic:blipFill>
                  <pic:spPr>
                    <a:xfrm>
                      <a:off x="0" y="0"/>
                      <a:ext cx="7387590" cy="10175875"/>
                    </a:xfrm>
                    <a:prstGeom prst="rect">
                      <a:avLst/>
                    </a:prstGeom>
                  </pic:spPr>
                </pic:pic>
              </a:graphicData>
            </a:graphic>
          </wp:inline>
        </w:drawing>
      </w:r>
      <w:r>
        <w:rPr>
          <w:rFonts w:hint="eastAsia"/>
        </w:rPr>
        <w:drawing>
          <wp:inline distT="0" distB="0" distL="0" distR="0">
            <wp:extent cx="7602855" cy="10440035"/>
            <wp:effectExtent l="0" t="0" r="7620" b="8890"/>
            <wp:docPr id="94866989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669894" name="图片 2"/>
                    <pic:cNvPicPr>
                      <a:picLocks noChangeAspect="1"/>
                    </pic:cNvPicPr>
                  </pic:nvPicPr>
                  <pic:blipFill>
                    <a:blip r:embed="rId64" cstate="print">
                      <a:extLst>
                        <a:ext uri="{28A0092B-C50C-407E-A947-70E740481C1C}">
                          <a14:useLocalDpi xmlns:a14="http://schemas.microsoft.com/office/drawing/2010/main" val="0"/>
                        </a:ext>
                      </a:extLst>
                    </a:blip>
                    <a:srcRect t="2969"/>
                    <a:stretch>
                      <a:fillRect/>
                    </a:stretch>
                  </pic:blipFill>
                  <pic:spPr>
                    <a:xfrm>
                      <a:off x="0" y="0"/>
                      <a:ext cx="7602855" cy="10440035"/>
                    </a:xfrm>
                    <a:prstGeom prst="rect">
                      <a:avLst/>
                    </a:prstGeom>
                  </pic:spPr>
                </pic:pic>
              </a:graphicData>
            </a:graphic>
          </wp:inline>
        </w:drawing>
      </w:r>
      <w:r>
        <w:rPr>
          <w:rFonts w:hint="eastAsia"/>
        </w:rPr>
        <w:drawing>
          <wp:inline distT="0" distB="0" distL="0" distR="0">
            <wp:extent cx="7379970" cy="10055225"/>
            <wp:effectExtent l="0" t="0" r="0" b="0"/>
            <wp:docPr id="12962266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226611" name="图片 3"/>
                    <pic:cNvPicPr>
                      <a:picLocks noChangeAspect="1"/>
                    </pic:cNvPicPr>
                  </pic:nvPicPr>
                  <pic:blipFill>
                    <a:blip r:embed="rId65" cstate="print">
                      <a:extLst>
                        <a:ext uri="{28A0092B-C50C-407E-A947-70E740481C1C}">
                          <a14:useLocalDpi xmlns:a14="http://schemas.microsoft.com/office/drawing/2010/main" val="0"/>
                        </a:ext>
                      </a:extLst>
                    </a:blip>
                    <a:srcRect t="3686"/>
                    <a:stretch>
                      <a:fillRect/>
                    </a:stretch>
                  </pic:blipFill>
                  <pic:spPr>
                    <a:xfrm>
                      <a:off x="0" y="0"/>
                      <a:ext cx="7379970" cy="10055225"/>
                    </a:xfrm>
                    <a:prstGeom prst="rect">
                      <a:avLst/>
                    </a:prstGeom>
                  </pic:spPr>
                </pic:pic>
              </a:graphicData>
            </a:graphic>
          </wp:inline>
        </w:drawing>
      </w:r>
      <w:r>
        <w:rPr>
          <w:rFonts w:hint="eastAsia"/>
        </w:rPr>
        <w:drawing>
          <wp:inline distT="0" distB="0" distL="0" distR="0">
            <wp:extent cx="7558405" cy="10405110"/>
            <wp:effectExtent l="0" t="0" r="0" b="0"/>
            <wp:docPr id="897330627" name="图片 4" descr="G:/阳明山图纸/森林经营措施类型规划.png森林经营措施类型规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330627" name="图片 4" descr="G:/阳明山图纸/森林经营措施类型规划.png森林经营措施类型规划"/>
                    <pic:cNvPicPr>
                      <a:picLocks noChangeAspect="1"/>
                    </pic:cNvPicPr>
                  </pic:nvPicPr>
                  <pic:blipFill>
                    <a:blip r:embed="rId66"/>
                    <a:srcRect l="34" t="2517" r="34"/>
                    <a:stretch>
                      <a:fillRect/>
                    </a:stretch>
                  </pic:blipFill>
                  <pic:spPr>
                    <a:xfrm>
                      <a:off x="0" y="0"/>
                      <a:ext cx="7558405" cy="10405110"/>
                    </a:xfrm>
                    <a:prstGeom prst="rect">
                      <a:avLst/>
                    </a:prstGeom>
                  </pic:spPr>
                </pic:pic>
              </a:graphicData>
            </a:graphic>
          </wp:inline>
        </w:drawing>
      </w:r>
      <w:r>
        <w:rPr>
          <w:rFonts w:hint="eastAsia"/>
        </w:rPr>
        <w:drawing>
          <wp:inline distT="0" distB="0" distL="0" distR="0">
            <wp:extent cx="7558405" cy="10428605"/>
            <wp:effectExtent l="0" t="0" r="4445" b="1270"/>
            <wp:docPr id="263146440" name="图片 5" descr="C:/Users/15633/Desktop/e09a30c9b55de299ca19930502c36e6.pnge09a30c9b55de299ca19930502c36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46440" name="图片 5" descr="C:/Users/15633/Desktop/e09a30c9b55de299ca19930502c36e6.pnge09a30c9b55de299ca19930502c36e6"/>
                    <pic:cNvPicPr>
                      <a:picLocks noChangeAspect="1"/>
                    </pic:cNvPicPr>
                  </pic:nvPicPr>
                  <pic:blipFill>
                    <a:blip r:embed="rId67"/>
                    <a:srcRect t="1255" b="1255"/>
                    <a:stretch>
                      <a:fillRect/>
                    </a:stretch>
                  </pic:blipFill>
                  <pic:spPr>
                    <a:xfrm>
                      <a:off x="0" y="0"/>
                      <a:ext cx="7558405" cy="10428605"/>
                    </a:xfrm>
                    <a:prstGeom prst="rect">
                      <a:avLst/>
                    </a:prstGeom>
                  </pic:spPr>
                </pic:pic>
              </a:graphicData>
            </a:graphic>
          </wp:inline>
        </w:drawing>
      </w:r>
      <w:r>
        <w:rPr>
          <w:rFonts w:hint="eastAsia"/>
        </w:rPr>
        <w:drawing>
          <wp:inline distT="0" distB="0" distL="0" distR="0">
            <wp:extent cx="7558405" cy="10449560"/>
            <wp:effectExtent l="0" t="0" r="0" b="0"/>
            <wp:docPr id="1820863855" name="图片 6" descr="G:/阳明山图纸/森林经营任务年度图.png森林经营任务年度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863855" name="图片 6" descr="G:/阳明山图纸/森林经营任务年度图.png森林经营任务年度图"/>
                    <pic:cNvPicPr>
                      <a:picLocks noChangeAspect="1"/>
                    </pic:cNvPicPr>
                  </pic:nvPicPr>
                  <pic:blipFill>
                    <a:blip r:embed="rId68"/>
                    <a:srcRect l="34" t="2269" r="34"/>
                    <a:stretch>
                      <a:fillRect/>
                    </a:stretch>
                  </pic:blipFill>
                  <pic:spPr>
                    <a:xfrm>
                      <a:off x="0" y="0"/>
                      <a:ext cx="7558405" cy="10449560"/>
                    </a:xfrm>
                    <a:prstGeom prst="rect">
                      <a:avLst/>
                    </a:prstGeom>
                  </pic:spPr>
                </pic:pic>
              </a:graphicData>
            </a:graphic>
          </wp:inline>
        </w:drawing>
      </w:r>
    </w:p>
    <w:sectPr>
      <w:headerReference r:id="rId48" w:type="default"/>
      <w:footerReference r:id="rId49" w:type="default"/>
      <w:pgSz w:w="11905" w:h="16843"/>
      <w:pgMar w:top="0" w:right="0" w:bottom="0" w:left="0" w:header="567" w:footer="567" w:gutter="0"/>
      <w:cols w:space="0" w:num="1"/>
      <w:rtlGutter w:val="0"/>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744C6">
    <w:pPr>
      <w:pStyle w:val="10"/>
      <w:ind w:firstLine="360"/>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72BDAF">
                          <w:pPr>
                            <w:pStyle w:val="10"/>
                            <w:ind w:firstLine="360"/>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UCbQ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dUCbQtAgAAVwQAAA4AAAAAAAAAAQAgAAAAHwEAAGRycy9lMm9Eb2MueG1sUEsFBgAAAAAG&#10;AAYAWQEAAL4FAAAAAA==&#10;">
              <v:fill on="f" focussize="0,0"/>
              <v:stroke on="f" weight="0.5pt"/>
              <v:imagedata o:title=""/>
              <o:lock v:ext="edit" aspectratio="f"/>
              <v:textbox inset="0mm,0mm,0mm,0mm" style="mso-fit-shape-to-text:t;">
                <w:txbxContent>
                  <w:p w14:paraId="1972BDAF">
                    <w:pPr>
                      <w:pStyle w:val="10"/>
                      <w:ind w:firstLine="360"/>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3768F9">
    <w:pPr>
      <w:spacing w:line="177" w:lineRule="auto"/>
      <w:ind w:left="4595" w:firstLine="380"/>
      <w:rPr>
        <w:rFonts w:eastAsia="Times New Roman" w:cs="Times New Roman"/>
        <w:szCs w:val="24"/>
      </w:rPr>
    </w:pPr>
    <w:r>
      <w:rPr>
        <w:sz w:val="19"/>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6F4DD0">
                          <w:pPr>
                            <w:pStyle w:val="10"/>
                            <w:ind w:firstLine="360"/>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1E6F4DD0">
                    <w:pPr>
                      <w:pStyle w:val="10"/>
                      <w:ind w:firstLine="360"/>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5E407">
    <w:pPr>
      <w:spacing w:line="177" w:lineRule="auto"/>
      <w:ind w:left="6998" w:firstLine="380"/>
      <w:rPr>
        <w:rFonts w:eastAsia="Times New Roman" w:cs="Times New Roman"/>
        <w:szCs w:val="24"/>
      </w:rPr>
    </w:pPr>
    <w:r>
      <w:rPr>
        <w:sz w:val="19"/>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BEF903">
                          <w:pPr>
                            <w:pStyle w:val="10"/>
                            <w:ind w:firstLine="360"/>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02BEF903">
                    <w:pPr>
                      <w:pStyle w:val="10"/>
                      <w:ind w:firstLine="360"/>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06ED7">
    <w:pPr>
      <w:spacing w:line="177" w:lineRule="auto"/>
      <w:ind w:left="7053" w:firstLine="380"/>
      <w:rPr>
        <w:rFonts w:eastAsia="Times New Roman" w:cs="Times New Roman"/>
        <w:szCs w:val="24"/>
      </w:rPr>
    </w:pPr>
    <w:r>
      <w:rPr>
        <w:sz w:val="19"/>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C994A4">
                          <w:pPr>
                            <w:pStyle w:val="10"/>
                            <w:ind w:firstLine="360"/>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6DC994A4">
                    <w:pPr>
                      <w:pStyle w:val="10"/>
                      <w:ind w:firstLine="360"/>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5F20A3">
    <w:pPr>
      <w:ind w:firstLine="380"/>
      <w:rPr>
        <w:rFonts w:eastAsia="Times New Roman" w:cs="Times New Roman"/>
        <w:szCs w:val="24"/>
      </w:rPr>
    </w:pPr>
    <w:r>
      <w:rPr>
        <w:sz w:val="19"/>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DC9710">
                          <w:pPr>
                            <w:pStyle w:val="10"/>
                            <w:ind w:firstLine="360"/>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78DC9710">
                    <w:pPr>
                      <w:pStyle w:val="10"/>
                      <w:ind w:firstLine="360"/>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2A37B">
    <w:pPr>
      <w:spacing w:line="177" w:lineRule="auto"/>
      <w:ind w:left="4544" w:firstLine="380"/>
      <w:rPr>
        <w:rFonts w:eastAsia="Times New Roman" w:cs="Times New Roman"/>
        <w:szCs w:val="24"/>
      </w:rPr>
    </w:pPr>
    <w:r>
      <w:rPr>
        <w:sz w:val="19"/>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214EB0">
                          <w:pPr>
                            <w:pStyle w:val="10"/>
                            <w:ind w:firstLine="360"/>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F214EB0">
                    <w:pPr>
                      <w:pStyle w:val="10"/>
                      <w:ind w:firstLine="360"/>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64F6CE">
    <w:pPr>
      <w:spacing w:line="177" w:lineRule="auto"/>
      <w:ind w:left="6323" w:firstLine="380"/>
      <w:rPr>
        <w:rFonts w:eastAsia="Times New Roman" w:cs="Times New Roman"/>
        <w:szCs w:val="24"/>
      </w:rPr>
    </w:pPr>
    <w:r>
      <w:rPr>
        <w:sz w:val="19"/>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55683E">
                          <w:pPr>
                            <w:pStyle w:val="10"/>
                            <w:ind w:firstLine="360"/>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0055683E">
                    <w:pPr>
                      <w:pStyle w:val="10"/>
                      <w:ind w:firstLine="360"/>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83F04E">
    <w:pPr>
      <w:spacing w:line="177" w:lineRule="auto"/>
      <w:ind w:left="6323" w:firstLine="380"/>
      <w:rPr>
        <w:rFonts w:eastAsia="Times New Roman" w:cs="Times New Roman"/>
        <w:szCs w:val="24"/>
      </w:rPr>
    </w:pPr>
    <w:r>
      <w:rPr>
        <w:sz w:val="19"/>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19253D">
                          <w:pPr>
                            <w:pStyle w:val="10"/>
                            <w:ind w:firstLine="360"/>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1E19253D">
                    <w:pPr>
                      <w:pStyle w:val="10"/>
                      <w:ind w:firstLine="360"/>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0E5F4">
    <w:pPr>
      <w:spacing w:line="177" w:lineRule="auto"/>
      <w:ind w:left="4544" w:firstLine="380"/>
      <w:rPr>
        <w:rFonts w:eastAsia="Times New Roman" w:cs="Times New Roman"/>
        <w:szCs w:val="24"/>
      </w:rPr>
    </w:pPr>
    <w:r>
      <w:rPr>
        <w:sz w:val="19"/>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F3880C">
                          <w:pPr>
                            <w:pStyle w:val="10"/>
                            <w:ind w:firstLine="360"/>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7CF3880C">
                    <w:pPr>
                      <w:pStyle w:val="10"/>
                      <w:ind w:firstLine="360"/>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9027A">
    <w:pPr>
      <w:spacing w:line="177" w:lineRule="auto"/>
      <w:ind w:left="4544" w:firstLine="380"/>
      <w:rPr>
        <w:rFonts w:eastAsia="Times New Roman" w:cs="Times New Roman"/>
        <w:szCs w:val="24"/>
      </w:rPr>
    </w:pPr>
    <w:r>
      <w:rPr>
        <w:sz w:val="19"/>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262CF7">
                          <w:pPr>
                            <w:pStyle w:val="10"/>
                            <w:ind w:firstLine="360"/>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00262CF7">
                    <w:pPr>
                      <w:pStyle w:val="10"/>
                      <w:ind w:firstLine="360"/>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427C3">
    <w:pPr>
      <w:spacing w:line="177" w:lineRule="auto"/>
      <w:ind w:left="4544" w:firstLine="380"/>
      <w:rPr>
        <w:rFonts w:eastAsia="Times New Roman" w:cs="Times New Roman"/>
        <w:szCs w:val="24"/>
      </w:rPr>
    </w:pPr>
    <w:r>
      <w:rPr>
        <w:sz w:val="19"/>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038AEC">
                          <w:pPr>
                            <w:pStyle w:val="10"/>
                            <w:ind w:firstLine="360"/>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p w14:paraId="0E038AEC">
                    <w:pPr>
                      <w:pStyle w:val="10"/>
                      <w:ind w:firstLine="360"/>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F8FE48">
    <w:pPr>
      <w:pStyle w:val="10"/>
      <w:tabs>
        <w:tab w:val="left" w:pos="3416"/>
        <w:tab w:val="clear" w:pos="4153"/>
      </w:tabs>
      <w:ind w:firstLine="360"/>
      <w:rPr>
        <w:lang w:eastAsia="zh-CN"/>
      </w:rP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503C3E">
                          <w:pPr>
                            <w:pStyle w:val="10"/>
                            <w:ind w:firstLine="360"/>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8ZWvQtAgAAVwQAAA4AAABkcnMvZTJvRG9jLnhtbK1UzY7TMBC+I/EO&#10;lu80adGu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8ZWvQtAgAAVwQAAA4AAAAAAAAAAQAgAAAAHwEAAGRycy9lMm9Eb2MueG1sUEsFBgAAAAAG&#10;AAYAWQEAAL4FAAAAAA==&#10;">
              <v:fill on="f" focussize="0,0"/>
              <v:stroke on="f" weight="0.5pt"/>
              <v:imagedata o:title=""/>
              <o:lock v:ext="edit" aspectratio="f"/>
              <v:textbox inset="0mm,0mm,0mm,0mm" style="mso-fit-shape-to-text:t;">
                <w:txbxContent>
                  <w:p w14:paraId="76503C3E">
                    <w:pPr>
                      <w:pStyle w:val="10"/>
                      <w:ind w:firstLine="360"/>
                    </w:pPr>
                    <w:r>
                      <w:fldChar w:fldCharType="begin"/>
                    </w:r>
                    <w:r>
                      <w:instrText xml:space="preserve"> PAGE  \* MERGEFORMAT </w:instrText>
                    </w:r>
                    <w:r>
                      <w:fldChar w:fldCharType="separate"/>
                    </w:r>
                    <w:r>
                      <w:t>II</w:t>
                    </w:r>
                    <w:r>
                      <w:fldChar w:fldCharType="end"/>
                    </w:r>
                  </w:p>
                </w:txbxContent>
              </v:textbox>
            </v:shape>
          </w:pict>
        </mc:Fallback>
      </mc:AlternateContent>
    </w:r>
    <w:r>
      <w:rPr>
        <w:rFonts w:hint="eastAsia"/>
        <w:lang w:eastAsia="zh-CN"/>
      </w:rPr>
      <w:tab/>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FCD00">
    <w:pPr>
      <w:spacing w:line="177" w:lineRule="auto"/>
      <w:ind w:left="6323" w:firstLine="380"/>
      <w:rPr>
        <w:rFonts w:eastAsia="Times New Roman" w:cs="Times New Roman"/>
        <w:szCs w:val="24"/>
      </w:rPr>
    </w:pPr>
    <w:r>
      <w:rPr>
        <w:sz w:val="19"/>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EB4E17">
                          <w:pPr>
                            <w:pStyle w:val="10"/>
                            <w:ind w:firstLine="360"/>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p w14:paraId="31EB4E17">
                    <w:pPr>
                      <w:pStyle w:val="10"/>
                      <w:ind w:firstLine="360"/>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6F41CC">
    <w:pPr>
      <w:pStyle w:val="10"/>
      <w:ind w:firstLine="360"/>
    </w:pPr>
    <w: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8CBF19">
                          <w:pPr>
                            <w:pStyle w:val="10"/>
                            <w:ind w:firstLine="360"/>
                          </w:pPr>
                          <w:r>
                            <w:fldChar w:fldCharType="begin"/>
                          </w:r>
                          <w:r>
                            <w:instrText xml:space="preserve"> PAGE  \* MERGEFORMAT </w:instrText>
                          </w:r>
                          <w:r>
                            <w:fldChar w:fldCharType="separate"/>
                          </w:r>
                          <w:r>
                            <w:t>LXX</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y8pmg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DsvKZoKwIAAFcEAAAOAAAAAAAAAAEAIAAAAB8BAABkcnMvZTJvRG9jLnhtbFBLBQYAAAAABgAG&#10;AFkBAAC8BQAAAAA=&#10;">
              <v:fill on="f" focussize="0,0"/>
              <v:stroke on="f" weight="0.5pt"/>
              <v:imagedata o:title=""/>
              <o:lock v:ext="edit" aspectratio="f"/>
              <v:textbox inset="0mm,0mm,0mm,0mm" style="mso-fit-shape-to-text:t;">
                <w:txbxContent>
                  <w:p w14:paraId="788CBF19">
                    <w:pPr>
                      <w:pStyle w:val="10"/>
                      <w:ind w:firstLine="360"/>
                    </w:pPr>
                    <w:r>
                      <w:fldChar w:fldCharType="begin"/>
                    </w:r>
                    <w:r>
                      <w:instrText xml:space="preserve"> PAGE  \* MERGEFORMAT </w:instrText>
                    </w:r>
                    <w:r>
                      <w:fldChar w:fldCharType="separate"/>
                    </w:r>
                    <w:r>
                      <w:t>LXX</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66E55">
    <w:pPr>
      <w:spacing w:line="177" w:lineRule="auto"/>
      <w:ind w:left="4628" w:firstLine="380"/>
      <w:rPr>
        <w:rFonts w:eastAsia="Times New Roman" w:cs="Times New Roman"/>
        <w:szCs w:val="24"/>
      </w:rPr>
    </w:pPr>
    <w:r>
      <w:rPr>
        <w:sz w:val="19"/>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767767">
                          <w:pPr>
                            <w:pStyle w:val="10"/>
                            <w:ind w:firstLine="360"/>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E1eNA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sTV40CwCAABXBAAADgAAAAAAAAABACAAAAAfAQAAZHJzL2Uyb0RvYy54bWxQSwUGAAAAAAYA&#10;BgBZAQAAvQUAAAAA&#10;">
              <v:fill on="f" focussize="0,0"/>
              <v:stroke on="f" weight="0.5pt"/>
              <v:imagedata o:title=""/>
              <o:lock v:ext="edit" aspectratio="f"/>
              <v:textbox inset="0mm,0mm,0mm,0mm" style="mso-fit-shape-to-text:t;">
                <w:txbxContent>
                  <w:p w14:paraId="7D767767">
                    <w:pPr>
                      <w:pStyle w:val="10"/>
                      <w:ind w:firstLine="360"/>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AE2CE">
    <w:pPr>
      <w:spacing w:line="177" w:lineRule="auto"/>
      <w:ind w:left="4544" w:firstLine="380"/>
      <w:rPr>
        <w:rFonts w:eastAsia="Times New Roman" w:cs="Times New Roman"/>
        <w:szCs w:val="24"/>
      </w:rPr>
    </w:pPr>
    <w:r>
      <w:rPr>
        <w:sz w:val="19"/>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E586AD">
                          <w:pPr>
                            <w:pStyle w:val="10"/>
                            <w:ind w:firstLine="360"/>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4K5A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l4K5AtAgAAVwQAAA4AAAAAAAAAAQAgAAAAHwEAAGRycy9lMm9Eb2MueG1sUEsFBgAAAAAG&#10;AAYAWQEAAL4FAAAAAA==&#10;">
              <v:fill on="f" focussize="0,0"/>
              <v:stroke on="f" weight="0.5pt"/>
              <v:imagedata o:title=""/>
              <o:lock v:ext="edit" aspectratio="f"/>
              <v:textbox inset="0mm,0mm,0mm,0mm" style="mso-fit-shape-to-text:t;">
                <w:txbxContent>
                  <w:p w14:paraId="6DE586AD">
                    <w:pPr>
                      <w:pStyle w:val="10"/>
                      <w:ind w:firstLine="360"/>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680EB0">
    <w:pPr>
      <w:pStyle w:val="10"/>
      <w:ind w:firstLine="360"/>
    </w:pPr>
    <w: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37CE0E">
                          <w:pPr>
                            <w:pStyle w:val="10"/>
                            <w:ind w:firstLine="360"/>
                          </w:pPr>
                          <w:r>
                            <w:fldChar w:fldCharType="begin"/>
                          </w:r>
                          <w:r>
                            <w:instrText xml:space="preserve"> PAGE  \* MERGEFORMAT </w:instrText>
                          </w:r>
                          <w:r>
                            <w:fldChar w:fldCharType="separate"/>
                          </w:r>
                          <w:r>
                            <w:t>LXXVIII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Tx9Sg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E8fUoKwIAAFcEAAAOAAAAAAAAAAEAIAAAAB8BAABkcnMvZTJvRG9jLnhtbFBLBQYAAAAABgAG&#10;AFkBAAC8BQAAAAA=&#10;">
              <v:fill on="f" focussize="0,0"/>
              <v:stroke on="f" weight="0.5pt"/>
              <v:imagedata o:title=""/>
              <o:lock v:ext="edit" aspectratio="f"/>
              <v:textbox inset="0mm,0mm,0mm,0mm" style="mso-fit-shape-to-text:t;">
                <w:txbxContent>
                  <w:p w14:paraId="7437CE0E">
                    <w:pPr>
                      <w:pStyle w:val="10"/>
                      <w:ind w:firstLine="360"/>
                    </w:pPr>
                    <w:r>
                      <w:fldChar w:fldCharType="begin"/>
                    </w:r>
                    <w:r>
                      <w:instrText xml:space="preserve"> PAGE  \* MERGEFORMAT </w:instrText>
                    </w:r>
                    <w:r>
                      <w:fldChar w:fldCharType="separate"/>
                    </w:r>
                    <w:r>
                      <w:t>LXXVIII</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11B64">
    <w:pPr>
      <w:spacing w:line="177" w:lineRule="auto"/>
      <w:ind w:left="4544" w:firstLine="380"/>
      <w:rPr>
        <w:rFonts w:eastAsia="Times New Roman" w:cs="Times New Roman"/>
        <w:szCs w:val="24"/>
      </w:rPr>
    </w:pPr>
    <w:r>
      <w:rPr>
        <w:sz w:val="19"/>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960538">
                          <w:pPr>
                            <w:pStyle w:val="10"/>
                            <w:ind w:firstLine="360"/>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14:paraId="4E960538">
                    <w:pPr>
                      <w:pStyle w:val="10"/>
                      <w:ind w:firstLine="360"/>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AA30D">
    <w:pPr>
      <w:spacing w:line="177" w:lineRule="auto"/>
      <w:ind w:left="4544" w:firstLine="380"/>
      <w:rPr>
        <w:rFonts w:eastAsia="Times New Roman" w:cs="Times New Roman"/>
        <w:szCs w:val="24"/>
      </w:rPr>
    </w:pPr>
    <w:r>
      <w:rPr>
        <w:sz w:val="19"/>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85FABD">
                          <w:pPr>
                            <w:pStyle w:val="10"/>
                            <w:ind w:firstLine="360"/>
                          </w:pPr>
                          <w:r>
                            <w:fldChar w:fldCharType="begin"/>
                          </w:r>
                          <w:r>
                            <w:instrText xml:space="preserve"> PAGE  \* MERGEFORMAT </w:instrText>
                          </w:r>
                          <w:r>
                            <w:fldChar w:fldCharType="separate"/>
                          </w:r>
                          <w:r>
                            <w:t>92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14:paraId="4885FABD">
                    <w:pPr>
                      <w:pStyle w:val="10"/>
                      <w:ind w:firstLine="360"/>
                    </w:pPr>
                    <w:r>
                      <w:fldChar w:fldCharType="begin"/>
                    </w:r>
                    <w:r>
                      <w:instrText xml:space="preserve"> PAGE  \* MERGEFORMAT </w:instrText>
                    </w:r>
                    <w:r>
                      <w:fldChar w:fldCharType="separate"/>
                    </w:r>
                    <w:r>
                      <w:t>92</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441F4">
    <w:pPr>
      <w:spacing w:line="177" w:lineRule="auto"/>
      <w:ind w:left="4628" w:firstLine="380"/>
      <w:rPr>
        <w:rFonts w:eastAsia="Times New Roman" w:cs="Times New Roman"/>
        <w:szCs w:val="24"/>
      </w:rPr>
    </w:pPr>
    <w:r>
      <w:rPr>
        <w:sz w:val="19"/>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127E27">
                          <w:pPr>
                            <w:pStyle w:val="10"/>
                            <w:ind w:firstLine="360"/>
                          </w:pPr>
                          <w:r>
                            <w:fldChar w:fldCharType="begin"/>
                          </w:r>
                          <w:r>
                            <w:instrText xml:space="preserve"> PAGE  \* MERGEFORMAT </w:instrText>
                          </w:r>
                          <w:r>
                            <w:fldChar w:fldCharType="separate"/>
                          </w:r>
                          <w:r>
                            <w:t>93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14:paraId="77127E27">
                    <w:pPr>
                      <w:pStyle w:val="10"/>
                      <w:ind w:firstLine="360"/>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947F1">
    <w:pPr>
      <w:spacing w:line="177" w:lineRule="auto"/>
      <w:ind w:left="4544" w:firstLine="380"/>
      <w:rPr>
        <w:rFonts w:eastAsia="Times New Roman" w:cs="Times New Roman"/>
        <w:szCs w:val="24"/>
      </w:rPr>
    </w:pPr>
    <w:r>
      <w:rPr>
        <w:sz w:val="19"/>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B1A0BF">
                          <w:pPr>
                            <w:pStyle w:val="10"/>
                            <w:ind w:firstLine="360"/>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14:paraId="5FB1A0BF">
                    <w:pPr>
                      <w:pStyle w:val="10"/>
                      <w:ind w:firstLine="360"/>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C8003">
    <w:pPr>
      <w:spacing w:line="177" w:lineRule="auto"/>
      <w:ind w:left="4544" w:firstLine="380"/>
      <w:rPr>
        <w:rFonts w:eastAsia="Times New Roman" w:cs="Times New Roman"/>
        <w:szCs w:val="24"/>
      </w:rPr>
    </w:pPr>
    <w:r>
      <w:rPr>
        <w:sz w:val="19"/>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682F98">
                          <w:pPr>
                            <w:pStyle w:val="10"/>
                            <w:ind w:firstLine="360"/>
                          </w:pPr>
                          <w:r>
                            <w:fldChar w:fldCharType="begin"/>
                          </w:r>
                          <w:r>
                            <w:instrText xml:space="preserve"> PAGE  \* MERGEFORMAT </w:instrText>
                          </w:r>
                          <w:r>
                            <w:fldChar w:fldCharType="separate"/>
                          </w:r>
                          <w:r>
                            <w:t>116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14:paraId="47682F98">
                    <w:pPr>
                      <w:pStyle w:val="10"/>
                      <w:ind w:firstLine="360"/>
                    </w:pPr>
                    <w:r>
                      <w:fldChar w:fldCharType="begin"/>
                    </w:r>
                    <w:r>
                      <w:instrText xml:space="preserve"> PAGE  \* MERGEFORMAT </w:instrText>
                    </w:r>
                    <w:r>
                      <w:fldChar w:fldCharType="separate"/>
                    </w:r>
                    <w:r>
                      <w:t>116</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FC211">
    <w:pPr>
      <w:pStyle w:val="10"/>
      <w:ind w:firstLine="360"/>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30D28">
    <w:pPr>
      <w:spacing w:line="177" w:lineRule="auto"/>
      <w:ind w:left="4484" w:firstLine="380"/>
      <w:rPr>
        <w:rFonts w:eastAsia="Times New Roman" w:cs="Times New Roman"/>
        <w:szCs w:val="24"/>
      </w:rPr>
    </w:pPr>
    <w:r>
      <w:rPr>
        <w:sz w:val="19"/>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AB4682">
                          <w:pPr>
                            <w:pStyle w:val="10"/>
                            <w:ind w:firstLine="360"/>
                          </w:pPr>
                          <w:r>
                            <w:fldChar w:fldCharType="begin"/>
                          </w:r>
                          <w:r>
                            <w:instrText xml:space="preserve"> PAGE  \* MERGEFORMAT </w:instrText>
                          </w:r>
                          <w:r>
                            <w:fldChar w:fldCharType="separate"/>
                          </w:r>
                          <w:r>
                            <w:t>123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GHkMsAgAAVw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wYeQywCAABXBAAADgAAAAAAAAABACAAAAAfAQAAZHJzL2Uyb0RvYy54bWxQSwUGAAAAAAYA&#10;BgBZAQAAvQUAAAAA&#10;">
              <v:fill on="f" focussize="0,0"/>
              <v:stroke on="f" weight="0.5pt"/>
              <v:imagedata o:title=""/>
              <o:lock v:ext="edit" aspectratio="f"/>
              <v:textbox inset="0mm,0mm,0mm,0mm" style="mso-fit-shape-to-text:t;">
                <w:txbxContent>
                  <w:p w14:paraId="4EAB4682">
                    <w:pPr>
                      <w:pStyle w:val="10"/>
                      <w:ind w:firstLine="360"/>
                    </w:pPr>
                    <w:r>
                      <w:fldChar w:fldCharType="begin"/>
                    </w:r>
                    <w:r>
                      <w:instrText xml:space="preserve"> PAGE  \* MERGEFORMAT </w:instrText>
                    </w:r>
                    <w:r>
                      <w:fldChar w:fldCharType="separate"/>
                    </w:r>
                    <w:r>
                      <w:t>123</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4FB91D">
    <w:pPr>
      <w:spacing w:line="177" w:lineRule="auto"/>
      <w:ind w:left="4484" w:firstLine="380"/>
      <w:rPr>
        <w:rFonts w:eastAsia="Times New Roman" w:cs="Times New Roman"/>
        <w:szCs w:val="24"/>
      </w:rPr>
    </w:pPr>
    <w:r>
      <w:rPr>
        <w:sz w:val="19"/>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B6F5CF">
                          <w:pPr>
                            <w:pStyle w:val="10"/>
                            <w:ind w:firstLine="360"/>
                          </w:pPr>
                          <w:r>
                            <w:fldChar w:fldCharType="begin"/>
                          </w:r>
                          <w:r>
                            <w:instrText xml:space="preserve"> PAGE  \* MERGEFORMAT </w:instrText>
                          </w:r>
                          <w:r>
                            <w:fldChar w:fldCharType="separate"/>
                          </w:r>
                          <w:r>
                            <w:t>125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14:paraId="32B6F5CF">
                    <w:pPr>
                      <w:pStyle w:val="10"/>
                      <w:ind w:firstLine="360"/>
                    </w:pPr>
                    <w:r>
                      <w:fldChar w:fldCharType="begin"/>
                    </w:r>
                    <w:r>
                      <w:instrText xml:space="preserve"> PAGE  \* MERGEFORMAT </w:instrText>
                    </w:r>
                    <w:r>
                      <w:fldChar w:fldCharType="separate"/>
                    </w:r>
                    <w:r>
                      <w:t>125</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60D84">
    <w:pPr>
      <w:spacing w:before="1" w:line="173" w:lineRule="auto"/>
      <w:ind w:left="7211" w:firstLine="440"/>
      <w:rPr>
        <w:rFonts w:hint="eastAsia" w:ascii="宋体" w:hAnsi="宋体" w:cs="宋体"/>
        <w:sz w:val="22"/>
        <w:szCs w:val="22"/>
      </w:rPr>
    </w:pPr>
    <w:r>
      <w:rPr>
        <w:sz w:val="22"/>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C22FC1">
                          <w:pPr>
                            <w:pStyle w:val="10"/>
                            <w:ind w:firstLine="360"/>
                          </w:pPr>
                          <w:r>
                            <w:fldChar w:fldCharType="begin"/>
                          </w:r>
                          <w:r>
                            <w:instrText xml:space="preserve"> PAGE  \* MERGEFORMAT </w:instrText>
                          </w:r>
                          <w:r>
                            <w:fldChar w:fldCharType="separate"/>
                          </w:r>
                          <w:r>
                            <w:t>129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14:paraId="2CC22FC1">
                    <w:pPr>
                      <w:pStyle w:val="10"/>
                      <w:ind w:firstLine="360"/>
                    </w:pPr>
                    <w:r>
                      <w:fldChar w:fldCharType="begin"/>
                    </w:r>
                    <w:r>
                      <w:instrText xml:space="preserve"> PAGE  \* MERGEFORMAT </w:instrText>
                    </w:r>
                    <w:r>
                      <w:fldChar w:fldCharType="separate"/>
                    </w:r>
                    <w:r>
                      <w:t>129</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8669F">
    <w:pPr>
      <w:spacing w:before="1" w:line="173" w:lineRule="auto"/>
      <w:ind w:left="7118" w:firstLine="440"/>
      <w:rPr>
        <w:rFonts w:hint="eastAsia" w:ascii="宋体" w:hAnsi="宋体" w:cs="宋体"/>
        <w:sz w:val="22"/>
        <w:szCs w:val="22"/>
      </w:rPr>
    </w:pPr>
    <w:r>
      <w:rPr>
        <w:sz w:val="22"/>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0B2E3B">
                          <w:pPr>
                            <w:pStyle w:val="10"/>
                            <w:ind w:firstLine="360"/>
                          </w:pPr>
                          <w:r>
                            <w:fldChar w:fldCharType="begin"/>
                          </w:r>
                          <w:r>
                            <w:instrText xml:space="preserve"> PAGE  \* MERGEFORMAT </w:instrText>
                          </w:r>
                          <w:r>
                            <w:fldChar w:fldCharType="separate"/>
                          </w:r>
                          <w:r>
                            <w:t>130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Lg11ktAgAAV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6DbLwlbvLI/Q&#10;UTxvV8cAAVtdoyidEr1W6Le2Mv1sxIb+c99GPf4P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Lg11ktAgAAVwQAAA4AAAAAAAAAAQAgAAAAHwEAAGRycy9lMm9Eb2MueG1sUEsFBgAAAAAG&#10;AAYAWQEAAL4FAAAAAA==&#10;">
              <v:fill on="f" focussize="0,0"/>
              <v:stroke on="f" weight="0.5pt"/>
              <v:imagedata o:title=""/>
              <o:lock v:ext="edit" aspectratio="f"/>
              <v:textbox inset="0mm,0mm,0mm,0mm" style="mso-fit-shape-to-text:t;">
                <w:txbxContent>
                  <w:p w14:paraId="3D0B2E3B">
                    <w:pPr>
                      <w:pStyle w:val="10"/>
                      <w:ind w:firstLine="360"/>
                    </w:pPr>
                    <w:r>
                      <w:fldChar w:fldCharType="begin"/>
                    </w:r>
                    <w:r>
                      <w:instrText xml:space="preserve"> PAGE  \* MERGEFORMAT </w:instrText>
                    </w:r>
                    <w:r>
                      <w:fldChar w:fldCharType="separate"/>
                    </w:r>
                    <w:r>
                      <w:t>130</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78E75B">
    <w:pPr>
      <w:spacing w:before="1" w:line="173" w:lineRule="auto"/>
      <w:ind w:left="7240" w:firstLine="440"/>
      <w:rPr>
        <w:rFonts w:hint="eastAsia" w:ascii="宋体" w:hAnsi="宋体" w:cs="宋体"/>
        <w:sz w:val="22"/>
        <w:szCs w:val="22"/>
      </w:rPr>
    </w:pPr>
    <w:r>
      <w:rPr>
        <w:sz w:val="22"/>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49D924">
                          <w:pPr>
                            <w:pStyle w:val="10"/>
                            <w:ind w:firstLine="360"/>
                          </w:pPr>
                          <w:r>
                            <w:fldChar w:fldCharType="begin"/>
                          </w:r>
                          <w:r>
                            <w:instrText xml:space="preserve"> PAGE  \* MERGEFORMAT </w:instrText>
                          </w:r>
                          <w:r>
                            <w:fldChar w:fldCharType="separate"/>
                          </w:r>
                          <w:r>
                            <w:t>150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UDPAE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UDPAEtAgAAVwQAAA4AAAAAAAAAAQAgAAAAHwEAAGRycy9lMm9Eb2MueG1sUEsFBgAAAAAG&#10;AAYAWQEAAL4FAAAAAA==&#10;">
              <v:fill on="f" focussize="0,0"/>
              <v:stroke on="f" weight="0.5pt"/>
              <v:imagedata o:title=""/>
              <o:lock v:ext="edit" aspectratio="f"/>
              <v:textbox inset="0mm,0mm,0mm,0mm" style="mso-fit-shape-to-text:t;">
                <w:txbxContent>
                  <w:p w14:paraId="2849D924">
                    <w:pPr>
                      <w:pStyle w:val="10"/>
                      <w:ind w:firstLine="360"/>
                    </w:pPr>
                    <w:r>
                      <w:fldChar w:fldCharType="begin"/>
                    </w:r>
                    <w:r>
                      <w:instrText xml:space="preserve"> PAGE  \* MERGEFORMAT </w:instrText>
                    </w:r>
                    <w:r>
                      <w:fldChar w:fldCharType="separate"/>
                    </w:r>
                    <w:r>
                      <w:t>150</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2C0DA">
    <w:pPr>
      <w:spacing w:before="1" w:line="173" w:lineRule="auto"/>
      <w:ind w:left="7240" w:firstLine="440"/>
      <w:rPr>
        <w:rFonts w:hint="eastAsia" w:ascii="宋体" w:hAnsi="宋体" w:cs="宋体"/>
        <w:sz w:val="22"/>
        <w:szCs w:val="22"/>
      </w:rPr>
    </w:pPr>
    <w:r>
      <w:rPr>
        <w:sz w:val="22"/>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08B088">
                          <w:pPr>
                            <w:pStyle w:val="10"/>
                            <w:ind w:firstLine="360"/>
                          </w:pPr>
                          <w:r>
                            <w:fldChar w:fldCharType="begin"/>
                          </w:r>
                          <w:r>
                            <w:instrText xml:space="preserve"> PAGE  \* MERGEFORMAT </w:instrText>
                          </w:r>
                          <w:r>
                            <w:fldChar w:fldCharType="separate"/>
                          </w:r>
                          <w:r>
                            <w:t>150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A08B088">
                    <w:pPr>
                      <w:pStyle w:val="10"/>
                      <w:ind w:firstLine="360"/>
                    </w:pPr>
                    <w:r>
                      <w:fldChar w:fldCharType="begin"/>
                    </w:r>
                    <w:r>
                      <w:instrText xml:space="preserve"> PAGE  \* MERGEFORMAT </w:instrText>
                    </w:r>
                    <w:r>
                      <w:fldChar w:fldCharType="separate"/>
                    </w:r>
                    <w:r>
                      <w:t>150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2EA56">
    <w:pPr>
      <w:ind w:firstLine="480"/>
      <w:jc w:val="center"/>
      <w:rPr>
        <w:rFonts w:cs="Times New Roman"/>
        <w:szCs w:val="24"/>
        <w:lang w:eastAsia="zh-CN"/>
      </w:rP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80BDAC">
                          <w:pPr>
                            <w:pStyle w:val="10"/>
                            <w:ind w:firstLine="36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WYmoEtAgAAV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WYmoEtAgAAVwQAAA4AAAAAAAAAAQAgAAAAHwEAAGRycy9lMm9Eb2MueG1sUEsFBgAAAAAG&#10;AAYAWQEAAL4FAAAAAA==&#10;">
              <v:fill on="f" focussize="0,0"/>
              <v:stroke on="f" weight="0.5pt"/>
              <v:imagedata o:title=""/>
              <o:lock v:ext="edit" aspectratio="f"/>
              <v:textbox inset="0mm,0mm,0mm,0mm" style="mso-fit-shape-to-text:t;">
                <w:txbxContent>
                  <w:p w14:paraId="2280BDAC">
                    <w:pPr>
                      <w:pStyle w:val="10"/>
                      <w:ind w:firstLine="36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DB144">
    <w:pPr>
      <w:ind w:firstLine="480"/>
      <w:jc w:val="center"/>
      <w:rPr>
        <w:rFonts w:cs="Times New Roman"/>
        <w:szCs w:val="24"/>
        <w:lang w:eastAsia="zh-C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A53436">
    <w:pPr>
      <w:ind w:firstLine="480"/>
      <w:jc w:val="center"/>
      <w:rPr>
        <w:rFonts w:cs="Times New Roman"/>
        <w:szCs w:val="24"/>
        <w:lang w:eastAsia="zh-CN"/>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EF644F">
                          <w:pPr>
                            <w:pStyle w:val="10"/>
                            <w:ind w:firstLine="360"/>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56EF644F">
                    <w:pPr>
                      <w:pStyle w:val="10"/>
                      <w:ind w:firstLine="360"/>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B38D5">
    <w:pPr>
      <w:pStyle w:val="10"/>
      <w:tabs>
        <w:tab w:val="left" w:pos="3416"/>
        <w:tab w:val="clear" w:pos="4153"/>
      </w:tabs>
      <w:ind w:firstLine="360"/>
      <w:rPr>
        <w:lang w:eastAsia="zh-CN"/>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C613FE">
                          <w:pPr>
                            <w:pStyle w:val="10"/>
                            <w:ind w:firstLine="360"/>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wnAOg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mlGimUPHL92+X&#10;H78uP78SnEGgxvo54nYWkaF9a1q0zXDucRh5t6VT8QtGBH7Ie77KK9pAeLw0m85mY7g4fMMG+Nnj&#10;det8eCeMItHIqUP9kqzstPWhCx1CYjZtNrWUqYZSkwYk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8JwDoKwIAAFcEAAAOAAAAAAAAAAEAIAAAAB8BAABkcnMvZTJvRG9jLnhtbFBLBQYAAAAABgAG&#10;AFkBAAC8BQAAAAA=&#10;">
              <v:fill on="f" focussize="0,0"/>
              <v:stroke on="f" weight="0.5pt"/>
              <v:imagedata o:title=""/>
              <o:lock v:ext="edit" aspectratio="f"/>
              <v:textbox inset="0mm,0mm,0mm,0mm" style="mso-fit-shape-to-text:t;">
                <w:txbxContent>
                  <w:p w14:paraId="3AC613FE">
                    <w:pPr>
                      <w:pStyle w:val="10"/>
                      <w:ind w:firstLine="360"/>
                    </w:pPr>
                    <w:r>
                      <w:fldChar w:fldCharType="begin"/>
                    </w:r>
                    <w:r>
                      <w:instrText xml:space="preserve"> PAGE  \* MERGEFORMAT </w:instrText>
                    </w:r>
                    <w:r>
                      <w:fldChar w:fldCharType="separate"/>
                    </w:r>
                    <w:r>
                      <w:t>II</w:t>
                    </w:r>
                    <w:r>
                      <w:fldChar w:fldCharType="end"/>
                    </w:r>
                  </w:p>
                </w:txbxContent>
              </v:textbox>
            </v:shape>
          </w:pict>
        </mc:Fallback>
      </mc:AlternateContent>
    </w:r>
    <w:r>
      <w:rPr>
        <w:rFonts w:hint="eastAsia"/>
        <w:lang w:eastAsia="zh-CN"/>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5540CF">
    <w:pPr>
      <w:spacing w:line="177" w:lineRule="auto"/>
      <w:ind w:left="4571" w:firstLine="380"/>
      <w:rPr>
        <w:rFonts w:eastAsia="Times New Roman" w:cs="Times New Roman"/>
        <w:szCs w:val="24"/>
      </w:rPr>
    </w:pPr>
    <w:r>
      <w:rPr>
        <w:sz w:val="19"/>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54342E">
                          <w:pPr>
                            <w:pStyle w:val="10"/>
                            <w:ind w:firstLine="360"/>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1754342E">
                    <w:pPr>
                      <w:pStyle w:val="10"/>
                      <w:ind w:firstLine="360"/>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484453">
    <w:pPr>
      <w:spacing w:line="177" w:lineRule="auto"/>
      <w:ind w:left="7142" w:firstLine="380"/>
      <w:rPr>
        <w:rFonts w:eastAsia="Times New Roman" w:cs="Times New Roman"/>
        <w:szCs w:val="24"/>
      </w:rPr>
    </w:pPr>
    <w:r>
      <w:rPr>
        <w:sz w:val="19"/>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8DCBC0">
                          <w:pPr>
                            <w:pStyle w:val="10"/>
                            <w:ind w:firstLine="360"/>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218DCBC0">
                    <w:pPr>
                      <w:pStyle w:val="10"/>
                      <w:ind w:firstLine="360"/>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06B76C">
    <w:pPr>
      <w:pBdr>
        <w:bottom w:val="single" w:color="auto" w:sz="4" w:space="0"/>
      </w:pBdr>
      <w:spacing w:before="8" w:line="225" w:lineRule="auto"/>
      <w:ind w:left="2065" w:firstLine="402"/>
      <w:jc w:val="right"/>
      <w:rPr>
        <w:rFonts w:cs="宋体"/>
        <w:i/>
        <w:iCs/>
        <w:sz w:val="21"/>
        <w:lang w:eastAsia="zh-CN"/>
      </w:rPr>
    </w:pPr>
    <w:r>
      <w:rPr>
        <w:rFonts w:hint="eastAsia" w:cs="宋体"/>
        <w:bCs/>
        <w:i/>
        <w:iCs/>
        <w:spacing w:val="-9"/>
        <w:sz w:val="21"/>
        <w:lang w:eastAsia="zh-CN"/>
      </w:rPr>
      <w:t>双牌县阳明山国有林场森林经营方案(2024－2030</w:t>
    </w:r>
    <w:r>
      <w:rPr>
        <w:rFonts w:hint="eastAsia" w:cs="宋体"/>
        <w:bCs/>
        <w:i/>
        <w:iCs/>
        <w:spacing w:val="-10"/>
        <w:sz w:val="21"/>
        <w:lang w:eastAsia="zh-CN"/>
      </w:rPr>
      <w:t>年)</w:t>
    </w:r>
  </w:p>
  <w:p w14:paraId="62B7A3C4">
    <w:pPr>
      <w:pStyle w:val="11"/>
      <w:ind w:firstLine="360"/>
      <w:rPr>
        <w:lang w:eastAsia="zh-CN"/>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6238F">
    <w:pPr>
      <w:pBdr>
        <w:bottom w:val="single" w:color="auto" w:sz="4" w:space="0"/>
      </w:pBdr>
      <w:spacing w:before="8" w:line="225" w:lineRule="auto"/>
      <w:ind w:left="2099" w:firstLine="402"/>
      <w:jc w:val="center"/>
      <w:rPr>
        <w:rFonts w:cs="宋体"/>
        <w:i/>
        <w:iCs/>
        <w:lang w:eastAsia="zh-CN"/>
      </w:rPr>
    </w:pPr>
    <w:r>
      <w:rPr>
        <w:rFonts w:hint="eastAsia" w:cs="宋体"/>
        <w:i/>
        <w:iCs/>
        <w:spacing w:val="-9"/>
        <w:sz w:val="21"/>
        <w:lang w:val="en-US" w:eastAsia="zh-CN"/>
      </w:rPr>
      <w:t xml:space="preserve">                                                                                                       </w:t>
    </w:r>
    <w:r>
      <w:rPr>
        <w:rFonts w:hint="eastAsia" w:cs="宋体"/>
        <w:i/>
        <w:iCs/>
        <w:spacing w:val="-9"/>
        <w:sz w:val="21"/>
        <w:lang w:eastAsia="zh-CN"/>
      </w:rPr>
      <w:t>双牌县阳明山国有林场森林经营方案(2024－2030</w:t>
    </w:r>
    <w:r>
      <w:rPr>
        <w:rFonts w:hint="eastAsia" w:cs="宋体"/>
        <w:i/>
        <w:iCs/>
        <w:spacing w:val="-10"/>
        <w:sz w:val="21"/>
        <w:lang w:eastAsia="zh-CN"/>
      </w:rPr>
      <w:t>年)</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9F6B84">
    <w:pPr>
      <w:pBdr>
        <w:bottom w:val="single" w:color="auto" w:sz="4" w:space="0"/>
      </w:pBdr>
      <w:spacing w:before="8" w:line="225" w:lineRule="auto"/>
      <w:ind w:left="2065" w:firstLine="402"/>
      <w:jc w:val="right"/>
      <w:rPr>
        <w:rFonts w:cs="宋体"/>
        <w:lang w:eastAsia="zh-CN"/>
      </w:rPr>
    </w:pPr>
    <w:r>
      <w:rPr>
        <w:rFonts w:hint="eastAsia" w:cs="宋体"/>
        <w:bCs/>
        <w:spacing w:val="-9"/>
        <w:sz w:val="21"/>
        <w:lang w:eastAsia="zh-CN"/>
      </w:rPr>
      <w:t>双牌县阳明山国有林场森林经营方案(2024－2030</w:t>
    </w:r>
    <w:r>
      <w:rPr>
        <w:rFonts w:hint="eastAsia" w:cs="宋体"/>
        <w:bCs/>
        <w:spacing w:val="-10"/>
        <w:sz w:val="21"/>
        <w:lang w:eastAsia="zh-CN"/>
      </w:rPr>
      <w:t>年)</w:t>
    </w:r>
  </w:p>
  <w:p w14:paraId="75EC9120">
    <w:pPr>
      <w:pStyle w:val="11"/>
      <w:ind w:firstLine="420"/>
      <w:rPr>
        <w:sz w:val="21"/>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9CF25">
    <w:pPr>
      <w:pStyle w:val="11"/>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4A408">
    <w:pPr>
      <w:pBdr>
        <w:bottom w:val="single" w:color="auto" w:sz="4" w:space="0"/>
      </w:pBdr>
      <w:spacing w:before="8" w:line="225" w:lineRule="auto"/>
      <w:jc w:val="right"/>
      <w:rPr>
        <w:rFonts w:eastAsia="Times New Roman" w:cs="Times New Roman"/>
        <w:sz w:val="19"/>
        <w:szCs w:val="19"/>
        <w:lang w:eastAsia="zh-CN"/>
      </w:rPr>
    </w:pPr>
    <w:r>
      <w:rPr>
        <w:rFonts w:hint="eastAsia" w:ascii="宋体" w:hAnsi="宋体" w:cs="宋体"/>
        <w:b/>
        <w:bCs/>
        <w:spacing w:val="-9"/>
        <w:sz w:val="19"/>
        <w:szCs w:val="19"/>
        <w:lang w:eastAsia="zh-CN"/>
      </w:rPr>
      <w:t>双牌县阳明山国有林场</w:t>
    </w:r>
    <w:r>
      <w:rPr>
        <w:rFonts w:ascii="宋体" w:hAnsi="宋体" w:cs="宋体"/>
        <w:b/>
        <w:bCs/>
        <w:spacing w:val="-9"/>
        <w:sz w:val="19"/>
        <w:szCs w:val="19"/>
        <w:lang w:eastAsia="zh-CN"/>
      </w:rPr>
      <w:t>森林经营方案</w:t>
    </w:r>
    <w:r>
      <w:rPr>
        <w:rFonts w:hint="eastAsia" w:ascii="宋体" w:hAnsi="宋体" w:cs="宋体"/>
        <w:b/>
        <w:bCs/>
        <w:spacing w:val="-9"/>
        <w:sz w:val="19"/>
        <w:szCs w:val="19"/>
        <w:lang w:eastAsia="zh-CN"/>
      </w:rPr>
      <w:t>(</w:t>
    </w:r>
    <w:r>
      <w:rPr>
        <w:rFonts w:hint="eastAsia" w:cs="Times New Roman"/>
        <w:b/>
        <w:bCs/>
        <w:spacing w:val="-9"/>
        <w:sz w:val="19"/>
        <w:szCs w:val="19"/>
        <w:lang w:eastAsia="zh-CN"/>
      </w:rPr>
      <w:t>2024</w:t>
    </w:r>
    <w:r>
      <w:rPr>
        <w:rFonts w:ascii="宋体" w:hAnsi="宋体" w:cs="宋体"/>
        <w:b/>
        <w:bCs/>
        <w:spacing w:val="-10"/>
        <w:sz w:val="19"/>
        <w:szCs w:val="19"/>
        <w:lang w:eastAsia="zh-CN"/>
      </w:rPr>
      <w:t>－</w:t>
    </w:r>
    <w:r>
      <w:rPr>
        <w:rFonts w:eastAsia="Times New Roman" w:cs="Times New Roman"/>
        <w:b/>
        <w:bCs/>
        <w:spacing w:val="-10"/>
        <w:sz w:val="19"/>
        <w:szCs w:val="19"/>
        <w:lang w:eastAsia="zh-CN"/>
      </w:rPr>
      <w:t>2030</w:t>
    </w:r>
    <w:r>
      <w:rPr>
        <w:rFonts w:ascii="宋体" w:hAnsi="宋体" w:cs="宋体"/>
        <w:b/>
        <w:bCs/>
        <w:spacing w:val="-10"/>
        <w:sz w:val="19"/>
        <w:szCs w:val="19"/>
        <w:lang w:eastAsia="zh-CN"/>
      </w:rPr>
      <w:t>年</w:t>
    </w:r>
    <w:r>
      <w:rPr>
        <w:rFonts w:eastAsia="Times New Roman" w:cs="Times New Roman"/>
        <w:b/>
        <w:bCs/>
        <w:spacing w:val="-10"/>
        <w:sz w:val="19"/>
        <w:szCs w:val="19"/>
        <w:lang w:eastAsia="zh-CN"/>
      </w:rP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E3C8FE">
    <w:pPr>
      <w:pBdr>
        <w:bottom w:val="single" w:color="auto" w:sz="4" w:space="0"/>
      </w:pBdr>
      <w:spacing w:before="8" w:line="225" w:lineRule="auto"/>
      <w:ind w:left="2149" w:firstLine="363"/>
      <w:jc w:val="right"/>
      <w:rPr>
        <w:rFonts w:eastAsia="Times New Roman" w:cs="Times New Roman"/>
        <w:sz w:val="19"/>
        <w:szCs w:val="19"/>
        <w:lang w:eastAsia="zh-CN"/>
      </w:rPr>
    </w:pPr>
    <w:r>
      <w:rPr>
        <w:rFonts w:hint="eastAsia" w:ascii="宋体" w:hAnsi="宋体" w:cs="宋体"/>
        <w:b/>
        <w:bCs/>
        <w:spacing w:val="-9"/>
        <w:sz w:val="19"/>
        <w:szCs w:val="19"/>
        <w:lang w:eastAsia="zh-CN"/>
      </w:rPr>
      <w:t>双牌县阳明山国有林场</w:t>
    </w:r>
    <w:r>
      <w:rPr>
        <w:rFonts w:ascii="宋体" w:hAnsi="宋体" w:cs="宋体"/>
        <w:b/>
        <w:bCs/>
        <w:spacing w:val="-9"/>
        <w:sz w:val="19"/>
        <w:szCs w:val="19"/>
        <w:lang w:eastAsia="zh-CN"/>
      </w:rPr>
      <w:t>森林经营方案</w:t>
    </w:r>
    <w:r>
      <w:rPr>
        <w:rFonts w:hint="eastAsia" w:ascii="宋体" w:hAnsi="宋体" w:cs="宋体"/>
        <w:b/>
        <w:bCs/>
        <w:spacing w:val="-9"/>
        <w:sz w:val="19"/>
        <w:szCs w:val="19"/>
        <w:lang w:eastAsia="zh-CN"/>
      </w:rPr>
      <w:t>(</w:t>
    </w:r>
    <w:r>
      <w:rPr>
        <w:rFonts w:hint="eastAsia" w:cs="Times New Roman"/>
        <w:b/>
        <w:bCs/>
        <w:spacing w:val="-9"/>
        <w:sz w:val="19"/>
        <w:szCs w:val="19"/>
        <w:lang w:eastAsia="zh-CN"/>
      </w:rPr>
      <w:t>2024</w:t>
    </w:r>
    <w:r>
      <w:rPr>
        <w:rFonts w:ascii="宋体" w:hAnsi="宋体" w:cs="宋体"/>
        <w:b/>
        <w:bCs/>
        <w:spacing w:val="-9"/>
        <w:sz w:val="19"/>
        <w:szCs w:val="19"/>
        <w:lang w:eastAsia="zh-CN"/>
      </w:rPr>
      <w:t>－</w:t>
    </w:r>
    <w:r>
      <w:rPr>
        <w:rFonts w:eastAsia="Times New Roman" w:cs="Times New Roman"/>
        <w:b/>
        <w:bCs/>
        <w:spacing w:val="-9"/>
        <w:sz w:val="19"/>
        <w:szCs w:val="19"/>
        <w:lang w:eastAsia="zh-CN"/>
      </w:rPr>
      <w:t>2030</w:t>
    </w:r>
    <w:r>
      <w:rPr>
        <w:rFonts w:ascii="宋体" w:hAnsi="宋体" w:cs="宋体"/>
        <w:b/>
        <w:bCs/>
        <w:spacing w:val="-10"/>
        <w:sz w:val="19"/>
        <w:szCs w:val="19"/>
        <w:lang w:eastAsia="zh-CN"/>
      </w:rPr>
      <w:t>年</w:t>
    </w:r>
    <w:r>
      <w:rPr>
        <w:rFonts w:eastAsia="Times New Roman" w:cs="Times New Roman"/>
        <w:b/>
        <w:bCs/>
        <w:spacing w:val="-10"/>
        <w:sz w:val="19"/>
        <w:szCs w:val="19"/>
        <w:lang w:eastAsia="zh-CN"/>
      </w:rP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C7EB71">
    <w:pPr>
      <w:pBdr>
        <w:bottom w:val="single" w:color="auto" w:sz="4" w:space="0"/>
      </w:pBdr>
      <w:spacing w:before="8" w:line="225" w:lineRule="auto"/>
      <w:jc w:val="right"/>
      <w:rPr>
        <w:rFonts w:eastAsia="Times New Roman" w:cs="Times New Roman"/>
        <w:sz w:val="19"/>
        <w:szCs w:val="19"/>
        <w:lang w:eastAsia="zh-CN"/>
      </w:rPr>
    </w:pPr>
    <w:r>
      <w:rPr>
        <w:rFonts w:hint="eastAsia" w:ascii="宋体" w:hAnsi="宋体" w:cs="宋体"/>
        <w:b/>
        <w:bCs/>
        <w:spacing w:val="-9"/>
        <w:sz w:val="19"/>
        <w:szCs w:val="19"/>
        <w:lang w:eastAsia="zh-CN"/>
      </w:rPr>
      <w:t>双牌县阳明山国有林场</w:t>
    </w:r>
    <w:r>
      <w:rPr>
        <w:rFonts w:ascii="宋体" w:hAnsi="宋体" w:cs="宋体"/>
        <w:b/>
        <w:bCs/>
        <w:spacing w:val="-9"/>
        <w:sz w:val="19"/>
        <w:szCs w:val="19"/>
        <w:lang w:eastAsia="zh-CN"/>
      </w:rPr>
      <w:t>森林经营方案</w:t>
    </w:r>
    <w:r>
      <w:rPr>
        <w:rFonts w:hint="eastAsia" w:ascii="宋体" w:hAnsi="宋体" w:cs="宋体"/>
        <w:b/>
        <w:bCs/>
        <w:spacing w:val="-9"/>
        <w:sz w:val="19"/>
        <w:szCs w:val="19"/>
        <w:lang w:eastAsia="zh-CN"/>
      </w:rPr>
      <w:t>(</w:t>
    </w:r>
    <w:r>
      <w:rPr>
        <w:rFonts w:hint="eastAsia" w:cs="Times New Roman"/>
        <w:b/>
        <w:bCs/>
        <w:spacing w:val="-9"/>
        <w:sz w:val="19"/>
        <w:szCs w:val="19"/>
        <w:lang w:eastAsia="zh-CN"/>
      </w:rPr>
      <w:t>2024</w:t>
    </w:r>
    <w:r>
      <w:rPr>
        <w:rFonts w:ascii="宋体" w:hAnsi="宋体" w:cs="宋体"/>
        <w:b/>
        <w:bCs/>
        <w:spacing w:val="-10"/>
        <w:sz w:val="19"/>
        <w:szCs w:val="19"/>
        <w:lang w:eastAsia="zh-CN"/>
      </w:rPr>
      <w:t>－</w:t>
    </w:r>
    <w:r>
      <w:rPr>
        <w:rFonts w:eastAsia="Times New Roman" w:cs="Times New Roman"/>
        <w:b/>
        <w:bCs/>
        <w:spacing w:val="-10"/>
        <w:sz w:val="19"/>
        <w:szCs w:val="19"/>
        <w:lang w:eastAsia="zh-CN"/>
      </w:rPr>
      <w:t>2030</w:t>
    </w:r>
    <w:r>
      <w:rPr>
        <w:rFonts w:ascii="宋体" w:hAnsi="宋体" w:cs="宋体"/>
        <w:b/>
        <w:bCs/>
        <w:spacing w:val="-10"/>
        <w:sz w:val="19"/>
        <w:szCs w:val="19"/>
        <w:lang w:eastAsia="zh-CN"/>
      </w:rPr>
      <w:t>年</w:t>
    </w:r>
    <w:r>
      <w:rPr>
        <w:rFonts w:eastAsia="Times New Roman" w:cs="Times New Roman"/>
        <w:b/>
        <w:bCs/>
        <w:spacing w:val="-10"/>
        <w:sz w:val="19"/>
        <w:szCs w:val="19"/>
        <w:lang w:eastAsia="zh-CN"/>
      </w:rPr>
      <w: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1842A">
    <w:pPr>
      <w:pBdr>
        <w:bottom w:val="single" w:color="auto" w:sz="4" w:space="0"/>
      </w:pBdr>
      <w:spacing w:before="8" w:line="225" w:lineRule="auto"/>
      <w:ind w:left="2065" w:firstLine="462"/>
      <w:jc w:val="right"/>
      <w:rPr>
        <w:rFonts w:cs="宋体"/>
        <w:szCs w:val="19"/>
        <w:lang w:eastAsia="zh-CN"/>
      </w:rPr>
    </w:pPr>
    <w:r>
      <w:rPr>
        <w:rFonts w:hint="eastAsia" w:cs="宋体"/>
        <w:bCs/>
        <w:spacing w:val="-9"/>
        <w:szCs w:val="19"/>
        <w:lang w:eastAsia="zh-CN"/>
      </w:rPr>
      <w:t>双牌县阳明山国有林场森林经营方案(2024－2030</w:t>
    </w:r>
    <w:r>
      <w:rPr>
        <w:rFonts w:hint="eastAsia" w:cs="宋体"/>
        <w:bCs/>
        <w:spacing w:val="-10"/>
        <w:szCs w:val="19"/>
        <w:lang w:eastAsia="zh-CN"/>
      </w:rPr>
      <w:t>年)</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9400EB">
    <w:pPr>
      <w:pBdr>
        <w:bottom w:val="single" w:color="auto" w:sz="4" w:space="0"/>
      </w:pBdr>
      <w:spacing w:before="8" w:line="225" w:lineRule="auto"/>
      <w:ind w:left="2099" w:firstLine="402"/>
      <w:jc w:val="right"/>
      <w:rPr>
        <w:rFonts w:eastAsia="Times New Roman" w:cs="Times New Roman"/>
        <w:sz w:val="20"/>
        <w:szCs w:val="20"/>
        <w:lang w:eastAsia="zh-CN"/>
      </w:rPr>
    </w:pPr>
    <w:r>
      <w:rPr>
        <w:rFonts w:hint="eastAsia" w:ascii="宋体" w:hAnsi="宋体" w:cs="宋体"/>
        <w:spacing w:val="-9"/>
        <w:sz w:val="21"/>
        <w:lang w:eastAsia="zh-CN"/>
      </w:rPr>
      <w:t>双牌县阳明山国有林场</w:t>
    </w:r>
    <w:r>
      <w:rPr>
        <w:rFonts w:ascii="宋体" w:hAnsi="宋体" w:cs="宋体"/>
        <w:spacing w:val="-9"/>
        <w:sz w:val="21"/>
        <w:lang w:eastAsia="zh-CN"/>
      </w:rPr>
      <w:t>森林经营方案</w:t>
    </w:r>
    <w:r>
      <w:rPr>
        <w:rFonts w:hint="eastAsia" w:ascii="宋体" w:hAnsi="宋体" w:cs="宋体"/>
        <w:spacing w:val="-9"/>
        <w:sz w:val="21"/>
        <w:lang w:eastAsia="zh-CN"/>
      </w:rPr>
      <w:t>(</w:t>
    </w:r>
    <w:r>
      <w:rPr>
        <w:rFonts w:hint="eastAsia" w:cs="Times New Roman"/>
        <w:spacing w:val="-9"/>
        <w:sz w:val="21"/>
        <w:lang w:eastAsia="zh-CN"/>
      </w:rPr>
      <w:t>2024</w:t>
    </w:r>
    <w:r>
      <w:rPr>
        <w:rFonts w:ascii="宋体" w:hAnsi="宋体" w:cs="宋体"/>
        <w:spacing w:val="-9"/>
        <w:sz w:val="21"/>
        <w:lang w:eastAsia="zh-CN"/>
      </w:rPr>
      <w:t>－</w:t>
    </w:r>
    <w:r>
      <w:rPr>
        <w:rFonts w:eastAsia="Times New Roman" w:cs="Times New Roman"/>
        <w:spacing w:val="-9"/>
        <w:sz w:val="21"/>
        <w:lang w:eastAsia="zh-CN"/>
      </w:rPr>
      <w:t>2030</w:t>
    </w:r>
    <w:r>
      <w:rPr>
        <w:rFonts w:ascii="宋体" w:hAnsi="宋体" w:cs="宋体"/>
        <w:spacing w:val="-10"/>
        <w:sz w:val="21"/>
        <w:lang w:eastAsia="zh-CN"/>
      </w:rPr>
      <w:t>年</w:t>
    </w:r>
    <w:r>
      <w:rPr>
        <w:rFonts w:eastAsia="Times New Roman" w:cs="Times New Roman"/>
        <w:spacing w:val="-10"/>
        <w:sz w:val="21"/>
        <w:lang w:eastAsia="zh-CN"/>
      </w:rP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CB170">
    <w:pPr>
      <w:pBdr>
        <w:bottom w:val="single" w:color="auto" w:sz="4" w:space="0"/>
      </w:pBdr>
      <w:spacing w:before="8" w:line="225" w:lineRule="auto"/>
      <w:ind w:left="2099" w:firstLine="402"/>
      <w:jc w:val="right"/>
      <w:rPr>
        <w:rFonts w:cs="宋体"/>
        <w:i/>
        <w:iCs/>
        <w:lang w:eastAsia="zh-CN"/>
      </w:rPr>
    </w:pPr>
    <w:r>
      <w:rPr>
        <w:rFonts w:hint="eastAsia" w:cs="宋体"/>
        <w:i/>
        <w:iCs/>
        <w:spacing w:val="-9"/>
        <w:sz w:val="21"/>
        <w:lang w:eastAsia="zh-CN"/>
      </w:rPr>
      <w:t>双牌县阳明山国有林场森林经营方案(2024－2030</w:t>
    </w:r>
    <w:r>
      <w:rPr>
        <w:rFonts w:hint="eastAsia" w:cs="宋体"/>
        <w:i/>
        <w:iCs/>
        <w:spacing w:val="-10"/>
        <w:sz w:val="21"/>
        <w:lang w:eastAsia="zh-CN"/>
      </w:rPr>
      <w:t>年)</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6"/>
    <w:multiLevelType w:val="multilevel"/>
    <w:tmpl w:val="00000006"/>
    <w:lvl w:ilvl="0" w:tentative="0">
      <w:start w:val="1"/>
      <w:numFmt w:val="japaneseCounting"/>
      <w:suff w:val="space"/>
      <w:lvlText w:val="第%1章"/>
      <w:lvlJc w:val="left"/>
      <w:pPr>
        <w:ind w:left="0" w:firstLine="0"/>
      </w:pPr>
    </w:lvl>
    <w:lvl w:ilvl="1" w:tentative="0">
      <w:start w:val="1"/>
      <w:numFmt w:val="decimal"/>
      <w:isLgl/>
      <w:suff w:val="space"/>
      <w:lvlText w:val="%1.%2"/>
      <w:lvlJc w:val="left"/>
      <w:pPr>
        <w:ind w:left="0" w:firstLine="0"/>
      </w:pPr>
    </w:lvl>
    <w:lvl w:ilvl="2" w:tentative="0">
      <w:start w:val="1"/>
      <w:numFmt w:val="decimal"/>
      <w:isLgl/>
      <w:suff w:val="space"/>
      <w:lvlText w:val="%1.%2.%3"/>
      <w:lvlJc w:val="left"/>
      <w:pPr>
        <w:ind w:left="0" w:firstLine="0"/>
      </w:pPr>
      <w:rPr>
        <w:rFonts w:hint="eastAsia"/>
      </w:rPr>
    </w:lvl>
    <w:lvl w:ilvl="3" w:tentative="0">
      <w:start w:val="1"/>
      <w:numFmt w:val="decimal"/>
      <w:pStyle w:val="5"/>
      <w:suff w:val="space"/>
      <w:lvlText w:val="(%4)"/>
      <w:lvlJc w:val="left"/>
      <w:pPr>
        <w:ind w:left="992" w:firstLine="0"/>
      </w:pPr>
      <w:rPr>
        <w:rFonts w:hint="eastAsia"/>
      </w:rPr>
    </w:lvl>
    <w:lvl w:ilvl="4" w:tentative="0">
      <w:start w:val="1"/>
      <w:numFmt w:val="bullet"/>
      <w:suff w:val="space"/>
      <w:lvlText w:val=""/>
      <w:lvlJc w:val="left"/>
      <w:pPr>
        <w:ind w:left="0" w:firstLine="0"/>
      </w:pPr>
      <w:rPr>
        <w:rFonts w:hint="default" w:ascii="Wingdings" w:hAnsi="Wingdings"/>
      </w:rPr>
    </w:lvl>
    <w:lvl w:ilvl="5" w:tentative="0">
      <w:start w:val="1"/>
      <w:numFmt w:val="decimal"/>
      <w:isLgl/>
      <w:lvlText w:val="%1.%2.%3.%4.%5.%6"/>
      <w:lvlJc w:val="left"/>
      <w:pPr>
        <w:tabs>
          <w:tab w:val="left" w:pos="3260"/>
        </w:tabs>
        <w:ind w:left="3260" w:hanging="1134"/>
      </w:pPr>
      <w:rPr>
        <w:rFonts w:hint="eastAsia"/>
      </w:rPr>
    </w:lvl>
    <w:lvl w:ilvl="6" w:tentative="0">
      <w:start w:val="1"/>
      <w:numFmt w:val="decimal"/>
      <w:isLgl/>
      <w:lvlText w:val="%1.%2.%3.%4.%5.%6.%7"/>
      <w:lvlJc w:val="left"/>
      <w:pPr>
        <w:tabs>
          <w:tab w:val="left" w:pos="3827"/>
        </w:tabs>
        <w:ind w:left="3827" w:hanging="1276"/>
      </w:pPr>
      <w:rPr>
        <w:rFonts w:hint="eastAsia"/>
      </w:rPr>
    </w:lvl>
    <w:lvl w:ilvl="7" w:tentative="0">
      <w:start w:val="1"/>
      <w:numFmt w:val="decimal"/>
      <w:isLgl/>
      <w:lvlText w:val="%1.%2.%3.%4.%5.%6.%7.%8"/>
      <w:lvlJc w:val="left"/>
      <w:pPr>
        <w:tabs>
          <w:tab w:val="left" w:pos="4394"/>
        </w:tabs>
        <w:ind w:left="4394" w:hanging="1418"/>
      </w:pPr>
      <w:rPr>
        <w:rFonts w:hint="eastAsia"/>
      </w:rPr>
    </w:lvl>
    <w:lvl w:ilvl="8" w:tentative="0">
      <w:start w:val="1"/>
      <w:numFmt w:val="decimal"/>
      <w:isLgl/>
      <w:lvlText w:val="%1.%2.%3.%4.%5.%6.%7.%8.%9"/>
      <w:lvlJc w:val="left"/>
      <w:pPr>
        <w:tabs>
          <w:tab w:val="left" w:pos="5102"/>
        </w:tabs>
        <w:ind w:left="5102" w:hanging="1700"/>
      </w:pPr>
      <w:rPr>
        <w:rFonts w:hint="eastAsia"/>
      </w:rPr>
    </w:lvl>
  </w:abstractNum>
  <w:abstractNum w:abstractNumId="1">
    <w:nsid w:val="0000000D"/>
    <w:multiLevelType w:val="multilevel"/>
    <w:tmpl w:val="0000000D"/>
    <w:lvl w:ilvl="0" w:tentative="0">
      <w:start w:val="1"/>
      <w:numFmt w:val="upperLetter"/>
      <w:pStyle w:val="33"/>
      <w:suff w:val="nothing"/>
      <w:lvlText w:val="附　录　%1"/>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
    <w:nsid w:val="6637FFEB"/>
    <w:multiLevelType w:val="singleLevel"/>
    <w:tmpl w:val="6637FFEB"/>
    <w:lvl w:ilvl="0" w:tentative="0">
      <w:start w:val="6"/>
      <w:numFmt w:val="upperLetter"/>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dit="readOnly" w:enforcement="0"/>
  <w:defaultTabStop w:val="42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I4ZGE2MjY5NDU2YzAzODI0NDE2M2U2Njk0YzM0MDAifQ=="/>
  </w:docVars>
  <w:rsids>
    <w:rsidRoot w:val="00006CFB"/>
    <w:rsid w:val="000048DD"/>
    <w:rsid w:val="00006CFB"/>
    <w:rsid w:val="000104D9"/>
    <w:rsid w:val="00073D7B"/>
    <w:rsid w:val="000749C7"/>
    <w:rsid w:val="00082D92"/>
    <w:rsid w:val="00086A43"/>
    <w:rsid w:val="000A617D"/>
    <w:rsid w:val="000B0122"/>
    <w:rsid w:val="000B0E9F"/>
    <w:rsid w:val="000B5E86"/>
    <w:rsid w:val="001079F5"/>
    <w:rsid w:val="0011020A"/>
    <w:rsid w:val="001609DF"/>
    <w:rsid w:val="001A36D4"/>
    <w:rsid w:val="001B4C1F"/>
    <w:rsid w:val="001F1F12"/>
    <w:rsid w:val="001F6FAD"/>
    <w:rsid w:val="00210749"/>
    <w:rsid w:val="00241FF8"/>
    <w:rsid w:val="00254448"/>
    <w:rsid w:val="002577DD"/>
    <w:rsid w:val="0027555C"/>
    <w:rsid w:val="002838C8"/>
    <w:rsid w:val="00292437"/>
    <w:rsid w:val="002B414F"/>
    <w:rsid w:val="00353197"/>
    <w:rsid w:val="003C3318"/>
    <w:rsid w:val="00417A2F"/>
    <w:rsid w:val="004B6F6A"/>
    <w:rsid w:val="00594D8B"/>
    <w:rsid w:val="005B2061"/>
    <w:rsid w:val="005B6A66"/>
    <w:rsid w:val="005F5325"/>
    <w:rsid w:val="00605E5D"/>
    <w:rsid w:val="00606F8F"/>
    <w:rsid w:val="006154A4"/>
    <w:rsid w:val="006528F2"/>
    <w:rsid w:val="0066465D"/>
    <w:rsid w:val="00681AAA"/>
    <w:rsid w:val="00700C8B"/>
    <w:rsid w:val="0070229C"/>
    <w:rsid w:val="007150EF"/>
    <w:rsid w:val="00724CBE"/>
    <w:rsid w:val="00791F9D"/>
    <w:rsid w:val="00797516"/>
    <w:rsid w:val="007A54EC"/>
    <w:rsid w:val="007B374E"/>
    <w:rsid w:val="007B60C0"/>
    <w:rsid w:val="00800BCB"/>
    <w:rsid w:val="0080106A"/>
    <w:rsid w:val="00823074"/>
    <w:rsid w:val="00864A49"/>
    <w:rsid w:val="008879A2"/>
    <w:rsid w:val="008B4306"/>
    <w:rsid w:val="008D1EA2"/>
    <w:rsid w:val="009209E3"/>
    <w:rsid w:val="00921BD3"/>
    <w:rsid w:val="00954950"/>
    <w:rsid w:val="009627C8"/>
    <w:rsid w:val="00962E71"/>
    <w:rsid w:val="00994A9A"/>
    <w:rsid w:val="009A47EF"/>
    <w:rsid w:val="009C12FF"/>
    <w:rsid w:val="009C3934"/>
    <w:rsid w:val="009C57BA"/>
    <w:rsid w:val="009D60B3"/>
    <w:rsid w:val="009D7992"/>
    <w:rsid w:val="00A42C1B"/>
    <w:rsid w:val="00A61B33"/>
    <w:rsid w:val="00A669C9"/>
    <w:rsid w:val="00AD4648"/>
    <w:rsid w:val="00AE1053"/>
    <w:rsid w:val="00AE3AB3"/>
    <w:rsid w:val="00B0162B"/>
    <w:rsid w:val="00B30025"/>
    <w:rsid w:val="00B32E28"/>
    <w:rsid w:val="00B360DA"/>
    <w:rsid w:val="00B40207"/>
    <w:rsid w:val="00B502CD"/>
    <w:rsid w:val="00B61338"/>
    <w:rsid w:val="00B67BD2"/>
    <w:rsid w:val="00BA207D"/>
    <w:rsid w:val="00BB732A"/>
    <w:rsid w:val="00C02BEA"/>
    <w:rsid w:val="00C378DD"/>
    <w:rsid w:val="00C44E0E"/>
    <w:rsid w:val="00C45F51"/>
    <w:rsid w:val="00CA6952"/>
    <w:rsid w:val="00CD7597"/>
    <w:rsid w:val="00D03742"/>
    <w:rsid w:val="00D07F22"/>
    <w:rsid w:val="00D17590"/>
    <w:rsid w:val="00D6456C"/>
    <w:rsid w:val="00D85819"/>
    <w:rsid w:val="00D87421"/>
    <w:rsid w:val="00E15480"/>
    <w:rsid w:val="00E22F37"/>
    <w:rsid w:val="00E41329"/>
    <w:rsid w:val="00E73A93"/>
    <w:rsid w:val="00E95988"/>
    <w:rsid w:val="00EB4FAE"/>
    <w:rsid w:val="00EB61BD"/>
    <w:rsid w:val="00EE39B1"/>
    <w:rsid w:val="00EE5320"/>
    <w:rsid w:val="00EE676E"/>
    <w:rsid w:val="00F02BBE"/>
    <w:rsid w:val="00F05392"/>
    <w:rsid w:val="00F24051"/>
    <w:rsid w:val="00F32379"/>
    <w:rsid w:val="00F43CE1"/>
    <w:rsid w:val="00F51EDA"/>
    <w:rsid w:val="00FD4FAD"/>
    <w:rsid w:val="00FF5EE7"/>
    <w:rsid w:val="012375FA"/>
    <w:rsid w:val="01421AD5"/>
    <w:rsid w:val="015657AD"/>
    <w:rsid w:val="023D4632"/>
    <w:rsid w:val="032A1114"/>
    <w:rsid w:val="03F90AE6"/>
    <w:rsid w:val="052A0989"/>
    <w:rsid w:val="06E9118C"/>
    <w:rsid w:val="07683FB9"/>
    <w:rsid w:val="07D01ADE"/>
    <w:rsid w:val="096D1193"/>
    <w:rsid w:val="09A25D27"/>
    <w:rsid w:val="09F56C99"/>
    <w:rsid w:val="0A7E5001"/>
    <w:rsid w:val="0AAE262A"/>
    <w:rsid w:val="0AD749D3"/>
    <w:rsid w:val="0B9B354F"/>
    <w:rsid w:val="0D031C65"/>
    <w:rsid w:val="13BC6B86"/>
    <w:rsid w:val="13CF248D"/>
    <w:rsid w:val="15082937"/>
    <w:rsid w:val="15F02C10"/>
    <w:rsid w:val="18BB1730"/>
    <w:rsid w:val="18BD6DA2"/>
    <w:rsid w:val="194C6053"/>
    <w:rsid w:val="197E141A"/>
    <w:rsid w:val="1B920007"/>
    <w:rsid w:val="1BA55FFA"/>
    <w:rsid w:val="1C0335CA"/>
    <w:rsid w:val="1C060E08"/>
    <w:rsid w:val="1C561676"/>
    <w:rsid w:val="1CAC2742"/>
    <w:rsid w:val="1F542D83"/>
    <w:rsid w:val="20211698"/>
    <w:rsid w:val="20243D9C"/>
    <w:rsid w:val="204B441F"/>
    <w:rsid w:val="2089283E"/>
    <w:rsid w:val="217730F7"/>
    <w:rsid w:val="21A63C04"/>
    <w:rsid w:val="241D6B38"/>
    <w:rsid w:val="242B4D72"/>
    <w:rsid w:val="258413A9"/>
    <w:rsid w:val="268A5816"/>
    <w:rsid w:val="271138CD"/>
    <w:rsid w:val="277246F6"/>
    <w:rsid w:val="278E13C2"/>
    <w:rsid w:val="27BF3F2A"/>
    <w:rsid w:val="282D7B59"/>
    <w:rsid w:val="2860614D"/>
    <w:rsid w:val="289E73E3"/>
    <w:rsid w:val="291B6138"/>
    <w:rsid w:val="29D86D56"/>
    <w:rsid w:val="2B5621F6"/>
    <w:rsid w:val="2B7F799F"/>
    <w:rsid w:val="2BD80E5D"/>
    <w:rsid w:val="2BF86135"/>
    <w:rsid w:val="2C482935"/>
    <w:rsid w:val="2C5A5D16"/>
    <w:rsid w:val="2CCB451E"/>
    <w:rsid w:val="2D022756"/>
    <w:rsid w:val="2F12564A"/>
    <w:rsid w:val="2FD50FDE"/>
    <w:rsid w:val="30850AA8"/>
    <w:rsid w:val="31AF2660"/>
    <w:rsid w:val="32117723"/>
    <w:rsid w:val="33CD2241"/>
    <w:rsid w:val="363C648D"/>
    <w:rsid w:val="365B57E3"/>
    <w:rsid w:val="3888024E"/>
    <w:rsid w:val="392044C6"/>
    <w:rsid w:val="3A852B7B"/>
    <w:rsid w:val="3DDF3AB1"/>
    <w:rsid w:val="3F937B68"/>
    <w:rsid w:val="405F332D"/>
    <w:rsid w:val="43480C5D"/>
    <w:rsid w:val="4403125D"/>
    <w:rsid w:val="45444E66"/>
    <w:rsid w:val="463259E8"/>
    <w:rsid w:val="46874CD6"/>
    <w:rsid w:val="46D21C8C"/>
    <w:rsid w:val="48021F1E"/>
    <w:rsid w:val="481E59F2"/>
    <w:rsid w:val="48831AB4"/>
    <w:rsid w:val="4A286DF8"/>
    <w:rsid w:val="4A661922"/>
    <w:rsid w:val="4A6B6068"/>
    <w:rsid w:val="4C0D2006"/>
    <w:rsid w:val="4C6519EC"/>
    <w:rsid w:val="4CA74208"/>
    <w:rsid w:val="4D267823"/>
    <w:rsid w:val="4EE74D90"/>
    <w:rsid w:val="4F7401D7"/>
    <w:rsid w:val="4F896D48"/>
    <w:rsid w:val="4F8B4779"/>
    <w:rsid w:val="503E6C32"/>
    <w:rsid w:val="50795EBC"/>
    <w:rsid w:val="50994FF9"/>
    <w:rsid w:val="5209059C"/>
    <w:rsid w:val="526A6C55"/>
    <w:rsid w:val="52CC0C38"/>
    <w:rsid w:val="54530B87"/>
    <w:rsid w:val="547A32A8"/>
    <w:rsid w:val="54971006"/>
    <w:rsid w:val="55366F4D"/>
    <w:rsid w:val="553F3566"/>
    <w:rsid w:val="55F33D67"/>
    <w:rsid w:val="576510F3"/>
    <w:rsid w:val="58786B11"/>
    <w:rsid w:val="592F6552"/>
    <w:rsid w:val="593E5EF4"/>
    <w:rsid w:val="59831B59"/>
    <w:rsid w:val="59B241EC"/>
    <w:rsid w:val="5A871B1D"/>
    <w:rsid w:val="5A987160"/>
    <w:rsid w:val="5A9C2531"/>
    <w:rsid w:val="5DAA2D60"/>
    <w:rsid w:val="5F046B81"/>
    <w:rsid w:val="5F366B26"/>
    <w:rsid w:val="602C4CF9"/>
    <w:rsid w:val="607967BA"/>
    <w:rsid w:val="613F1A6F"/>
    <w:rsid w:val="6170615A"/>
    <w:rsid w:val="618D77F2"/>
    <w:rsid w:val="61B84C0E"/>
    <w:rsid w:val="62152CE1"/>
    <w:rsid w:val="62453F55"/>
    <w:rsid w:val="63F518A5"/>
    <w:rsid w:val="65E0765A"/>
    <w:rsid w:val="660065E3"/>
    <w:rsid w:val="662D2FA1"/>
    <w:rsid w:val="665E09E7"/>
    <w:rsid w:val="665F74AA"/>
    <w:rsid w:val="668B64F1"/>
    <w:rsid w:val="67D82215"/>
    <w:rsid w:val="68703B77"/>
    <w:rsid w:val="691172EE"/>
    <w:rsid w:val="6A2D0D35"/>
    <w:rsid w:val="6ABA3303"/>
    <w:rsid w:val="6B0450C3"/>
    <w:rsid w:val="6CC47F2E"/>
    <w:rsid w:val="6CD91C43"/>
    <w:rsid w:val="6DDD2E5E"/>
    <w:rsid w:val="6E841964"/>
    <w:rsid w:val="70BC0E22"/>
    <w:rsid w:val="71684015"/>
    <w:rsid w:val="71866E31"/>
    <w:rsid w:val="71A05546"/>
    <w:rsid w:val="722A4E10"/>
    <w:rsid w:val="72435ED2"/>
    <w:rsid w:val="72FD42D3"/>
    <w:rsid w:val="759B7F6A"/>
    <w:rsid w:val="760765C9"/>
    <w:rsid w:val="76263264"/>
    <w:rsid w:val="766D5220"/>
    <w:rsid w:val="76B61368"/>
    <w:rsid w:val="772638E5"/>
    <w:rsid w:val="79CE6338"/>
    <w:rsid w:val="7A130741"/>
    <w:rsid w:val="7A2C257E"/>
    <w:rsid w:val="7B1B79EC"/>
    <w:rsid w:val="7B9F23CB"/>
    <w:rsid w:val="7F475B64"/>
    <w:rsid w:val="7F5600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360" w:lineRule="auto"/>
      <w:ind w:firstLine="200" w:firstLineChars="200"/>
      <w:jc w:val="both"/>
      <w:textAlignment w:val="baseline"/>
    </w:pPr>
    <w:rPr>
      <w:rFonts w:ascii="Times New Roman" w:hAnsi="Times New Roman" w:eastAsia="宋体" w:cs="Arial"/>
      <w:snapToGrid w:val="0"/>
      <w:color w:val="000000"/>
      <w:sz w:val="24"/>
      <w:szCs w:val="21"/>
      <w:lang w:val="en-US" w:eastAsia="en-US" w:bidi="ar-SA"/>
    </w:rPr>
  </w:style>
  <w:style w:type="paragraph" w:styleId="2">
    <w:name w:val="heading 1"/>
    <w:basedOn w:val="1"/>
    <w:next w:val="1"/>
    <w:qFormat/>
    <w:uiPriority w:val="0"/>
    <w:pPr>
      <w:keepNext/>
      <w:keepLines/>
      <w:spacing w:before="50" w:beforeLines="50" w:after="50" w:afterLines="50"/>
      <w:ind w:firstLine="0" w:firstLineChars="0"/>
      <w:jc w:val="center"/>
      <w:outlineLvl w:val="0"/>
    </w:pPr>
    <w:rPr>
      <w:rFonts w:eastAsia="华文中宋"/>
      <w:b/>
      <w:kern w:val="44"/>
      <w:sz w:val="36"/>
    </w:rPr>
  </w:style>
  <w:style w:type="paragraph" w:styleId="3">
    <w:name w:val="heading 2"/>
    <w:basedOn w:val="1"/>
    <w:next w:val="1"/>
    <w:unhideWhenUsed/>
    <w:qFormat/>
    <w:uiPriority w:val="0"/>
    <w:pPr>
      <w:keepNext/>
      <w:keepLines/>
      <w:spacing w:before="100" w:after="100"/>
      <w:ind w:firstLine="0" w:firstLineChars="0"/>
      <w:outlineLvl w:val="1"/>
    </w:pPr>
    <w:rPr>
      <w:rFonts w:eastAsia="华文中宋" w:cs="Times New Roman"/>
      <w:b/>
      <w:sz w:val="32"/>
    </w:rPr>
  </w:style>
  <w:style w:type="paragraph" w:styleId="4">
    <w:name w:val="heading 3"/>
    <w:basedOn w:val="1"/>
    <w:next w:val="1"/>
    <w:qFormat/>
    <w:uiPriority w:val="0"/>
    <w:pPr>
      <w:widowControl w:val="0"/>
      <w:kinsoku/>
      <w:autoSpaceDE/>
      <w:autoSpaceDN/>
      <w:adjustRightInd/>
      <w:snapToGrid/>
      <w:spacing w:before="100" w:after="100"/>
      <w:ind w:firstLine="0" w:firstLineChars="0"/>
      <w:contextualSpacing/>
      <w:textAlignment w:val="auto"/>
      <w:outlineLvl w:val="2"/>
    </w:pPr>
    <w:rPr>
      <w:rFonts w:eastAsia="华文中宋" w:cs="Times New Roman"/>
      <w:b/>
      <w:bCs/>
      <w:snapToGrid/>
      <w:color w:val="000000" w:themeColor="text1"/>
      <w:kern w:val="2"/>
      <w:sz w:val="30"/>
      <w:szCs w:val="30"/>
      <w:lang w:eastAsia="zh-CN"/>
      <w14:textFill>
        <w14:solidFill>
          <w14:schemeClr w14:val="tx1"/>
        </w14:solidFill>
      </w14:textFill>
    </w:rPr>
  </w:style>
  <w:style w:type="paragraph" w:styleId="5">
    <w:name w:val="heading 4"/>
    <w:basedOn w:val="1"/>
    <w:next w:val="1"/>
    <w:qFormat/>
    <w:uiPriority w:val="0"/>
    <w:pPr>
      <w:numPr>
        <w:ilvl w:val="3"/>
        <w:numId w:val="1"/>
      </w:numPr>
      <w:spacing w:line="240" w:lineRule="atLeast"/>
      <w:ind w:left="0" w:firstLine="200"/>
      <w:outlineLvl w:val="3"/>
    </w:pPr>
    <w:rPr>
      <w:b/>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6">
    <w:name w:val="toa heading"/>
    <w:basedOn w:val="1"/>
    <w:next w:val="1"/>
    <w:qFormat/>
    <w:uiPriority w:val="0"/>
    <w:pPr>
      <w:spacing w:before="120"/>
    </w:pPr>
    <w:rPr>
      <w:rFonts w:asciiTheme="majorHAnsi" w:hAnsiTheme="majorHAnsi" w:eastAsiaTheme="majorEastAsia" w:cstheme="majorBidi"/>
      <w:szCs w:val="24"/>
    </w:rPr>
  </w:style>
  <w:style w:type="paragraph" w:styleId="7">
    <w:name w:val="Body Text"/>
    <w:basedOn w:val="1"/>
    <w:semiHidden/>
    <w:qFormat/>
    <w:uiPriority w:val="0"/>
  </w:style>
  <w:style w:type="paragraph" w:styleId="8">
    <w:name w:val="toc 3"/>
    <w:basedOn w:val="1"/>
    <w:next w:val="1"/>
    <w:qFormat/>
    <w:uiPriority w:val="0"/>
    <w:pPr>
      <w:ind w:left="840" w:leftChars="400"/>
    </w:pPr>
  </w:style>
  <w:style w:type="paragraph" w:styleId="9">
    <w:name w:val="Plain Text"/>
    <w:basedOn w:val="1"/>
    <w:link w:val="31"/>
    <w:qFormat/>
    <w:uiPriority w:val="0"/>
    <w:rPr>
      <w:rFonts w:hAnsi="Courier New" w:cs="Courier New" w:asciiTheme="minorEastAsia" w:eastAsiaTheme="minorEastAsia"/>
    </w:rPr>
  </w:style>
  <w:style w:type="paragraph" w:styleId="10">
    <w:name w:val="footer"/>
    <w:basedOn w:val="1"/>
    <w:qFormat/>
    <w:uiPriority w:val="0"/>
    <w:pPr>
      <w:tabs>
        <w:tab w:val="center" w:pos="4153"/>
        <w:tab w:val="right" w:pos="8306"/>
      </w:tabs>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pPr>
    <w:rPr>
      <w:sz w:val="18"/>
    </w:rPr>
  </w:style>
  <w:style w:type="paragraph" w:styleId="12">
    <w:name w:val="toc 1"/>
    <w:basedOn w:val="1"/>
    <w:next w:val="1"/>
    <w:qFormat/>
    <w:uiPriority w:val="39"/>
  </w:style>
  <w:style w:type="paragraph" w:styleId="13">
    <w:name w:val="toc 2"/>
    <w:basedOn w:val="1"/>
    <w:next w:val="1"/>
    <w:qFormat/>
    <w:uiPriority w:val="39"/>
    <w:pPr>
      <w:ind w:left="420" w:leftChars="200"/>
    </w:pPr>
  </w:style>
  <w:style w:type="paragraph" w:styleId="14">
    <w:name w:val="Normal (Web)"/>
    <w:basedOn w:val="1"/>
    <w:qFormat/>
    <w:uiPriority w:val="0"/>
    <w:pPr>
      <w:spacing w:before="100" w:beforeAutospacing="1" w:after="100" w:afterAutospacing="1"/>
      <w:jc w:val="left"/>
    </w:pPr>
    <w:rPr>
      <w:rFonts w:ascii="宋体" w:hAnsi="宋体" w:cs="宋体"/>
    </w:rPr>
  </w:style>
  <w:style w:type="paragraph" w:styleId="15">
    <w:name w:val="Title"/>
    <w:basedOn w:val="1"/>
    <w:next w:val="1"/>
    <w:link w:val="41"/>
    <w:qFormat/>
    <w:uiPriority w:val="0"/>
    <w:pPr>
      <w:spacing w:before="240" w:after="60"/>
      <w:jc w:val="center"/>
      <w:outlineLvl w:val="0"/>
    </w:pPr>
    <w:rPr>
      <w:rFonts w:asciiTheme="majorHAnsi" w:hAnsiTheme="majorHAnsi" w:eastAsiaTheme="majorEastAsia" w:cstheme="majorBidi"/>
      <w:b/>
      <w:bCs/>
      <w:sz w:val="32"/>
      <w:szCs w:val="32"/>
    </w:rPr>
  </w:style>
  <w:style w:type="paragraph" w:styleId="16">
    <w:name w:val="Body Text First Indent"/>
    <w:basedOn w:val="7"/>
    <w:qFormat/>
    <w:uiPriority w:val="0"/>
    <w:pPr>
      <w:ind w:firstLine="420" w:firstLineChars="100"/>
    </w:pPr>
    <w:rPr>
      <w:szCs w:val="24"/>
    </w:rPr>
  </w:style>
  <w:style w:type="table" w:styleId="18">
    <w:name w:val="Table Grid"/>
    <w:basedOn w:val="17"/>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Hyperlink"/>
    <w:basedOn w:val="19"/>
    <w:unhideWhenUsed/>
    <w:qFormat/>
    <w:uiPriority w:val="99"/>
    <w:rPr>
      <w:color w:val="0000FF" w:themeColor="hyperlink"/>
      <w:u w:val="single"/>
      <w14:textFill>
        <w14:solidFill>
          <w14:schemeClr w14:val="hlink"/>
        </w14:solidFill>
      </w14:textFill>
    </w:rPr>
  </w:style>
  <w:style w:type="table" w:customStyle="1" w:styleId="21">
    <w:name w:val="Table Normal"/>
    <w:semiHidden/>
    <w:unhideWhenUsed/>
    <w:qFormat/>
    <w:uiPriority w:val="0"/>
    <w:tblPr>
      <w:tblCellMar>
        <w:top w:w="0" w:type="dxa"/>
        <w:left w:w="0" w:type="dxa"/>
        <w:bottom w:w="0" w:type="dxa"/>
        <w:right w:w="0" w:type="dxa"/>
      </w:tblCellMar>
    </w:tblPr>
  </w:style>
  <w:style w:type="paragraph" w:customStyle="1" w:styleId="22">
    <w:name w:val="Table Text"/>
    <w:basedOn w:val="1"/>
    <w:semiHidden/>
    <w:qFormat/>
    <w:uiPriority w:val="0"/>
    <w:rPr>
      <w:rFonts w:ascii="仿宋" w:hAnsi="仿宋" w:eastAsia="仿宋" w:cs="仿宋"/>
      <w:szCs w:val="24"/>
    </w:rPr>
  </w:style>
  <w:style w:type="character" w:customStyle="1" w:styleId="23">
    <w:name w:val="font11"/>
    <w:basedOn w:val="19"/>
    <w:qFormat/>
    <w:uiPriority w:val="0"/>
    <w:rPr>
      <w:rFonts w:hint="eastAsia" w:ascii="宋体" w:hAnsi="宋体" w:eastAsia="宋体" w:cs="宋体"/>
      <w:b/>
      <w:bCs/>
      <w:color w:val="000000"/>
      <w:sz w:val="19"/>
      <w:szCs w:val="19"/>
      <w:u w:val="none"/>
    </w:rPr>
  </w:style>
  <w:style w:type="character" w:customStyle="1" w:styleId="24">
    <w:name w:val="font71"/>
    <w:basedOn w:val="19"/>
    <w:qFormat/>
    <w:uiPriority w:val="0"/>
    <w:rPr>
      <w:rFonts w:hint="eastAsia" w:ascii="宋体" w:hAnsi="宋体" w:eastAsia="宋体" w:cs="宋体"/>
      <w:color w:val="000000"/>
      <w:sz w:val="18"/>
      <w:szCs w:val="18"/>
      <w:u w:val="none"/>
    </w:rPr>
  </w:style>
  <w:style w:type="character" w:customStyle="1" w:styleId="25">
    <w:name w:val="font61"/>
    <w:basedOn w:val="19"/>
    <w:qFormat/>
    <w:uiPriority w:val="0"/>
    <w:rPr>
      <w:rFonts w:hint="eastAsia" w:ascii="宋体" w:hAnsi="宋体" w:eastAsia="宋体" w:cs="宋体"/>
      <w:color w:val="000000"/>
      <w:sz w:val="19"/>
      <w:szCs w:val="19"/>
      <w:u w:val="none"/>
    </w:rPr>
  </w:style>
  <w:style w:type="character" w:customStyle="1" w:styleId="26">
    <w:name w:val="font31"/>
    <w:basedOn w:val="19"/>
    <w:qFormat/>
    <w:uiPriority w:val="0"/>
    <w:rPr>
      <w:rFonts w:hint="default" w:ascii="Times New Roman" w:hAnsi="Times New Roman" w:cs="Times New Roman"/>
      <w:color w:val="000000"/>
      <w:sz w:val="19"/>
      <w:szCs w:val="19"/>
      <w:u w:val="none"/>
    </w:rPr>
  </w:style>
  <w:style w:type="character" w:customStyle="1" w:styleId="27">
    <w:name w:val="font51"/>
    <w:basedOn w:val="19"/>
    <w:qFormat/>
    <w:uiPriority w:val="0"/>
    <w:rPr>
      <w:rFonts w:hint="eastAsia" w:ascii="宋体" w:hAnsi="宋体" w:eastAsia="宋体" w:cs="宋体"/>
      <w:color w:val="000000"/>
      <w:sz w:val="19"/>
      <w:szCs w:val="19"/>
      <w:u w:val="none"/>
    </w:rPr>
  </w:style>
  <w:style w:type="paragraph" w:customStyle="1" w:styleId="28">
    <w:name w:val="WPSOffice手动目录 1"/>
    <w:qFormat/>
    <w:uiPriority w:val="0"/>
    <w:rPr>
      <w:rFonts w:ascii="Times New Roman" w:hAnsi="Times New Roman" w:eastAsia="宋体" w:cs="Times New Roman"/>
      <w:lang w:val="en-US" w:eastAsia="zh-CN" w:bidi="ar-SA"/>
    </w:rPr>
  </w:style>
  <w:style w:type="paragraph" w:customStyle="1" w:styleId="29">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0">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31">
    <w:name w:val="纯文本 字符"/>
    <w:basedOn w:val="19"/>
    <w:link w:val="9"/>
    <w:qFormat/>
    <w:uiPriority w:val="0"/>
    <w:rPr>
      <w:rFonts w:hAnsi="Courier New" w:cs="Courier New" w:asciiTheme="minorEastAsia" w:eastAsiaTheme="minorEastAsia"/>
      <w:snapToGrid w:val="0"/>
      <w:color w:val="000000"/>
      <w:sz w:val="21"/>
      <w:szCs w:val="21"/>
      <w:lang w:eastAsia="en-US"/>
    </w:rPr>
  </w:style>
  <w:style w:type="paragraph" w:customStyle="1" w:styleId="32">
    <w:name w:val="表格文字"/>
    <w:basedOn w:val="1"/>
    <w:next w:val="33"/>
    <w:qFormat/>
    <w:uiPriority w:val="0"/>
    <w:pPr>
      <w:jc w:val="center"/>
    </w:pPr>
    <w:rPr>
      <w:sz w:val="21"/>
      <w:szCs w:val="20"/>
    </w:rPr>
  </w:style>
  <w:style w:type="paragraph" w:customStyle="1" w:styleId="33">
    <w:name w:val="附录标识"/>
    <w:basedOn w:val="1"/>
    <w:qFormat/>
    <w:uiPriority w:val="0"/>
    <w:pPr>
      <w:numPr>
        <w:ilvl w:val="0"/>
        <w:numId w:val="2"/>
      </w:numPr>
      <w:shd w:val="clear" w:color="FFFFFF" w:fill="FFFFFF"/>
      <w:tabs>
        <w:tab w:val="left" w:pos="6405"/>
      </w:tabs>
      <w:spacing w:before="640" w:after="200"/>
      <w:jc w:val="center"/>
      <w:outlineLvl w:val="0"/>
    </w:pPr>
    <w:rPr>
      <w:rFonts w:ascii="黑体" w:eastAsia="黑体"/>
      <w:sz w:val="21"/>
      <w:szCs w:val="20"/>
      <w:shd w:val="clear" w:color="FFFFFF" w:fill="FFFFFF"/>
    </w:rPr>
  </w:style>
  <w:style w:type="paragraph" w:customStyle="1" w:styleId="34">
    <w:name w:val="表"/>
    <w:basedOn w:val="1"/>
    <w:qFormat/>
    <w:uiPriority w:val="0"/>
    <w:pPr>
      <w:spacing w:before="50" w:beforeLines="50" w:after="50" w:afterLines="50"/>
      <w:jc w:val="center"/>
    </w:pPr>
    <w:rPr>
      <w:rFonts w:ascii="黑体" w:hAnsi="黑体" w:eastAsia="黑体"/>
      <w:szCs w:val="20"/>
    </w:rPr>
  </w:style>
  <w:style w:type="paragraph" w:customStyle="1" w:styleId="35">
    <w:name w:val="表注"/>
    <w:basedOn w:val="36"/>
    <w:qFormat/>
    <w:uiPriority w:val="0"/>
    <w:pPr>
      <w:wordWrap w:val="0"/>
      <w:spacing w:line="240" w:lineRule="auto"/>
      <w:jc w:val="right"/>
    </w:pPr>
    <w:rPr>
      <w:sz w:val="20"/>
    </w:rPr>
  </w:style>
  <w:style w:type="paragraph" w:customStyle="1" w:styleId="36">
    <w:name w:val="w_正文1"/>
    <w:basedOn w:val="37"/>
    <w:qFormat/>
    <w:uiPriority w:val="0"/>
    <w:pPr>
      <w:spacing w:line="472" w:lineRule="atLeast"/>
      <w:ind w:firstLine="480"/>
    </w:pPr>
    <w:rPr>
      <w:sz w:val="24"/>
    </w:rPr>
  </w:style>
  <w:style w:type="paragraph" w:customStyle="1" w:styleId="37">
    <w:name w:val="w_正文"/>
    <w:basedOn w:val="1"/>
    <w:qFormat/>
    <w:uiPriority w:val="0"/>
    <w:pPr>
      <w:spacing w:line="312" w:lineRule="atLeast"/>
      <w:ind w:firstLine="560"/>
    </w:pPr>
    <w:rPr>
      <w:sz w:val="28"/>
      <w:szCs w:val="28"/>
    </w:rPr>
  </w:style>
  <w:style w:type="paragraph" w:customStyle="1" w:styleId="38">
    <w:name w:val="表内容首行"/>
    <w:basedOn w:val="39"/>
    <w:qFormat/>
    <w:uiPriority w:val="0"/>
    <w:rPr>
      <w:b/>
    </w:rPr>
  </w:style>
  <w:style w:type="paragraph" w:customStyle="1" w:styleId="39">
    <w:name w:val="表格内容"/>
    <w:basedOn w:val="1"/>
    <w:qFormat/>
    <w:uiPriority w:val="0"/>
    <w:pPr>
      <w:spacing w:line="240" w:lineRule="atLeast"/>
      <w:ind w:firstLine="0" w:firstLineChars="0"/>
      <w:jc w:val="center"/>
    </w:pPr>
    <w:rPr>
      <w:sz w:val="21"/>
    </w:rPr>
  </w:style>
  <w:style w:type="paragraph" w:customStyle="1" w:styleId="40">
    <w:name w:val="表头"/>
    <w:basedOn w:val="1"/>
    <w:qFormat/>
    <w:uiPriority w:val="0"/>
    <w:pPr>
      <w:ind w:firstLine="0" w:firstLineChars="0"/>
      <w:jc w:val="center"/>
    </w:pPr>
    <w:rPr>
      <w:rFonts w:eastAsia="黑体"/>
      <w:spacing w:val="20"/>
    </w:rPr>
  </w:style>
  <w:style w:type="character" w:customStyle="1" w:styleId="41">
    <w:name w:val="标题 字符"/>
    <w:basedOn w:val="19"/>
    <w:link w:val="15"/>
    <w:qFormat/>
    <w:uiPriority w:val="0"/>
    <w:rPr>
      <w:rFonts w:asciiTheme="majorHAnsi" w:hAnsiTheme="majorHAnsi" w:eastAsiaTheme="majorEastAsia" w:cstheme="majorBidi"/>
      <w:b/>
      <w:bCs/>
      <w:snapToGrid w:val="0"/>
      <w:color w:val="000000"/>
      <w:sz w:val="32"/>
      <w:szCs w:val="32"/>
      <w:lang w:eastAsia="en-US"/>
    </w:rPr>
  </w:style>
  <w:style w:type="paragraph" w:styleId="42">
    <w:name w:val="List Paragraph"/>
    <w:basedOn w:val="1"/>
    <w:unhideWhenUsed/>
    <w:qFormat/>
    <w:uiPriority w:val="99"/>
    <w:pPr>
      <w:ind w:firstLine="420"/>
    </w:pPr>
  </w:style>
  <w:style w:type="character" w:customStyle="1" w:styleId="43">
    <w:name w:val="font21"/>
    <w:basedOn w:val="19"/>
    <w:qFormat/>
    <w:uiPriority w:val="0"/>
    <w:rPr>
      <w:rFonts w:hint="default" w:ascii="Times New Roman" w:hAnsi="Times New Roman" w:cs="Times New Roman"/>
      <w:color w:val="000000"/>
      <w:sz w:val="21"/>
      <w:szCs w:val="21"/>
      <w:u w:val="none"/>
    </w:rPr>
  </w:style>
  <w:style w:type="character" w:customStyle="1" w:styleId="44">
    <w:name w:val="font41"/>
    <w:basedOn w:val="19"/>
    <w:qFormat/>
    <w:uiPriority w:val="0"/>
    <w:rPr>
      <w:rFonts w:hint="default" w:ascii="Times New Roman" w:hAnsi="Times New Roman" w:cs="Times New Roman"/>
      <w:color w:val="002060"/>
      <w:sz w:val="22"/>
      <w:szCs w:val="22"/>
      <w:u w:val="singl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1" Type="http://schemas.openxmlformats.org/officeDocument/2006/relationships/fontTable" Target="fontTable.xml"/><Relationship Id="rId70" Type="http://schemas.openxmlformats.org/officeDocument/2006/relationships/numbering" Target="numbering.xml"/><Relationship Id="rId7" Type="http://schemas.openxmlformats.org/officeDocument/2006/relationships/header" Target="header3.xml"/><Relationship Id="rId69" Type="http://schemas.openxmlformats.org/officeDocument/2006/relationships/customXml" Target="../customXml/item1.xml"/><Relationship Id="rId68" Type="http://schemas.openxmlformats.org/officeDocument/2006/relationships/image" Target="media/image18.png"/><Relationship Id="rId67" Type="http://schemas.openxmlformats.org/officeDocument/2006/relationships/image" Target="media/image17.png"/><Relationship Id="rId66" Type="http://schemas.openxmlformats.org/officeDocument/2006/relationships/image" Target="media/image16.png"/><Relationship Id="rId65" Type="http://schemas.openxmlformats.org/officeDocument/2006/relationships/image" Target="media/image15.png"/><Relationship Id="rId64" Type="http://schemas.openxmlformats.org/officeDocument/2006/relationships/image" Target="media/image14.png"/><Relationship Id="rId63" Type="http://schemas.openxmlformats.org/officeDocument/2006/relationships/image" Target="media/image13.png"/><Relationship Id="rId62" Type="http://schemas.openxmlformats.org/officeDocument/2006/relationships/image" Target="media/image12.jpeg"/><Relationship Id="rId61" Type="http://schemas.openxmlformats.org/officeDocument/2006/relationships/image" Target="media/image11.jpeg"/><Relationship Id="rId60" Type="http://schemas.openxmlformats.org/officeDocument/2006/relationships/image" Target="media/image10.jpeg"/><Relationship Id="rId6" Type="http://schemas.openxmlformats.org/officeDocument/2006/relationships/header" Target="header2.xml"/><Relationship Id="rId59" Type="http://schemas.openxmlformats.org/officeDocument/2006/relationships/image" Target="media/image9.jpeg"/><Relationship Id="rId58" Type="http://schemas.openxmlformats.org/officeDocument/2006/relationships/image" Target="media/image8.jpeg"/><Relationship Id="rId57" Type="http://schemas.openxmlformats.org/officeDocument/2006/relationships/image" Target="media/image7.jpeg"/><Relationship Id="rId56" Type="http://schemas.openxmlformats.org/officeDocument/2006/relationships/image" Target="media/image6.jpeg"/><Relationship Id="rId55" Type="http://schemas.openxmlformats.org/officeDocument/2006/relationships/image" Target="media/image5.jpeg"/><Relationship Id="rId54" Type="http://schemas.openxmlformats.org/officeDocument/2006/relationships/image" Target="media/image4.jpeg"/><Relationship Id="rId53" Type="http://schemas.openxmlformats.org/officeDocument/2006/relationships/image" Target="media/image3.jpeg"/><Relationship Id="rId52" Type="http://schemas.openxmlformats.org/officeDocument/2006/relationships/image" Target="media/image2.jpeg"/><Relationship Id="rId51" Type="http://schemas.openxmlformats.org/officeDocument/2006/relationships/image" Target="media/image1.jpeg"/><Relationship Id="rId50" Type="http://schemas.openxmlformats.org/officeDocument/2006/relationships/theme" Target="theme/theme1.xml"/><Relationship Id="rId5" Type="http://schemas.openxmlformats.org/officeDocument/2006/relationships/header" Target="header1.xml"/><Relationship Id="rId49" Type="http://schemas.openxmlformats.org/officeDocument/2006/relationships/footer" Target="footer35.xml"/><Relationship Id="rId48" Type="http://schemas.openxmlformats.org/officeDocument/2006/relationships/header" Target="header10.xml"/><Relationship Id="rId47" Type="http://schemas.openxmlformats.org/officeDocument/2006/relationships/footer" Target="footer34.xml"/><Relationship Id="rId46" Type="http://schemas.openxmlformats.org/officeDocument/2006/relationships/footer" Target="footer33.xml"/><Relationship Id="rId45" Type="http://schemas.openxmlformats.org/officeDocument/2006/relationships/footer" Target="footer32.xml"/><Relationship Id="rId44" Type="http://schemas.openxmlformats.org/officeDocument/2006/relationships/footer" Target="footer31.xml"/><Relationship Id="rId43" Type="http://schemas.openxmlformats.org/officeDocument/2006/relationships/footer" Target="footer30.xml"/><Relationship Id="rId42" Type="http://schemas.openxmlformats.org/officeDocument/2006/relationships/footer" Target="footer29.xml"/><Relationship Id="rId41" Type="http://schemas.openxmlformats.org/officeDocument/2006/relationships/footer" Target="footer28.xml"/><Relationship Id="rId40" Type="http://schemas.openxmlformats.org/officeDocument/2006/relationships/footer" Target="footer27.xml"/><Relationship Id="rId4" Type="http://schemas.openxmlformats.org/officeDocument/2006/relationships/endnotes" Target="endnotes.xml"/><Relationship Id="rId39" Type="http://schemas.openxmlformats.org/officeDocument/2006/relationships/footer" Target="footer26.xml"/><Relationship Id="rId38" Type="http://schemas.openxmlformats.org/officeDocument/2006/relationships/footer" Target="footer25.xml"/><Relationship Id="rId37" Type="http://schemas.openxmlformats.org/officeDocument/2006/relationships/footer" Target="footer24.xml"/><Relationship Id="rId36" Type="http://schemas.openxmlformats.org/officeDocument/2006/relationships/footer" Target="footer23.xml"/><Relationship Id="rId35" Type="http://schemas.openxmlformats.org/officeDocument/2006/relationships/footer" Target="footer22.xml"/><Relationship Id="rId34" Type="http://schemas.openxmlformats.org/officeDocument/2006/relationships/footer" Target="footer21.xml"/><Relationship Id="rId33" Type="http://schemas.openxmlformats.org/officeDocument/2006/relationships/footer" Target="footer20.xml"/><Relationship Id="rId32" Type="http://schemas.openxmlformats.org/officeDocument/2006/relationships/footer" Target="footer19.xml"/><Relationship Id="rId31" Type="http://schemas.openxmlformats.org/officeDocument/2006/relationships/footer" Target="footer18.xml"/><Relationship Id="rId30" Type="http://schemas.openxmlformats.org/officeDocument/2006/relationships/footer" Target="footer17.xml"/><Relationship Id="rId3" Type="http://schemas.openxmlformats.org/officeDocument/2006/relationships/footnotes" Target="footnotes.xml"/><Relationship Id="rId29" Type="http://schemas.openxmlformats.org/officeDocument/2006/relationships/footer" Target="footer16.xml"/><Relationship Id="rId28" Type="http://schemas.openxmlformats.org/officeDocument/2006/relationships/footer" Target="footer15.xml"/><Relationship Id="rId27" Type="http://schemas.openxmlformats.org/officeDocument/2006/relationships/footer" Target="footer14.xml"/><Relationship Id="rId26" Type="http://schemas.openxmlformats.org/officeDocument/2006/relationships/header" Target="header9.xml"/><Relationship Id="rId25" Type="http://schemas.openxmlformats.org/officeDocument/2006/relationships/footer" Target="footer13.xml"/><Relationship Id="rId24" Type="http://schemas.openxmlformats.org/officeDocument/2006/relationships/header" Target="header8.xml"/><Relationship Id="rId23" Type="http://schemas.openxmlformats.org/officeDocument/2006/relationships/footer" Target="footer12.xml"/><Relationship Id="rId22" Type="http://schemas.openxmlformats.org/officeDocument/2006/relationships/header" Target="header7.xml"/><Relationship Id="rId21" Type="http://schemas.openxmlformats.org/officeDocument/2006/relationships/footer" Target="footer11.xml"/><Relationship Id="rId20" Type="http://schemas.openxmlformats.org/officeDocument/2006/relationships/header" Target="header6.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5.xml"/><Relationship Id="rId17" Type="http://schemas.openxmlformats.org/officeDocument/2006/relationships/footer" Target="footer9.xml"/><Relationship Id="rId16" Type="http://schemas.openxmlformats.org/officeDocument/2006/relationships/header" Target="header4.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126</Pages>
  <Words>6878</Words>
  <Characters>7953</Characters>
  <Lines>608</Lines>
  <Paragraphs>171</Paragraphs>
  <TotalTime>6</TotalTime>
  <ScaleCrop>false</ScaleCrop>
  <LinksUpToDate>false</LinksUpToDate>
  <CharactersWithSpaces>8447</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2020-08-24T10:11:00Z</dcterms:created>
  <dc:creator>番茄花园</dc:creator>
  <cp:lastModifiedBy>和美</cp:lastModifiedBy>
  <dcterms:modified xsi:type="dcterms:W3CDTF">2025-05-09T02:42:28Z</dcterms:modified>
  <dc:title>前    言</dc:title>
  <cp:revision>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2024-11-18T17:36:20Z</vt:filetime>
  </property>
  <property fmtid="{D5CDD505-2E9C-101B-9397-08002B2CF9AE}" pid="4" name="KSOProductBuildVer">
    <vt:lpwstr>2052-12.1.0.20784</vt:lpwstr>
  </property>
  <property fmtid="{D5CDD505-2E9C-101B-9397-08002B2CF9AE}" pid="5" name="ICV">
    <vt:lpwstr>8B3477D90CA24164A91372DABEC5A449_13</vt:lpwstr>
  </property>
  <property fmtid="{D5CDD505-2E9C-101B-9397-08002B2CF9AE}" pid="6" name="KSOTemplateDocerSaveRecord">
    <vt:lpwstr>eyJoZGlkIjoiZDgzMjFlZDA4NDU1Yzk4MTk5OGU5Mjg5NzM4YWQ4YzIiLCJ1c2VySWQiOiI0NTIyMjgyOTkifQ==</vt:lpwstr>
  </property>
</Properties>
</file>