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审计以案释法——案例一：往来款项未及时清理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2021年，我局在对某局2020年度部门预算执行和其他财政收支情况审计时发现：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截至20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年1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月，该局2018年初-2020年末3年以来，往来挂账无变动的有24笔，共计96.77万元。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违反法律法规：上述行为违反了财政部《行政单位财务规则》（财政部令第71号）第三十七条“行政单位应当加强应收及暂付款项的管理，严格控制规模，并及时进行清理，不得长期挂账”的规定。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审计以案释法——案例二：固定资产未登记入账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    2021年，我局在对某局2015-2016年度财务收支情况审计时发现：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    该局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购置办公桌椅、电脑、打印机等办公设备只列支出，未进行固定资产登记。其中2015年购置打印机、电脑等办公设备支出2.11万元；2016年购置办公桌椅、电脑等办公设备支出4.57万元。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    违反法律法规：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</w:rPr>
        <w:t>以上行为不符合财政部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  <w:lang w:val="en-US" w:eastAsia="zh-CN"/>
        </w:rPr>
        <w:t>《行政单位国有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  <w:lang w:val="en-US" w:eastAsia="zh-CN"/>
        </w:rPr>
        <w:t>资产管理暂行办法》（2017年修订版）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</w:rPr>
        <w:t>第十七条 “行政单位资产管理部门应当对购置的资产进行验收、登记，并及时进行账务处理。”、《行政单位财务规则》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  <w:lang w:val="en-US" w:eastAsia="zh-CN"/>
        </w:rPr>
        <w:t>（财政部令第71号）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</w:rPr>
        <w:t>第三十条“固定资产是指使用期限超过一年，单位价值在1000元以上（其中：专用设备单位价值在1500元以上），并且在使用过程中基本保持原有物质形态的资产。单位价值虽未达到规定标准，但是耐用时间在一年以上的大批同类物资，作为固定资产管理”、第三十八条“行政单位的资产增加时，应当及时登记入账；减少时，应当按照资产处置规定办理报批手续，进行账务处理”的规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35353"/>
          <w:spacing w:val="0"/>
          <w:sz w:val="32"/>
          <w:szCs w:val="32"/>
          <w:shd w:val="clear" w:fill="FFFFFF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审计以案释法——案例三：未通过电子卖场进行采购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2021年，我局在对2021年度县本级预算执行及其他财政收支情况审计时发现：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经审计抽查，县本级有8家单位2021年落实政府采购电子卖场管理制度不到位，未按规定通过政府采购电子卖场采购限额标准以下的货物、服务，涉及金额111.9万元。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    违反法律法规：上述行为不符合《湖南省政府采购电子卖场管理办法》（湘财购〔2019〕27 号）第三条“湖南省各级国家机关、事业单位和团体组织（以下简称采购人）采购政府采购限额标准以下的货物、服务和工程，原则上应通过电子卖场进行”的规定。</w:t>
      </w:r>
    </w:p>
    <w:p>
      <w:pPr>
        <w:pStyle w:val="2"/>
        <w:rPr>
          <w:rFonts w:hint="eastAsia"/>
        </w:rPr>
      </w:pPr>
    </w:p>
    <w:p>
      <w:pPr>
        <w:pStyle w:val="3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8535C"/>
    <w:rsid w:val="10E8535C"/>
    <w:rsid w:val="1719772F"/>
    <w:rsid w:val="20C62907"/>
    <w:rsid w:val="777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3"/>
    <w:qFormat/>
    <w:uiPriority w:val="0"/>
    <w:pPr>
      <w:ind w:firstLine="540"/>
    </w:pPr>
    <w:rPr>
      <w:sz w:val="30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2022-11-16T02:39:00Z</dcterms:created>
  <dc:creator>Administrator</dc:creator>
  <cp:lastModifiedBy>Administrator</cp:lastModifiedBy>
  <cp:lastPrinted>2022-11-16T03:36:00Z</cp:lastPrinted>
  <dcterms:modified xsi:type="dcterms:W3CDTF">2022-11-16T03:39:35Z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BE8E04561B634E9680FF16706B8FCDE4</vt:lpwstr>
  </property>
</Properties>
</file>