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7511D">
      <w:pPr>
        <w:rPr>
          <w:rFonts w:hint="eastAsia" w:ascii="仿宋_GB2312" w:hAnsi="仿宋_GB2312" w:eastAsia="仿宋_GB2312" w:cs="仿宋_GB2312"/>
          <w:sz w:val="36"/>
          <w:szCs w:val="36"/>
        </w:rPr>
      </w:pPr>
      <w:bookmarkStart w:id="0" w:name="_Hlk57883707"/>
    </w:p>
    <w:p w14:paraId="5A1F8692">
      <w:pPr>
        <w:rPr>
          <w:rFonts w:hint="eastAsia" w:ascii="仿宋_GB2312" w:hAnsi="仿宋_GB2312" w:eastAsia="仿宋_GB2312" w:cs="仿宋_GB2312"/>
          <w:sz w:val="36"/>
          <w:szCs w:val="36"/>
        </w:rPr>
      </w:pPr>
    </w:p>
    <w:p w14:paraId="067A825C">
      <w:pPr>
        <w:rPr>
          <w:rFonts w:hint="eastAsia" w:ascii="仿宋_GB2312" w:hAnsi="仿宋_GB2312" w:eastAsia="仿宋_GB2312" w:cs="仿宋_GB2312"/>
          <w:sz w:val="36"/>
          <w:szCs w:val="36"/>
        </w:rPr>
      </w:pPr>
    </w:p>
    <w:bookmarkEnd w:id="0"/>
    <w:p w14:paraId="24E7A571">
      <w:pPr>
        <w:adjustRightInd w:val="0"/>
        <w:snapToGrid w:val="0"/>
        <w:jc w:val="center"/>
        <w:rPr>
          <w:rFonts w:ascii="方正小标宋_GBK" w:eastAsia="方正小标宋_GBK"/>
          <w:bCs/>
          <w:sz w:val="72"/>
          <w:szCs w:val="72"/>
        </w:rPr>
      </w:pPr>
      <w:bookmarkStart w:id="1" w:name="_Toc95293579"/>
      <w:bookmarkStart w:id="2" w:name="_Toc16634"/>
      <w:bookmarkStart w:id="3" w:name="_Toc104352115"/>
      <w:bookmarkStart w:id="4" w:name="_Toc135115370"/>
      <w:bookmarkStart w:id="5" w:name="_Toc147539444"/>
      <w:bookmarkStart w:id="6" w:name="_Toc13937"/>
      <w:bookmarkStart w:id="7" w:name="_Toc121378770"/>
      <w:bookmarkStart w:id="8" w:name="_Toc123889539"/>
      <w:bookmarkStart w:id="9" w:name="_Toc133553708"/>
      <w:bookmarkStart w:id="10" w:name="_Toc89059398"/>
      <w:bookmarkStart w:id="11" w:name="_Toc153736103"/>
      <w:bookmarkStart w:id="12" w:name="_Toc96962416"/>
      <w:bookmarkStart w:id="13" w:name="_Toc153731591"/>
      <w:r>
        <w:rPr>
          <w:rFonts w:hint="eastAsia" w:ascii="方正小标宋_GBK" w:eastAsia="方正小标宋_GBK"/>
          <w:bCs/>
          <w:sz w:val="72"/>
          <w:szCs w:val="72"/>
        </w:rPr>
        <w:t>建设项目环境影响报告表</w:t>
      </w:r>
      <w:bookmarkEnd w:id="1"/>
      <w:bookmarkEnd w:id="2"/>
      <w:bookmarkEnd w:id="3"/>
      <w:bookmarkEnd w:id="4"/>
      <w:bookmarkEnd w:id="5"/>
      <w:bookmarkEnd w:id="6"/>
      <w:bookmarkEnd w:id="7"/>
      <w:bookmarkEnd w:id="8"/>
      <w:bookmarkEnd w:id="9"/>
      <w:bookmarkEnd w:id="10"/>
      <w:bookmarkEnd w:id="11"/>
      <w:bookmarkEnd w:id="12"/>
      <w:bookmarkEnd w:id="13"/>
    </w:p>
    <w:p w14:paraId="65C2A55C">
      <w:pPr>
        <w:adjustRightInd w:val="0"/>
        <w:snapToGrid w:val="0"/>
        <w:spacing w:before="249" w:beforeLines="80"/>
        <w:jc w:val="center"/>
        <w:rPr>
          <w:rFonts w:ascii="楷体_GB2312" w:eastAsia="楷体_GB2312"/>
          <w:bCs/>
          <w:sz w:val="48"/>
          <w:szCs w:val="48"/>
        </w:rPr>
      </w:pPr>
      <w:r>
        <w:rPr>
          <w:rFonts w:hint="eastAsia" w:ascii="楷体_GB2312" w:eastAsia="楷体_GB2312"/>
          <w:bCs/>
          <w:sz w:val="48"/>
          <w:szCs w:val="48"/>
        </w:rPr>
        <w:t>（污染影响类）</w:t>
      </w:r>
      <w:bookmarkStart w:id="137" w:name="_GoBack"/>
      <w:bookmarkEnd w:id="137"/>
      <w:bookmarkStart w:id="14" w:name="_Hlk57883728"/>
    </w:p>
    <w:bookmarkEnd w:id="14"/>
    <w:p w14:paraId="774E94EF">
      <w:pPr>
        <w:adjustRightInd w:val="0"/>
        <w:snapToGrid w:val="0"/>
        <w:spacing w:line="288" w:lineRule="auto"/>
        <w:rPr>
          <w:rFonts w:ascii="仿宋_GB2312" w:eastAsia="仿宋_GB2312"/>
          <w:sz w:val="36"/>
          <w:szCs w:val="36"/>
        </w:rPr>
      </w:pPr>
    </w:p>
    <w:p w14:paraId="1CB47EDA">
      <w:pPr>
        <w:adjustRightInd w:val="0"/>
        <w:snapToGrid w:val="0"/>
        <w:spacing w:line="288" w:lineRule="auto"/>
        <w:rPr>
          <w:rFonts w:ascii="仿宋_GB2312" w:eastAsia="仿宋_GB2312"/>
          <w:sz w:val="36"/>
          <w:szCs w:val="36"/>
        </w:rPr>
      </w:pPr>
    </w:p>
    <w:p w14:paraId="53732592">
      <w:pPr>
        <w:adjustRightInd w:val="0"/>
        <w:snapToGrid w:val="0"/>
        <w:spacing w:line="288" w:lineRule="auto"/>
        <w:rPr>
          <w:rFonts w:ascii="仿宋_GB2312" w:eastAsia="仿宋_GB2312"/>
          <w:sz w:val="36"/>
          <w:szCs w:val="36"/>
        </w:rPr>
      </w:pPr>
    </w:p>
    <w:p w14:paraId="03752A9C">
      <w:pPr>
        <w:adjustRightInd w:val="0"/>
        <w:snapToGrid w:val="0"/>
        <w:spacing w:line="288" w:lineRule="auto"/>
        <w:rPr>
          <w:rFonts w:ascii="仿宋_GB2312" w:eastAsia="仿宋_GB2312"/>
          <w:sz w:val="36"/>
          <w:szCs w:val="36"/>
        </w:rPr>
      </w:pPr>
    </w:p>
    <w:p w14:paraId="40F04A9C">
      <w:pPr>
        <w:adjustRightInd w:val="0"/>
        <w:snapToGrid w:val="0"/>
        <w:spacing w:line="288" w:lineRule="auto"/>
        <w:rPr>
          <w:rFonts w:ascii="仿宋_GB2312" w:eastAsia="仿宋_GB2312"/>
          <w:sz w:val="36"/>
          <w:szCs w:val="36"/>
        </w:rPr>
      </w:pPr>
    </w:p>
    <w:p w14:paraId="5D6B1564">
      <w:pPr>
        <w:adjustRightInd w:val="0"/>
        <w:snapToGrid w:val="0"/>
        <w:spacing w:line="288" w:lineRule="auto"/>
        <w:rPr>
          <w:rFonts w:ascii="仿宋_GB2312" w:eastAsia="仿宋_GB2312"/>
          <w:sz w:val="36"/>
          <w:szCs w:val="36"/>
        </w:rPr>
      </w:pPr>
    </w:p>
    <w:p w14:paraId="70208B8C">
      <w:pPr>
        <w:adjustRightInd w:val="0"/>
        <w:snapToGrid w:val="0"/>
        <w:spacing w:line="288" w:lineRule="auto"/>
        <w:ind w:left="1606" w:hanging="1606" w:hangingChars="500"/>
        <w:rPr>
          <w:rFonts w:ascii="仿宋_GB2312" w:eastAsia="仿宋_GB2312"/>
          <w:sz w:val="36"/>
          <w:szCs w:val="36"/>
          <w:u w:val="single"/>
        </w:rPr>
      </w:pPr>
      <w:r>
        <w:rPr>
          <w:rFonts w:hint="eastAsia" w:hAnsi="宋体"/>
          <w:b/>
          <w:sz w:val="32"/>
          <w:szCs w:val="32"/>
        </w:rPr>
        <w:t>项目名称：</w:t>
      </w:r>
      <w:r>
        <w:rPr>
          <w:rFonts w:hint="eastAsia" w:hAnsi="宋体"/>
          <w:b/>
          <w:sz w:val="32"/>
          <w:szCs w:val="32"/>
          <w:u w:val="single"/>
        </w:rPr>
        <w:t>双牌县茶林镇中心卫生院改扩建项目</w:t>
      </w:r>
    </w:p>
    <w:p w14:paraId="2B965B1E">
      <w:pPr>
        <w:adjustRightInd w:val="0"/>
        <w:snapToGrid w:val="0"/>
        <w:spacing w:line="288" w:lineRule="auto"/>
        <w:rPr>
          <w:rFonts w:hint="eastAsia" w:hAnsi="宋体"/>
          <w:b/>
          <w:sz w:val="32"/>
          <w:szCs w:val="32"/>
          <w:u w:val="single"/>
        </w:rPr>
      </w:pPr>
      <w:r>
        <w:rPr>
          <w:rFonts w:hint="eastAsia" w:hAnsi="宋体"/>
          <w:b/>
          <w:sz w:val="32"/>
          <w:szCs w:val="32"/>
        </w:rPr>
        <w:t>建设单位（盖章）：</w:t>
      </w:r>
      <w:r>
        <w:rPr>
          <w:rFonts w:hint="eastAsia" w:hAnsi="宋体"/>
          <w:b/>
          <w:sz w:val="32"/>
          <w:szCs w:val="32"/>
          <w:u w:val="single"/>
        </w:rPr>
        <w:t>双牌县茶林镇中心卫生院</w:t>
      </w:r>
    </w:p>
    <w:p w14:paraId="42325F0C">
      <w:pPr>
        <w:adjustRightInd w:val="0"/>
        <w:snapToGrid w:val="0"/>
        <w:spacing w:line="288" w:lineRule="auto"/>
        <w:rPr>
          <w:rFonts w:ascii="仿宋_GB2312" w:eastAsia="仿宋_GB2312"/>
          <w:sz w:val="36"/>
          <w:szCs w:val="36"/>
          <w:u w:val="single"/>
        </w:rPr>
      </w:pPr>
      <w:r>
        <w:rPr>
          <w:rFonts w:hint="eastAsia" w:hAnsi="宋体"/>
          <w:b/>
          <w:sz w:val="32"/>
          <w:szCs w:val="32"/>
        </w:rPr>
        <w:t xml:space="preserve">编制日期： </w:t>
      </w:r>
      <w:r>
        <w:rPr>
          <w:rFonts w:hint="eastAsia" w:ascii="仿宋_GB2312" w:eastAsia="仿宋_GB2312"/>
          <w:sz w:val="36"/>
          <w:szCs w:val="36"/>
        </w:rPr>
        <w:t xml:space="preserve"> </w:t>
      </w:r>
      <w:r>
        <w:rPr>
          <w:sz w:val="36"/>
          <w:szCs w:val="36"/>
          <w:u w:val="single"/>
        </w:rPr>
        <w:t>2025年</w:t>
      </w:r>
      <w:r>
        <w:rPr>
          <w:rFonts w:hint="eastAsia"/>
          <w:sz w:val="36"/>
          <w:szCs w:val="36"/>
          <w:u w:val="single"/>
          <w:lang w:val="en-US" w:eastAsia="zh-CN"/>
        </w:rPr>
        <w:t>5</w:t>
      </w:r>
      <w:r>
        <w:rPr>
          <w:sz w:val="36"/>
          <w:szCs w:val="36"/>
          <w:u w:val="single"/>
        </w:rPr>
        <w:t>月</w:t>
      </w:r>
      <w:r>
        <w:rPr>
          <w:rFonts w:ascii="仿宋_GB2312" w:eastAsia="仿宋_GB2312"/>
          <w:sz w:val="36"/>
          <w:szCs w:val="36"/>
        </w:rPr>
        <w:t xml:space="preserve"> </w:t>
      </w:r>
      <w:r>
        <w:rPr>
          <w:rFonts w:hint="eastAsia" w:ascii="仿宋_GB2312" w:eastAsia="仿宋_GB2312"/>
          <w:sz w:val="36"/>
          <w:szCs w:val="36"/>
        </w:rPr>
        <w:t xml:space="preserve"> </w:t>
      </w:r>
    </w:p>
    <w:p w14:paraId="21751E56">
      <w:pPr>
        <w:adjustRightInd w:val="0"/>
        <w:snapToGrid w:val="0"/>
        <w:spacing w:line="288" w:lineRule="auto"/>
        <w:ind w:firstLine="1040"/>
        <w:rPr>
          <w:rFonts w:ascii="仿宋_GB2312" w:eastAsia="仿宋_GB2312"/>
          <w:sz w:val="36"/>
          <w:szCs w:val="36"/>
          <w:u w:val="single"/>
        </w:rPr>
      </w:pPr>
    </w:p>
    <w:p w14:paraId="25198DF4">
      <w:pPr>
        <w:adjustRightInd w:val="0"/>
        <w:snapToGrid w:val="0"/>
        <w:spacing w:line="288" w:lineRule="auto"/>
        <w:ind w:firstLine="1040"/>
        <w:rPr>
          <w:rFonts w:ascii="仿宋_GB2312" w:eastAsia="仿宋_GB2312"/>
          <w:sz w:val="36"/>
          <w:szCs w:val="36"/>
        </w:rPr>
      </w:pPr>
    </w:p>
    <w:p w14:paraId="606792C5">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00767433">
      <w:pPr>
        <w:sectPr>
          <w:pgSz w:w="11906" w:h="16838"/>
          <w:pgMar w:top="1440" w:right="1440" w:bottom="1440" w:left="1440" w:header="851" w:footer="992" w:gutter="0"/>
          <w:cols w:space="425" w:num="1"/>
          <w:docGrid w:type="lines" w:linePitch="312" w:charSpace="0"/>
        </w:sectPr>
      </w:pPr>
    </w:p>
    <w:p w14:paraId="1265C6F7">
      <w:pPr>
        <w:jc w:val="center"/>
        <w:rPr>
          <w:sz w:val="52"/>
          <w:szCs w:val="52"/>
        </w:rPr>
      </w:pPr>
      <w:r>
        <w:rPr>
          <w:rFonts w:hint="eastAsia"/>
          <w:sz w:val="52"/>
          <w:szCs w:val="52"/>
        </w:rPr>
        <w:t>目录</w:t>
      </w:r>
    </w:p>
    <w:p w14:paraId="31071D2B">
      <w:pPr>
        <w:pStyle w:val="4"/>
        <w:tabs>
          <w:tab w:val="right" w:leader="dot" w:pos="9016"/>
        </w:tabs>
        <w:rPr>
          <w:rFonts w:hint="eastAsia"/>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"_Toc199260717" </w:instrText>
      </w:r>
      <w:r>
        <w:fldChar w:fldCharType="separate"/>
      </w:r>
      <w:r>
        <w:rPr>
          <w:rStyle w:val="9"/>
          <w:rFonts w:hint="eastAsia"/>
          <w:kern w:val="44"/>
        </w:rPr>
        <w:t>一、建设项目基本情况</w:t>
      </w:r>
      <w:r>
        <w:rPr>
          <w:rFonts w:hint="eastAsia"/>
        </w:rPr>
        <w:tab/>
      </w:r>
      <w:r>
        <w:rPr>
          <w:rFonts w:hint="eastAsia"/>
        </w:rPr>
        <w:fldChar w:fldCharType="begin"/>
      </w:r>
      <w:r>
        <w:rPr>
          <w:rFonts w:hint="eastAsia"/>
        </w:rPr>
        <w:instrText xml:space="preserve"> </w:instrText>
      </w:r>
      <w:r>
        <w:instrText xml:space="preserve">PAGEREF _Toc199260717 \h</w:instrText>
      </w:r>
      <w:r>
        <w:rPr>
          <w:rFonts w:hint="eastAsia"/>
        </w:rPr>
        <w:instrText xml:space="preserve"> </w:instrText>
      </w:r>
      <w:r>
        <w:fldChar w:fldCharType="separate"/>
      </w:r>
      <w:r>
        <w:t>- 1 -</w:t>
      </w:r>
      <w:r>
        <w:rPr>
          <w:rFonts w:hint="eastAsia"/>
        </w:rPr>
        <w:fldChar w:fldCharType="end"/>
      </w:r>
      <w:r>
        <w:rPr>
          <w:rFonts w:hint="eastAsia"/>
        </w:rPr>
        <w:fldChar w:fldCharType="end"/>
      </w:r>
    </w:p>
    <w:p w14:paraId="78F6CD44">
      <w:pPr>
        <w:pStyle w:val="4"/>
        <w:tabs>
          <w:tab w:val="right" w:leader="dot" w:pos="9016"/>
        </w:tabs>
        <w:rPr>
          <w:rFonts w:hint="eastAsia"/>
        </w:rPr>
      </w:pPr>
      <w:r>
        <w:fldChar w:fldCharType="begin"/>
      </w:r>
      <w:r>
        <w:instrText xml:space="preserve"> HYPERLINK \l "_Toc199260718" </w:instrText>
      </w:r>
      <w:r>
        <w:fldChar w:fldCharType="separate"/>
      </w:r>
      <w:r>
        <w:rPr>
          <w:rStyle w:val="9"/>
          <w:rFonts w:hint="eastAsia"/>
          <w:kern w:val="44"/>
        </w:rPr>
        <w:t>二、建设项目工程分析</w:t>
      </w:r>
      <w:r>
        <w:rPr>
          <w:rFonts w:hint="eastAsia"/>
        </w:rPr>
        <w:tab/>
      </w:r>
      <w:r>
        <w:rPr>
          <w:rFonts w:hint="eastAsia"/>
        </w:rPr>
        <w:fldChar w:fldCharType="begin"/>
      </w:r>
      <w:r>
        <w:rPr>
          <w:rFonts w:hint="eastAsia"/>
        </w:rPr>
        <w:instrText xml:space="preserve"> </w:instrText>
      </w:r>
      <w:r>
        <w:instrText xml:space="preserve">PAGEREF _Toc199260718 \h</w:instrText>
      </w:r>
      <w:r>
        <w:rPr>
          <w:rFonts w:hint="eastAsia"/>
        </w:rPr>
        <w:instrText xml:space="preserve"> </w:instrText>
      </w:r>
      <w:r>
        <w:fldChar w:fldCharType="separate"/>
      </w:r>
      <w:r>
        <w:t>- 6 -</w:t>
      </w:r>
      <w:r>
        <w:rPr>
          <w:rFonts w:hint="eastAsia"/>
        </w:rPr>
        <w:fldChar w:fldCharType="end"/>
      </w:r>
      <w:r>
        <w:rPr>
          <w:rFonts w:hint="eastAsia"/>
        </w:rPr>
        <w:fldChar w:fldCharType="end"/>
      </w:r>
    </w:p>
    <w:p w14:paraId="2F2D90F5">
      <w:pPr>
        <w:pStyle w:val="4"/>
        <w:tabs>
          <w:tab w:val="right" w:leader="dot" w:pos="9016"/>
        </w:tabs>
        <w:rPr>
          <w:rFonts w:hint="eastAsia"/>
        </w:rPr>
      </w:pPr>
      <w:r>
        <w:fldChar w:fldCharType="begin"/>
      </w:r>
      <w:r>
        <w:instrText xml:space="preserve"> HYPERLINK \l "_Toc199260719" </w:instrText>
      </w:r>
      <w:r>
        <w:fldChar w:fldCharType="separate"/>
      </w:r>
      <w:r>
        <w:rPr>
          <w:rStyle w:val="9"/>
          <w:rFonts w:hint="eastAsia" w:ascii="宋体" w:hAnsi="宋体"/>
          <w:kern w:val="44"/>
        </w:rPr>
        <w:t>三、区域环境质量现状、环境保护目标及评价标准</w:t>
      </w:r>
      <w:r>
        <w:rPr>
          <w:rFonts w:hint="eastAsia"/>
        </w:rPr>
        <w:tab/>
      </w:r>
      <w:r>
        <w:rPr>
          <w:rFonts w:hint="eastAsia"/>
        </w:rPr>
        <w:fldChar w:fldCharType="begin"/>
      </w:r>
      <w:r>
        <w:rPr>
          <w:rFonts w:hint="eastAsia"/>
        </w:rPr>
        <w:instrText xml:space="preserve"> </w:instrText>
      </w:r>
      <w:r>
        <w:instrText xml:space="preserve">PAGEREF _Toc199260719 \h</w:instrText>
      </w:r>
      <w:r>
        <w:rPr>
          <w:rFonts w:hint="eastAsia"/>
        </w:rPr>
        <w:instrText xml:space="preserve"> </w:instrText>
      </w:r>
      <w:r>
        <w:fldChar w:fldCharType="separate"/>
      </w:r>
      <w:r>
        <w:t>- 17 -</w:t>
      </w:r>
      <w:r>
        <w:rPr>
          <w:rFonts w:hint="eastAsia"/>
        </w:rPr>
        <w:fldChar w:fldCharType="end"/>
      </w:r>
      <w:r>
        <w:rPr>
          <w:rFonts w:hint="eastAsia"/>
        </w:rPr>
        <w:fldChar w:fldCharType="end"/>
      </w:r>
    </w:p>
    <w:p w14:paraId="021EC62C">
      <w:pPr>
        <w:pStyle w:val="4"/>
        <w:tabs>
          <w:tab w:val="right" w:leader="dot" w:pos="9016"/>
        </w:tabs>
        <w:rPr>
          <w:rFonts w:hint="eastAsia"/>
        </w:rPr>
      </w:pPr>
      <w:r>
        <w:fldChar w:fldCharType="begin"/>
      </w:r>
      <w:r>
        <w:instrText xml:space="preserve"> HYPERLINK \l "_Toc199260720" </w:instrText>
      </w:r>
      <w:r>
        <w:fldChar w:fldCharType="separate"/>
      </w:r>
      <w:r>
        <w:rPr>
          <w:rStyle w:val="9"/>
          <w:rFonts w:hint="eastAsia"/>
          <w:kern w:val="44"/>
        </w:rPr>
        <w:t>四、主要环境影响和保护措施</w:t>
      </w:r>
      <w:r>
        <w:rPr>
          <w:rFonts w:hint="eastAsia"/>
        </w:rPr>
        <w:tab/>
      </w:r>
      <w:r>
        <w:rPr>
          <w:rFonts w:hint="eastAsia"/>
        </w:rPr>
        <w:fldChar w:fldCharType="begin"/>
      </w:r>
      <w:r>
        <w:rPr>
          <w:rFonts w:hint="eastAsia"/>
        </w:rPr>
        <w:instrText xml:space="preserve"> </w:instrText>
      </w:r>
      <w:r>
        <w:instrText xml:space="preserve">PAGEREF _Toc199260720 \h</w:instrText>
      </w:r>
      <w:r>
        <w:rPr>
          <w:rFonts w:hint="eastAsia"/>
        </w:rPr>
        <w:instrText xml:space="preserve"> </w:instrText>
      </w:r>
      <w:r>
        <w:fldChar w:fldCharType="separate"/>
      </w:r>
      <w:r>
        <w:t>- 22 -</w:t>
      </w:r>
      <w:r>
        <w:rPr>
          <w:rFonts w:hint="eastAsia"/>
        </w:rPr>
        <w:fldChar w:fldCharType="end"/>
      </w:r>
      <w:r>
        <w:rPr>
          <w:rFonts w:hint="eastAsia"/>
        </w:rPr>
        <w:fldChar w:fldCharType="end"/>
      </w:r>
    </w:p>
    <w:p w14:paraId="71A53E2E">
      <w:pPr>
        <w:pStyle w:val="4"/>
        <w:tabs>
          <w:tab w:val="right" w:leader="dot" w:pos="9016"/>
        </w:tabs>
        <w:rPr>
          <w:rFonts w:hint="eastAsia"/>
        </w:rPr>
      </w:pPr>
      <w:r>
        <w:fldChar w:fldCharType="begin"/>
      </w:r>
      <w:r>
        <w:instrText xml:space="preserve"> HYPERLINK \l "_Toc199260721" </w:instrText>
      </w:r>
      <w:r>
        <w:fldChar w:fldCharType="separate"/>
      </w:r>
      <w:r>
        <w:rPr>
          <w:rStyle w:val="9"/>
          <w:rFonts w:hint="eastAsia"/>
          <w:kern w:val="44"/>
        </w:rPr>
        <w:t>五、环境保护措施监督检查清单</w:t>
      </w:r>
      <w:r>
        <w:rPr>
          <w:rFonts w:hint="eastAsia"/>
        </w:rPr>
        <w:tab/>
      </w:r>
      <w:r>
        <w:rPr>
          <w:rFonts w:hint="eastAsia"/>
        </w:rPr>
        <w:fldChar w:fldCharType="begin"/>
      </w:r>
      <w:r>
        <w:rPr>
          <w:rFonts w:hint="eastAsia"/>
        </w:rPr>
        <w:instrText xml:space="preserve"> </w:instrText>
      </w:r>
      <w:r>
        <w:instrText xml:space="preserve">PAGEREF _Toc199260721 \h</w:instrText>
      </w:r>
      <w:r>
        <w:rPr>
          <w:rFonts w:hint="eastAsia"/>
        </w:rPr>
        <w:instrText xml:space="preserve"> </w:instrText>
      </w:r>
      <w:r>
        <w:fldChar w:fldCharType="separate"/>
      </w:r>
      <w:r>
        <w:t>- 43 -</w:t>
      </w:r>
      <w:r>
        <w:rPr>
          <w:rFonts w:hint="eastAsia"/>
        </w:rPr>
        <w:fldChar w:fldCharType="end"/>
      </w:r>
      <w:r>
        <w:rPr>
          <w:rFonts w:hint="eastAsia"/>
        </w:rPr>
        <w:fldChar w:fldCharType="end"/>
      </w:r>
    </w:p>
    <w:p w14:paraId="6B4F4D64">
      <w:pPr>
        <w:pStyle w:val="4"/>
        <w:tabs>
          <w:tab w:val="right" w:leader="dot" w:pos="9016"/>
        </w:tabs>
        <w:rPr>
          <w:rFonts w:hint="eastAsia"/>
        </w:rPr>
      </w:pPr>
      <w:r>
        <w:fldChar w:fldCharType="begin"/>
      </w:r>
      <w:r>
        <w:instrText xml:space="preserve"> HYPERLINK \l "_Toc199260722" </w:instrText>
      </w:r>
      <w:r>
        <w:fldChar w:fldCharType="separate"/>
      </w:r>
      <w:r>
        <w:rPr>
          <w:rStyle w:val="9"/>
          <w:rFonts w:hint="eastAsia"/>
          <w:kern w:val="44"/>
        </w:rPr>
        <w:t>六、结论</w:t>
      </w:r>
      <w:r>
        <w:rPr>
          <w:rFonts w:hint="eastAsia"/>
        </w:rPr>
        <w:tab/>
      </w:r>
      <w:r>
        <w:rPr>
          <w:rFonts w:hint="eastAsia"/>
        </w:rPr>
        <w:fldChar w:fldCharType="begin"/>
      </w:r>
      <w:r>
        <w:rPr>
          <w:rFonts w:hint="eastAsia"/>
        </w:rPr>
        <w:instrText xml:space="preserve"> </w:instrText>
      </w:r>
      <w:r>
        <w:instrText xml:space="preserve">PAGEREF _Toc199260722 \h</w:instrText>
      </w:r>
      <w:r>
        <w:rPr>
          <w:rFonts w:hint="eastAsia"/>
        </w:rPr>
        <w:instrText xml:space="preserve"> </w:instrText>
      </w:r>
      <w:r>
        <w:fldChar w:fldCharType="separate"/>
      </w:r>
      <w:r>
        <w:t>- 45 -</w:t>
      </w:r>
      <w:r>
        <w:rPr>
          <w:rFonts w:hint="eastAsia"/>
        </w:rPr>
        <w:fldChar w:fldCharType="end"/>
      </w:r>
      <w:r>
        <w:rPr>
          <w:rFonts w:hint="eastAsia"/>
        </w:rPr>
        <w:fldChar w:fldCharType="end"/>
      </w:r>
    </w:p>
    <w:p w14:paraId="5C58EEA3">
      <w:pPr>
        <w:pStyle w:val="4"/>
        <w:tabs>
          <w:tab w:val="right" w:leader="dot" w:pos="9016"/>
        </w:tabs>
        <w:rPr>
          <w:rFonts w:hint="eastAsia"/>
        </w:rPr>
      </w:pPr>
      <w:r>
        <w:fldChar w:fldCharType="begin"/>
      </w:r>
      <w:r>
        <w:instrText xml:space="preserve"> HYPERLINK \l "_Toc199260723" </w:instrText>
      </w:r>
      <w:r>
        <w:fldChar w:fldCharType="separate"/>
      </w:r>
      <w:r>
        <w:rPr>
          <w:rStyle w:val="9"/>
          <w:rFonts w:hint="eastAsia" w:ascii="黑体" w:hAnsi="黑体" w:eastAsia="黑体"/>
          <w:snapToGrid w:val="0"/>
          <w:kern w:val="0"/>
        </w:rPr>
        <w:t>附表</w:t>
      </w:r>
      <w:r>
        <w:rPr>
          <w:rFonts w:hint="eastAsia"/>
        </w:rPr>
        <w:tab/>
      </w:r>
      <w:r>
        <w:rPr>
          <w:rFonts w:hint="eastAsia"/>
        </w:rPr>
        <w:fldChar w:fldCharType="begin"/>
      </w:r>
      <w:r>
        <w:rPr>
          <w:rFonts w:hint="eastAsia"/>
        </w:rPr>
        <w:instrText xml:space="preserve"> </w:instrText>
      </w:r>
      <w:r>
        <w:instrText xml:space="preserve">PAGEREF _Toc199260723 \h</w:instrText>
      </w:r>
      <w:r>
        <w:rPr>
          <w:rFonts w:hint="eastAsia"/>
        </w:rPr>
        <w:instrText xml:space="preserve"> </w:instrText>
      </w:r>
      <w:r>
        <w:fldChar w:fldCharType="separate"/>
      </w:r>
      <w:r>
        <w:t>- 46 -</w:t>
      </w:r>
      <w:r>
        <w:rPr>
          <w:rFonts w:hint="eastAsia"/>
        </w:rPr>
        <w:fldChar w:fldCharType="end"/>
      </w:r>
      <w:r>
        <w:rPr>
          <w:rFonts w:hint="eastAsia"/>
        </w:rPr>
        <w:fldChar w:fldCharType="end"/>
      </w:r>
    </w:p>
    <w:p w14:paraId="5AC7C00D">
      <w:pPr>
        <w:pStyle w:val="5"/>
        <w:tabs>
          <w:tab w:val="right" w:leader="dot" w:pos="9016"/>
        </w:tabs>
        <w:ind w:left="480"/>
        <w:rPr>
          <w:rFonts w:hint="eastAsia"/>
        </w:rPr>
      </w:pPr>
      <w:r>
        <w:fldChar w:fldCharType="begin"/>
      </w:r>
      <w:r>
        <w:instrText xml:space="preserve"> HYPERLINK \l "_Toc199260724" </w:instrText>
      </w:r>
      <w:r>
        <w:fldChar w:fldCharType="separate"/>
      </w:r>
      <w:r>
        <w:rPr>
          <w:rStyle w:val="9"/>
          <w:rFonts w:hint="eastAsia"/>
        </w:rPr>
        <w:t>附件1 项目委托书</w:t>
      </w:r>
      <w:r>
        <w:rPr>
          <w:rFonts w:hint="eastAsia"/>
        </w:rPr>
        <w:tab/>
      </w:r>
      <w:r>
        <w:rPr>
          <w:rFonts w:hint="eastAsia"/>
        </w:rPr>
        <w:fldChar w:fldCharType="begin"/>
      </w:r>
      <w:r>
        <w:rPr>
          <w:rFonts w:hint="eastAsia"/>
        </w:rPr>
        <w:instrText xml:space="preserve"> </w:instrText>
      </w:r>
      <w:r>
        <w:instrText xml:space="preserve">PAGEREF _Toc199260724 \h</w:instrText>
      </w:r>
      <w:r>
        <w:rPr>
          <w:rFonts w:hint="eastAsia"/>
        </w:rPr>
        <w:instrText xml:space="preserve"> </w:instrText>
      </w:r>
      <w:r>
        <w:fldChar w:fldCharType="separate"/>
      </w:r>
      <w:r>
        <w:t>- 47 -</w:t>
      </w:r>
      <w:r>
        <w:rPr>
          <w:rFonts w:hint="eastAsia"/>
        </w:rPr>
        <w:fldChar w:fldCharType="end"/>
      </w:r>
      <w:r>
        <w:rPr>
          <w:rFonts w:hint="eastAsia"/>
        </w:rPr>
        <w:fldChar w:fldCharType="end"/>
      </w:r>
    </w:p>
    <w:p w14:paraId="3C1F8E96">
      <w:pPr>
        <w:pStyle w:val="5"/>
        <w:tabs>
          <w:tab w:val="right" w:leader="dot" w:pos="9016"/>
        </w:tabs>
        <w:ind w:left="480"/>
        <w:rPr>
          <w:rFonts w:hint="eastAsia"/>
        </w:rPr>
      </w:pPr>
      <w:r>
        <w:fldChar w:fldCharType="begin"/>
      </w:r>
      <w:r>
        <w:instrText xml:space="preserve"> HYPERLINK \l "_Toc199260725" </w:instrText>
      </w:r>
      <w:r>
        <w:fldChar w:fldCharType="separate"/>
      </w:r>
      <w:r>
        <w:rPr>
          <w:rStyle w:val="9"/>
          <w:rFonts w:hint="eastAsia"/>
        </w:rPr>
        <w:t>附件2 项目情况说明</w:t>
      </w:r>
      <w:r>
        <w:rPr>
          <w:rFonts w:hint="eastAsia"/>
        </w:rPr>
        <w:tab/>
      </w:r>
      <w:r>
        <w:rPr>
          <w:rFonts w:hint="eastAsia"/>
        </w:rPr>
        <w:fldChar w:fldCharType="begin"/>
      </w:r>
      <w:r>
        <w:rPr>
          <w:rFonts w:hint="eastAsia"/>
        </w:rPr>
        <w:instrText xml:space="preserve"> </w:instrText>
      </w:r>
      <w:r>
        <w:instrText xml:space="preserve">PAGEREF _Toc199260725 \h</w:instrText>
      </w:r>
      <w:r>
        <w:rPr>
          <w:rFonts w:hint="eastAsia"/>
        </w:rPr>
        <w:instrText xml:space="preserve"> </w:instrText>
      </w:r>
      <w:r>
        <w:fldChar w:fldCharType="separate"/>
      </w:r>
      <w:r>
        <w:t>- 48 -</w:t>
      </w:r>
      <w:r>
        <w:rPr>
          <w:rFonts w:hint="eastAsia"/>
        </w:rPr>
        <w:fldChar w:fldCharType="end"/>
      </w:r>
      <w:r>
        <w:rPr>
          <w:rFonts w:hint="eastAsia"/>
        </w:rPr>
        <w:fldChar w:fldCharType="end"/>
      </w:r>
    </w:p>
    <w:p w14:paraId="21ADDE7F">
      <w:pPr>
        <w:pStyle w:val="5"/>
        <w:tabs>
          <w:tab w:val="right" w:leader="dot" w:pos="9016"/>
        </w:tabs>
        <w:ind w:left="480"/>
        <w:rPr>
          <w:rFonts w:hint="eastAsia"/>
        </w:rPr>
      </w:pPr>
      <w:r>
        <w:fldChar w:fldCharType="begin"/>
      </w:r>
      <w:r>
        <w:instrText xml:space="preserve"> HYPERLINK \l "_Toc199260726" </w:instrText>
      </w:r>
      <w:r>
        <w:fldChar w:fldCharType="separate"/>
      </w:r>
      <w:r>
        <w:rPr>
          <w:rStyle w:val="9"/>
          <w:rFonts w:hint="eastAsia"/>
        </w:rPr>
        <w:t>附件3 医院营业执照</w:t>
      </w:r>
      <w:r>
        <w:rPr>
          <w:rFonts w:hint="eastAsia"/>
        </w:rPr>
        <w:tab/>
      </w:r>
      <w:r>
        <w:rPr>
          <w:rFonts w:hint="eastAsia"/>
        </w:rPr>
        <w:fldChar w:fldCharType="begin"/>
      </w:r>
      <w:r>
        <w:rPr>
          <w:rFonts w:hint="eastAsia"/>
        </w:rPr>
        <w:instrText xml:space="preserve"> </w:instrText>
      </w:r>
      <w:r>
        <w:instrText xml:space="preserve">PAGEREF _Toc199260726 \h</w:instrText>
      </w:r>
      <w:r>
        <w:rPr>
          <w:rFonts w:hint="eastAsia"/>
        </w:rPr>
        <w:instrText xml:space="preserve"> </w:instrText>
      </w:r>
      <w:r>
        <w:fldChar w:fldCharType="separate"/>
      </w:r>
      <w:r>
        <w:t>- 49 -</w:t>
      </w:r>
      <w:r>
        <w:rPr>
          <w:rFonts w:hint="eastAsia"/>
        </w:rPr>
        <w:fldChar w:fldCharType="end"/>
      </w:r>
      <w:r>
        <w:rPr>
          <w:rFonts w:hint="eastAsia"/>
        </w:rPr>
        <w:fldChar w:fldCharType="end"/>
      </w:r>
    </w:p>
    <w:p w14:paraId="263D64FC">
      <w:pPr>
        <w:pStyle w:val="5"/>
        <w:tabs>
          <w:tab w:val="right" w:leader="dot" w:pos="9016"/>
        </w:tabs>
        <w:ind w:left="480"/>
        <w:rPr>
          <w:rFonts w:hint="eastAsia"/>
        </w:rPr>
      </w:pPr>
      <w:r>
        <w:fldChar w:fldCharType="begin"/>
      </w:r>
      <w:r>
        <w:instrText xml:space="preserve"> HYPERLINK \l "_Toc199260727" </w:instrText>
      </w:r>
      <w:r>
        <w:fldChar w:fldCharType="separate"/>
      </w:r>
      <w:r>
        <w:rPr>
          <w:rStyle w:val="9"/>
          <w:rFonts w:hint="eastAsia"/>
        </w:rPr>
        <w:t>附件4 医疗机构核准文件</w:t>
      </w:r>
      <w:r>
        <w:rPr>
          <w:rFonts w:hint="eastAsia"/>
        </w:rPr>
        <w:tab/>
      </w:r>
      <w:r>
        <w:rPr>
          <w:rFonts w:hint="eastAsia"/>
        </w:rPr>
        <w:fldChar w:fldCharType="begin"/>
      </w:r>
      <w:r>
        <w:rPr>
          <w:rFonts w:hint="eastAsia"/>
        </w:rPr>
        <w:instrText xml:space="preserve"> </w:instrText>
      </w:r>
      <w:r>
        <w:instrText xml:space="preserve">PAGEREF _Toc199260727 \h</w:instrText>
      </w:r>
      <w:r>
        <w:rPr>
          <w:rFonts w:hint="eastAsia"/>
        </w:rPr>
        <w:instrText xml:space="preserve"> </w:instrText>
      </w:r>
      <w:r>
        <w:fldChar w:fldCharType="separate"/>
      </w:r>
      <w:r>
        <w:t>- 50 -</w:t>
      </w:r>
      <w:r>
        <w:rPr>
          <w:rFonts w:hint="eastAsia"/>
        </w:rPr>
        <w:fldChar w:fldCharType="end"/>
      </w:r>
      <w:r>
        <w:rPr>
          <w:rFonts w:hint="eastAsia"/>
        </w:rPr>
        <w:fldChar w:fldCharType="end"/>
      </w:r>
    </w:p>
    <w:p w14:paraId="1C57EFE4">
      <w:pPr>
        <w:pStyle w:val="5"/>
        <w:tabs>
          <w:tab w:val="right" w:leader="dot" w:pos="9016"/>
        </w:tabs>
        <w:ind w:left="480"/>
        <w:rPr>
          <w:rFonts w:hint="eastAsia"/>
        </w:rPr>
      </w:pPr>
      <w:r>
        <w:fldChar w:fldCharType="begin"/>
      </w:r>
      <w:r>
        <w:instrText xml:space="preserve"> HYPERLINK \l "_Toc199260728" </w:instrText>
      </w:r>
      <w:r>
        <w:fldChar w:fldCharType="separate"/>
      </w:r>
      <w:r>
        <w:rPr>
          <w:rStyle w:val="9"/>
          <w:rFonts w:hint="eastAsia"/>
        </w:rPr>
        <w:t>附件5 监测报告</w:t>
      </w:r>
      <w:r>
        <w:rPr>
          <w:rFonts w:hint="eastAsia"/>
        </w:rPr>
        <w:tab/>
      </w:r>
      <w:r>
        <w:rPr>
          <w:rFonts w:hint="eastAsia"/>
        </w:rPr>
        <w:fldChar w:fldCharType="begin"/>
      </w:r>
      <w:r>
        <w:rPr>
          <w:rFonts w:hint="eastAsia"/>
        </w:rPr>
        <w:instrText xml:space="preserve"> </w:instrText>
      </w:r>
      <w:r>
        <w:instrText xml:space="preserve">PAGEREF _Toc199260728 \h</w:instrText>
      </w:r>
      <w:r>
        <w:rPr>
          <w:rFonts w:hint="eastAsia"/>
        </w:rPr>
        <w:instrText xml:space="preserve"> </w:instrText>
      </w:r>
      <w:r>
        <w:fldChar w:fldCharType="separate"/>
      </w:r>
      <w:r>
        <w:t>- 51 -</w:t>
      </w:r>
      <w:r>
        <w:rPr>
          <w:rFonts w:hint="eastAsia"/>
        </w:rPr>
        <w:fldChar w:fldCharType="end"/>
      </w:r>
      <w:r>
        <w:rPr>
          <w:rFonts w:hint="eastAsia"/>
        </w:rPr>
        <w:fldChar w:fldCharType="end"/>
      </w:r>
    </w:p>
    <w:p w14:paraId="749AB738">
      <w:pPr>
        <w:pStyle w:val="5"/>
        <w:tabs>
          <w:tab w:val="right" w:leader="dot" w:pos="9016"/>
        </w:tabs>
        <w:ind w:left="480"/>
        <w:rPr>
          <w:rFonts w:hint="eastAsia"/>
        </w:rPr>
      </w:pPr>
      <w:r>
        <w:fldChar w:fldCharType="begin"/>
      </w:r>
      <w:r>
        <w:instrText xml:space="preserve"> HYPERLINK \l "_Toc199260729" </w:instrText>
      </w:r>
      <w:r>
        <w:fldChar w:fldCharType="separate"/>
      </w:r>
      <w:r>
        <w:rPr>
          <w:rStyle w:val="9"/>
          <w:rFonts w:hint="eastAsia"/>
        </w:rPr>
        <w:t>附件6 关于印发《永州市一级医疗机构污水处理问题排查整治工作实施方案》的通知</w:t>
      </w:r>
      <w:r>
        <w:rPr>
          <w:rFonts w:hint="eastAsia"/>
        </w:rPr>
        <w:tab/>
      </w:r>
      <w:r>
        <w:rPr>
          <w:rFonts w:hint="eastAsia"/>
        </w:rPr>
        <w:fldChar w:fldCharType="begin"/>
      </w:r>
      <w:r>
        <w:rPr>
          <w:rFonts w:hint="eastAsia"/>
        </w:rPr>
        <w:instrText xml:space="preserve"> </w:instrText>
      </w:r>
      <w:r>
        <w:instrText xml:space="preserve">PAGEREF _Toc199260729 \h</w:instrText>
      </w:r>
      <w:r>
        <w:rPr>
          <w:rFonts w:hint="eastAsia"/>
        </w:rPr>
        <w:instrText xml:space="preserve"> </w:instrText>
      </w:r>
      <w:r>
        <w:fldChar w:fldCharType="separate"/>
      </w:r>
      <w:r>
        <w:t>- 57 -</w:t>
      </w:r>
      <w:r>
        <w:rPr>
          <w:rFonts w:hint="eastAsia"/>
        </w:rPr>
        <w:fldChar w:fldCharType="end"/>
      </w:r>
      <w:r>
        <w:rPr>
          <w:rFonts w:hint="eastAsia"/>
        </w:rPr>
        <w:fldChar w:fldCharType="end"/>
      </w:r>
    </w:p>
    <w:p w14:paraId="6E73E4CA">
      <w:pPr>
        <w:pStyle w:val="5"/>
        <w:tabs>
          <w:tab w:val="right" w:leader="dot" w:pos="9016"/>
        </w:tabs>
        <w:ind w:left="480"/>
        <w:rPr>
          <w:rFonts w:hint="eastAsia"/>
        </w:rPr>
      </w:pPr>
      <w:r>
        <w:fldChar w:fldCharType="begin"/>
      </w:r>
      <w:r>
        <w:instrText xml:space="preserve"> HYPERLINK \l "_Toc199260730" </w:instrText>
      </w:r>
      <w:r>
        <w:fldChar w:fldCharType="separate"/>
      </w:r>
      <w:r>
        <w:rPr>
          <w:rStyle w:val="9"/>
          <w:rFonts w:hint="eastAsia"/>
        </w:rPr>
        <w:t>附件7 专家审核意见</w:t>
      </w:r>
      <w:r>
        <w:rPr>
          <w:rFonts w:hint="eastAsia"/>
        </w:rPr>
        <w:tab/>
      </w:r>
      <w:r>
        <w:rPr>
          <w:rFonts w:hint="eastAsia"/>
        </w:rPr>
        <w:fldChar w:fldCharType="begin"/>
      </w:r>
      <w:r>
        <w:rPr>
          <w:rFonts w:hint="eastAsia"/>
        </w:rPr>
        <w:instrText xml:space="preserve"> </w:instrText>
      </w:r>
      <w:r>
        <w:instrText xml:space="preserve">PAGEREF _Toc199260730 \h</w:instrText>
      </w:r>
      <w:r>
        <w:rPr>
          <w:rFonts w:hint="eastAsia"/>
        </w:rPr>
        <w:instrText xml:space="preserve"> </w:instrText>
      </w:r>
      <w:r>
        <w:fldChar w:fldCharType="separate"/>
      </w:r>
      <w:r>
        <w:t>- 64 -</w:t>
      </w:r>
      <w:r>
        <w:rPr>
          <w:rFonts w:hint="eastAsia"/>
        </w:rPr>
        <w:fldChar w:fldCharType="end"/>
      </w:r>
      <w:r>
        <w:rPr>
          <w:rFonts w:hint="eastAsia"/>
        </w:rPr>
        <w:fldChar w:fldCharType="end"/>
      </w:r>
    </w:p>
    <w:p w14:paraId="6F1D068D">
      <w:pPr>
        <w:pStyle w:val="5"/>
        <w:tabs>
          <w:tab w:val="right" w:leader="dot" w:pos="9016"/>
        </w:tabs>
        <w:ind w:left="480"/>
        <w:rPr>
          <w:rFonts w:hint="eastAsia"/>
        </w:rPr>
      </w:pPr>
      <w:r>
        <w:fldChar w:fldCharType="begin"/>
      </w:r>
      <w:r>
        <w:instrText xml:space="preserve"> HYPERLINK \l "_Toc199260731" </w:instrText>
      </w:r>
      <w:r>
        <w:fldChar w:fldCharType="separate"/>
      </w:r>
      <w:r>
        <w:rPr>
          <w:rStyle w:val="9"/>
          <w:rFonts w:hint="eastAsia"/>
        </w:rPr>
        <w:t>附图一 项目地理位置图</w:t>
      </w:r>
      <w:r>
        <w:rPr>
          <w:rFonts w:hint="eastAsia"/>
        </w:rPr>
        <w:tab/>
      </w:r>
      <w:r>
        <w:rPr>
          <w:rFonts w:hint="eastAsia"/>
        </w:rPr>
        <w:fldChar w:fldCharType="begin"/>
      </w:r>
      <w:r>
        <w:rPr>
          <w:rFonts w:hint="eastAsia"/>
        </w:rPr>
        <w:instrText xml:space="preserve"> </w:instrText>
      </w:r>
      <w:r>
        <w:instrText xml:space="preserve">PAGEREF _Toc199260731 \h</w:instrText>
      </w:r>
      <w:r>
        <w:rPr>
          <w:rFonts w:hint="eastAsia"/>
        </w:rPr>
        <w:instrText xml:space="preserve"> </w:instrText>
      </w:r>
      <w:r>
        <w:fldChar w:fldCharType="separate"/>
      </w:r>
      <w:r>
        <w:t>- 66 -</w:t>
      </w:r>
      <w:r>
        <w:rPr>
          <w:rFonts w:hint="eastAsia"/>
        </w:rPr>
        <w:fldChar w:fldCharType="end"/>
      </w:r>
      <w:r>
        <w:rPr>
          <w:rFonts w:hint="eastAsia"/>
        </w:rPr>
        <w:fldChar w:fldCharType="end"/>
      </w:r>
    </w:p>
    <w:p w14:paraId="47914216">
      <w:pPr>
        <w:pStyle w:val="5"/>
        <w:tabs>
          <w:tab w:val="right" w:leader="dot" w:pos="9016"/>
        </w:tabs>
        <w:ind w:left="480"/>
        <w:rPr>
          <w:rFonts w:hint="eastAsia"/>
        </w:rPr>
      </w:pPr>
      <w:r>
        <w:fldChar w:fldCharType="begin"/>
      </w:r>
      <w:r>
        <w:instrText xml:space="preserve"> HYPERLINK \l "_Toc199260732" </w:instrText>
      </w:r>
      <w:r>
        <w:fldChar w:fldCharType="separate"/>
      </w:r>
      <w:r>
        <w:rPr>
          <w:rStyle w:val="9"/>
          <w:rFonts w:hint="eastAsia"/>
        </w:rPr>
        <w:t>附图二 项目区域水系图</w:t>
      </w:r>
      <w:r>
        <w:rPr>
          <w:rFonts w:hint="eastAsia"/>
        </w:rPr>
        <w:tab/>
      </w:r>
      <w:r>
        <w:rPr>
          <w:rFonts w:hint="eastAsia"/>
        </w:rPr>
        <w:fldChar w:fldCharType="begin"/>
      </w:r>
      <w:r>
        <w:rPr>
          <w:rFonts w:hint="eastAsia"/>
        </w:rPr>
        <w:instrText xml:space="preserve"> </w:instrText>
      </w:r>
      <w:r>
        <w:instrText xml:space="preserve">PAGEREF _Toc199260732 \h</w:instrText>
      </w:r>
      <w:r>
        <w:rPr>
          <w:rFonts w:hint="eastAsia"/>
        </w:rPr>
        <w:instrText xml:space="preserve"> </w:instrText>
      </w:r>
      <w:r>
        <w:fldChar w:fldCharType="separate"/>
      </w:r>
      <w:r>
        <w:t>- 67 -</w:t>
      </w:r>
      <w:r>
        <w:rPr>
          <w:rFonts w:hint="eastAsia"/>
        </w:rPr>
        <w:fldChar w:fldCharType="end"/>
      </w:r>
      <w:r>
        <w:rPr>
          <w:rFonts w:hint="eastAsia"/>
        </w:rPr>
        <w:fldChar w:fldCharType="end"/>
      </w:r>
    </w:p>
    <w:p w14:paraId="2AA1315E">
      <w:pPr>
        <w:pStyle w:val="5"/>
        <w:tabs>
          <w:tab w:val="right" w:leader="dot" w:pos="9016"/>
        </w:tabs>
        <w:ind w:left="480"/>
        <w:rPr>
          <w:rFonts w:hint="eastAsia"/>
        </w:rPr>
      </w:pPr>
      <w:r>
        <w:fldChar w:fldCharType="begin"/>
      </w:r>
      <w:r>
        <w:instrText xml:space="preserve"> HYPERLINK \l "_Toc199260733" </w:instrText>
      </w:r>
      <w:r>
        <w:fldChar w:fldCharType="separate"/>
      </w:r>
      <w:r>
        <w:rPr>
          <w:rStyle w:val="9"/>
          <w:rFonts w:hint="eastAsia"/>
        </w:rPr>
        <w:t>附图三 项目平面布置图</w:t>
      </w:r>
      <w:r>
        <w:rPr>
          <w:rFonts w:hint="eastAsia"/>
        </w:rPr>
        <w:tab/>
      </w:r>
      <w:r>
        <w:rPr>
          <w:rFonts w:hint="eastAsia"/>
        </w:rPr>
        <w:fldChar w:fldCharType="begin"/>
      </w:r>
      <w:r>
        <w:rPr>
          <w:rFonts w:hint="eastAsia"/>
        </w:rPr>
        <w:instrText xml:space="preserve"> </w:instrText>
      </w:r>
      <w:r>
        <w:instrText xml:space="preserve">PAGEREF _Toc199260733 \h</w:instrText>
      </w:r>
      <w:r>
        <w:rPr>
          <w:rFonts w:hint="eastAsia"/>
        </w:rPr>
        <w:instrText xml:space="preserve"> </w:instrText>
      </w:r>
      <w:r>
        <w:fldChar w:fldCharType="separate"/>
      </w:r>
      <w:r>
        <w:t>- 68 -</w:t>
      </w:r>
      <w:r>
        <w:rPr>
          <w:rFonts w:hint="eastAsia"/>
        </w:rPr>
        <w:fldChar w:fldCharType="end"/>
      </w:r>
      <w:r>
        <w:rPr>
          <w:rFonts w:hint="eastAsia"/>
        </w:rPr>
        <w:fldChar w:fldCharType="end"/>
      </w:r>
    </w:p>
    <w:p w14:paraId="04EFA1CB">
      <w:pPr>
        <w:pStyle w:val="5"/>
        <w:tabs>
          <w:tab w:val="right" w:leader="dot" w:pos="9016"/>
        </w:tabs>
        <w:ind w:left="480"/>
        <w:rPr>
          <w:rFonts w:hint="eastAsia"/>
        </w:rPr>
      </w:pPr>
      <w:r>
        <w:fldChar w:fldCharType="begin"/>
      </w:r>
      <w:r>
        <w:instrText xml:space="preserve"> HYPERLINK \l "_Toc199260734" </w:instrText>
      </w:r>
      <w:r>
        <w:fldChar w:fldCharType="separate"/>
      </w:r>
      <w:r>
        <w:rPr>
          <w:rStyle w:val="9"/>
          <w:rFonts w:hint="eastAsia"/>
        </w:rPr>
        <w:t>附图四 环境保护目标示意图</w:t>
      </w:r>
      <w:r>
        <w:rPr>
          <w:rFonts w:hint="eastAsia"/>
        </w:rPr>
        <w:tab/>
      </w:r>
      <w:r>
        <w:rPr>
          <w:rFonts w:hint="eastAsia"/>
        </w:rPr>
        <w:fldChar w:fldCharType="begin"/>
      </w:r>
      <w:r>
        <w:rPr>
          <w:rFonts w:hint="eastAsia"/>
        </w:rPr>
        <w:instrText xml:space="preserve"> </w:instrText>
      </w:r>
      <w:r>
        <w:instrText xml:space="preserve">PAGEREF _Toc199260734 \h</w:instrText>
      </w:r>
      <w:r>
        <w:rPr>
          <w:rFonts w:hint="eastAsia"/>
        </w:rPr>
        <w:instrText xml:space="preserve"> </w:instrText>
      </w:r>
      <w:r>
        <w:fldChar w:fldCharType="separate"/>
      </w:r>
      <w:r>
        <w:t>- 69 -</w:t>
      </w:r>
      <w:r>
        <w:rPr>
          <w:rFonts w:hint="eastAsia"/>
        </w:rPr>
        <w:fldChar w:fldCharType="end"/>
      </w:r>
      <w:r>
        <w:rPr>
          <w:rFonts w:hint="eastAsia"/>
        </w:rPr>
        <w:fldChar w:fldCharType="end"/>
      </w:r>
    </w:p>
    <w:p w14:paraId="5B5479D4">
      <w:pPr>
        <w:rPr>
          <w:rFonts w:hint="eastAsia"/>
        </w:rPr>
        <w:sectPr>
          <w:pgSz w:w="11906" w:h="16838"/>
          <w:pgMar w:top="1440" w:right="1440" w:bottom="1440" w:left="1440" w:header="851" w:footer="992" w:gutter="0"/>
          <w:cols w:space="425" w:num="1"/>
          <w:docGrid w:type="lines" w:linePitch="312" w:charSpace="0"/>
        </w:sectPr>
      </w:pPr>
      <w:r>
        <w:fldChar w:fldCharType="end"/>
      </w:r>
    </w:p>
    <w:p w14:paraId="52D2A7C9">
      <w:pPr>
        <w:tabs>
          <w:tab w:val="left" w:pos="993"/>
        </w:tabs>
        <w:jc w:val="center"/>
        <w:outlineLvl w:val="0"/>
        <w:rPr>
          <w:b/>
          <w:bCs/>
          <w:color w:val="000000"/>
          <w:kern w:val="44"/>
          <w:sz w:val="30"/>
          <w:szCs w:val="30"/>
        </w:rPr>
      </w:pPr>
      <w:bookmarkStart w:id="15" w:name="_Toc17815044"/>
      <w:bookmarkStart w:id="16" w:name="_Toc199260717"/>
      <w:bookmarkStart w:id="17" w:name="_Toc121378771"/>
      <w:bookmarkStart w:id="18" w:name="_Toc153731592"/>
      <w:bookmarkStart w:id="19" w:name="_Toc96962417"/>
      <w:bookmarkStart w:id="20" w:name="_Toc135115371"/>
      <w:bookmarkStart w:id="21" w:name="_Toc194068216"/>
      <w:bookmarkStart w:id="22" w:name="_Toc123889540"/>
      <w:bookmarkStart w:id="23" w:name="_Toc147539445"/>
      <w:bookmarkStart w:id="24" w:name="_Toc104352116"/>
      <w:bookmarkStart w:id="25" w:name="_Toc95293580"/>
      <w:bookmarkStart w:id="26" w:name="_Toc188001851"/>
      <w:bookmarkStart w:id="27" w:name="_Toc133553709"/>
      <w:bookmarkStart w:id="28" w:name="_Toc153736104"/>
      <w:bookmarkStart w:id="29" w:name="_Hlk95214302"/>
      <w:r>
        <w:rPr>
          <w:rFonts w:hint="eastAsia"/>
          <w:b/>
          <w:bCs/>
          <w:color w:val="000000"/>
          <w:kern w:val="44"/>
          <w:sz w:val="30"/>
          <w:szCs w:val="30"/>
        </w:rPr>
        <w:t>一、建设项目基本情况</w:t>
      </w:r>
      <w:bookmarkEnd w:id="15"/>
      <w:bookmarkEnd w:id="16"/>
      <w:bookmarkEnd w:id="17"/>
      <w:bookmarkEnd w:id="18"/>
      <w:bookmarkEnd w:id="19"/>
      <w:bookmarkEnd w:id="20"/>
      <w:bookmarkEnd w:id="21"/>
      <w:bookmarkEnd w:id="22"/>
      <w:bookmarkEnd w:id="23"/>
      <w:bookmarkEnd w:id="24"/>
      <w:bookmarkEnd w:id="25"/>
      <w:bookmarkEnd w:id="26"/>
      <w:bookmarkEnd w:id="27"/>
      <w:bookmarkEnd w:id="28"/>
    </w:p>
    <w:bookmarkEnd w:id="29"/>
    <w:tbl>
      <w:tblPr>
        <w:tblStyle w:val="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34"/>
        <w:gridCol w:w="2071"/>
        <w:gridCol w:w="2314"/>
        <w:gridCol w:w="2833"/>
      </w:tblGrid>
      <w:tr w14:paraId="6EAED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13" w:type="pct"/>
            <w:tcMar>
              <w:top w:w="16" w:type="dxa"/>
              <w:left w:w="16" w:type="dxa"/>
              <w:right w:w="16" w:type="dxa"/>
            </w:tcMar>
            <w:vAlign w:val="center"/>
          </w:tcPr>
          <w:p w14:paraId="767BB34A">
            <w:pPr>
              <w:adjustRightInd w:val="0"/>
              <w:snapToGrid w:val="0"/>
              <w:spacing w:line="240" w:lineRule="auto"/>
              <w:jc w:val="center"/>
              <w:rPr>
                <w:szCs w:val="24"/>
              </w:rPr>
            </w:pPr>
            <w:r>
              <w:rPr>
                <w:szCs w:val="24"/>
              </w:rPr>
              <w:t>建设项目名称</w:t>
            </w:r>
          </w:p>
        </w:tc>
        <w:tc>
          <w:tcPr>
            <w:tcW w:w="3987" w:type="pct"/>
            <w:gridSpan w:val="3"/>
            <w:vAlign w:val="center"/>
          </w:tcPr>
          <w:p w14:paraId="029A25F5">
            <w:pPr>
              <w:adjustRightInd w:val="0"/>
              <w:snapToGrid w:val="0"/>
              <w:spacing w:line="240" w:lineRule="auto"/>
              <w:jc w:val="center"/>
              <w:rPr>
                <w:szCs w:val="24"/>
              </w:rPr>
            </w:pPr>
            <w:r>
              <w:rPr>
                <w:rFonts w:hint="eastAsia"/>
                <w:szCs w:val="24"/>
              </w:rPr>
              <w:t>双牌县茶林镇中心卫生院改扩建项目</w:t>
            </w:r>
          </w:p>
        </w:tc>
      </w:tr>
      <w:tr w14:paraId="5B6F6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13" w:type="pct"/>
            <w:tcMar>
              <w:top w:w="16" w:type="dxa"/>
              <w:left w:w="16" w:type="dxa"/>
              <w:right w:w="16" w:type="dxa"/>
            </w:tcMar>
            <w:vAlign w:val="center"/>
          </w:tcPr>
          <w:p w14:paraId="4457D8AB">
            <w:pPr>
              <w:adjustRightInd w:val="0"/>
              <w:snapToGrid w:val="0"/>
              <w:spacing w:line="240" w:lineRule="auto"/>
              <w:jc w:val="center"/>
              <w:rPr>
                <w:szCs w:val="24"/>
              </w:rPr>
            </w:pPr>
            <w:r>
              <w:rPr>
                <w:szCs w:val="24"/>
              </w:rPr>
              <w:t>项目代码</w:t>
            </w:r>
          </w:p>
        </w:tc>
        <w:tc>
          <w:tcPr>
            <w:tcW w:w="3987" w:type="pct"/>
            <w:gridSpan w:val="3"/>
            <w:vAlign w:val="center"/>
          </w:tcPr>
          <w:p w14:paraId="791FFE65">
            <w:pPr>
              <w:adjustRightInd w:val="0"/>
              <w:snapToGrid w:val="0"/>
              <w:spacing w:line="240" w:lineRule="auto"/>
              <w:jc w:val="center"/>
              <w:rPr>
                <w:szCs w:val="24"/>
              </w:rPr>
            </w:pPr>
            <w:r>
              <w:rPr>
                <w:szCs w:val="24"/>
              </w:rPr>
              <w:t>/</w:t>
            </w:r>
          </w:p>
        </w:tc>
      </w:tr>
      <w:tr w14:paraId="00CC2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13" w:type="pct"/>
            <w:tcMar>
              <w:top w:w="16" w:type="dxa"/>
              <w:left w:w="16" w:type="dxa"/>
              <w:right w:w="16" w:type="dxa"/>
            </w:tcMar>
            <w:vAlign w:val="center"/>
          </w:tcPr>
          <w:p w14:paraId="5BBECEDF">
            <w:pPr>
              <w:adjustRightInd w:val="0"/>
              <w:snapToGrid w:val="0"/>
              <w:spacing w:line="240" w:lineRule="auto"/>
              <w:jc w:val="center"/>
              <w:rPr>
                <w:szCs w:val="24"/>
              </w:rPr>
            </w:pPr>
            <w:r>
              <w:rPr>
                <w:szCs w:val="24"/>
              </w:rPr>
              <w:t>建设单位联系人</w:t>
            </w:r>
          </w:p>
        </w:tc>
        <w:tc>
          <w:tcPr>
            <w:tcW w:w="1144" w:type="pct"/>
            <w:vAlign w:val="center"/>
          </w:tcPr>
          <w:p w14:paraId="42132710">
            <w:pPr>
              <w:adjustRightInd w:val="0"/>
              <w:snapToGrid w:val="0"/>
              <w:spacing w:line="240" w:lineRule="auto"/>
              <w:jc w:val="center"/>
              <w:rPr>
                <w:szCs w:val="24"/>
              </w:rPr>
            </w:pPr>
            <w:r>
              <w:rPr>
                <w:rFonts w:hint="eastAsia"/>
                <w:szCs w:val="24"/>
              </w:rPr>
              <w:t>蒋海辉</w:t>
            </w:r>
          </w:p>
        </w:tc>
        <w:tc>
          <w:tcPr>
            <w:tcW w:w="1278" w:type="pct"/>
            <w:vAlign w:val="center"/>
          </w:tcPr>
          <w:p w14:paraId="73CE79C9">
            <w:pPr>
              <w:adjustRightInd w:val="0"/>
              <w:snapToGrid w:val="0"/>
              <w:spacing w:line="240" w:lineRule="auto"/>
              <w:jc w:val="center"/>
              <w:rPr>
                <w:szCs w:val="24"/>
              </w:rPr>
            </w:pPr>
            <w:r>
              <w:rPr>
                <w:szCs w:val="24"/>
              </w:rPr>
              <w:t>联系方式</w:t>
            </w:r>
          </w:p>
        </w:tc>
        <w:tc>
          <w:tcPr>
            <w:tcW w:w="1565" w:type="pct"/>
            <w:vAlign w:val="center"/>
          </w:tcPr>
          <w:p w14:paraId="53230037">
            <w:pPr>
              <w:adjustRightInd w:val="0"/>
              <w:snapToGrid w:val="0"/>
              <w:spacing w:line="240" w:lineRule="auto"/>
              <w:jc w:val="center"/>
              <w:rPr>
                <w:szCs w:val="24"/>
              </w:rPr>
            </w:pPr>
            <w:r>
              <w:rPr>
                <w:rFonts w:hint="eastAsia"/>
                <w:szCs w:val="24"/>
              </w:rPr>
              <w:t>1</w:t>
            </w:r>
            <w:r>
              <w:rPr>
                <w:szCs w:val="24"/>
              </w:rPr>
              <w:t>8174648530</w:t>
            </w:r>
          </w:p>
        </w:tc>
      </w:tr>
      <w:tr w14:paraId="2EFA2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13" w:type="pct"/>
            <w:tcMar>
              <w:top w:w="16" w:type="dxa"/>
              <w:left w:w="16" w:type="dxa"/>
              <w:right w:w="16" w:type="dxa"/>
            </w:tcMar>
            <w:vAlign w:val="center"/>
          </w:tcPr>
          <w:p w14:paraId="326411D2">
            <w:pPr>
              <w:adjustRightInd w:val="0"/>
              <w:snapToGrid w:val="0"/>
              <w:spacing w:line="240" w:lineRule="auto"/>
              <w:jc w:val="center"/>
              <w:rPr>
                <w:szCs w:val="24"/>
              </w:rPr>
            </w:pPr>
            <w:r>
              <w:rPr>
                <w:szCs w:val="24"/>
              </w:rPr>
              <w:t>建设地点</w:t>
            </w:r>
          </w:p>
        </w:tc>
        <w:tc>
          <w:tcPr>
            <w:tcW w:w="3987" w:type="pct"/>
            <w:gridSpan w:val="3"/>
            <w:vAlign w:val="center"/>
          </w:tcPr>
          <w:p w14:paraId="440C8293">
            <w:pPr>
              <w:adjustRightInd w:val="0"/>
              <w:snapToGrid w:val="0"/>
              <w:spacing w:line="240" w:lineRule="auto"/>
              <w:jc w:val="center"/>
              <w:rPr>
                <w:szCs w:val="24"/>
              </w:rPr>
            </w:pPr>
            <w:bookmarkStart w:id="30" w:name="OLE_LINK3"/>
            <w:r>
              <w:rPr>
                <w:rFonts w:hint="eastAsia"/>
                <w:szCs w:val="24"/>
              </w:rPr>
              <w:t>永州市双牌县茶林镇大河江村</w:t>
            </w:r>
            <w:bookmarkEnd w:id="30"/>
          </w:p>
        </w:tc>
      </w:tr>
      <w:tr w14:paraId="0DE2E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13" w:type="pct"/>
            <w:tcMar>
              <w:top w:w="16" w:type="dxa"/>
              <w:left w:w="16" w:type="dxa"/>
              <w:right w:w="16" w:type="dxa"/>
            </w:tcMar>
            <w:vAlign w:val="center"/>
          </w:tcPr>
          <w:p w14:paraId="4E7EFDDD">
            <w:pPr>
              <w:adjustRightInd w:val="0"/>
              <w:snapToGrid w:val="0"/>
              <w:spacing w:line="240" w:lineRule="auto"/>
              <w:jc w:val="center"/>
              <w:rPr>
                <w:szCs w:val="24"/>
              </w:rPr>
            </w:pPr>
            <w:r>
              <w:rPr>
                <w:szCs w:val="24"/>
              </w:rPr>
              <w:t>地理坐标</w:t>
            </w:r>
          </w:p>
          <w:p w14:paraId="78DDF6DA">
            <w:pPr>
              <w:adjustRightInd w:val="0"/>
              <w:snapToGrid w:val="0"/>
              <w:spacing w:line="240" w:lineRule="auto"/>
              <w:jc w:val="center"/>
              <w:rPr>
                <w:szCs w:val="24"/>
              </w:rPr>
            </w:pPr>
            <w:r>
              <w:rPr>
                <w:rFonts w:hint="eastAsia"/>
                <w:szCs w:val="24"/>
              </w:rPr>
              <w:t>（</w:t>
            </w:r>
            <w:r>
              <w:rPr>
                <w:szCs w:val="24"/>
              </w:rPr>
              <w:t>GCJ-02坐标</w:t>
            </w:r>
            <w:r>
              <w:rPr>
                <w:rFonts w:hint="eastAsia"/>
                <w:szCs w:val="24"/>
              </w:rPr>
              <w:t>）</w:t>
            </w:r>
          </w:p>
        </w:tc>
        <w:tc>
          <w:tcPr>
            <w:tcW w:w="3987" w:type="pct"/>
            <w:gridSpan w:val="3"/>
            <w:vAlign w:val="center"/>
          </w:tcPr>
          <w:p w14:paraId="7653F4CA">
            <w:pPr>
              <w:spacing w:line="240" w:lineRule="auto"/>
              <w:jc w:val="center"/>
              <w:rPr>
                <w:szCs w:val="24"/>
              </w:rPr>
            </w:pPr>
            <w:r>
              <w:rPr>
                <w:rFonts w:hint="eastAsia"/>
                <w:szCs w:val="24"/>
              </w:rPr>
              <w:t>东经：</w:t>
            </w:r>
            <w:r>
              <w:rPr>
                <w:szCs w:val="24"/>
              </w:rPr>
              <w:t>111°49′5.402″</w:t>
            </w:r>
            <w:r>
              <w:rPr>
                <w:rFonts w:hint="eastAsia"/>
                <w:szCs w:val="24"/>
              </w:rPr>
              <w:t>；北纬：</w:t>
            </w:r>
            <w:r>
              <w:rPr>
                <w:szCs w:val="24"/>
              </w:rPr>
              <w:t>26°6′59.124″</w:t>
            </w:r>
          </w:p>
        </w:tc>
      </w:tr>
      <w:tr w14:paraId="2E92A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13" w:type="pct"/>
            <w:tcMar>
              <w:top w:w="16" w:type="dxa"/>
              <w:left w:w="16" w:type="dxa"/>
              <w:right w:w="16" w:type="dxa"/>
            </w:tcMar>
            <w:vAlign w:val="center"/>
          </w:tcPr>
          <w:p w14:paraId="54367C1A">
            <w:pPr>
              <w:adjustRightInd w:val="0"/>
              <w:snapToGrid w:val="0"/>
              <w:spacing w:line="240" w:lineRule="auto"/>
              <w:jc w:val="center"/>
              <w:rPr>
                <w:rFonts w:hint="eastAsia" w:ascii="宋体" w:hAnsi="宋体" w:cs="宋体"/>
                <w:szCs w:val="24"/>
              </w:rPr>
            </w:pPr>
            <w:r>
              <w:rPr>
                <w:rFonts w:hint="eastAsia" w:ascii="宋体" w:hAnsi="宋体" w:cs="宋体"/>
                <w:szCs w:val="24"/>
              </w:rPr>
              <w:t>国民经济</w:t>
            </w:r>
          </w:p>
          <w:p w14:paraId="4943D2B4">
            <w:pPr>
              <w:adjustRightInd w:val="0"/>
              <w:snapToGrid w:val="0"/>
              <w:spacing w:line="240" w:lineRule="auto"/>
              <w:jc w:val="center"/>
              <w:rPr>
                <w:rFonts w:hint="eastAsia" w:ascii="宋体" w:hAnsi="宋体" w:cs="宋体"/>
                <w:szCs w:val="24"/>
              </w:rPr>
            </w:pPr>
            <w:r>
              <w:rPr>
                <w:rFonts w:hint="eastAsia" w:ascii="宋体" w:hAnsi="宋体" w:cs="宋体"/>
                <w:szCs w:val="24"/>
              </w:rPr>
              <w:t>行业类别</w:t>
            </w:r>
          </w:p>
        </w:tc>
        <w:tc>
          <w:tcPr>
            <w:tcW w:w="1144" w:type="pct"/>
            <w:vAlign w:val="center"/>
          </w:tcPr>
          <w:p w14:paraId="49F71463">
            <w:pPr>
              <w:spacing w:line="240" w:lineRule="auto"/>
              <w:rPr>
                <w:szCs w:val="24"/>
              </w:rPr>
            </w:pPr>
            <w:r>
              <w:rPr>
                <w:rFonts w:hint="eastAsia"/>
                <w:szCs w:val="24"/>
              </w:rPr>
              <w:t>乡镇卫生院Q8423</w:t>
            </w:r>
          </w:p>
        </w:tc>
        <w:tc>
          <w:tcPr>
            <w:tcW w:w="1278" w:type="pct"/>
            <w:vAlign w:val="center"/>
          </w:tcPr>
          <w:p w14:paraId="26D6015E">
            <w:pPr>
              <w:adjustRightInd w:val="0"/>
              <w:snapToGrid w:val="0"/>
              <w:spacing w:line="240" w:lineRule="auto"/>
              <w:jc w:val="center"/>
              <w:rPr>
                <w:rFonts w:hint="eastAsia" w:ascii="宋体" w:hAnsi="宋体" w:cs="宋体"/>
                <w:szCs w:val="24"/>
              </w:rPr>
            </w:pPr>
            <w:bookmarkStart w:id="31" w:name="_Hlk49843745"/>
            <w:r>
              <w:rPr>
                <w:rFonts w:hint="eastAsia" w:ascii="宋体" w:hAnsi="宋体" w:cs="宋体"/>
                <w:szCs w:val="24"/>
              </w:rPr>
              <w:t>建设项目</w:t>
            </w:r>
          </w:p>
          <w:p w14:paraId="7AFF4019">
            <w:pPr>
              <w:adjustRightInd w:val="0"/>
              <w:snapToGrid w:val="0"/>
              <w:spacing w:line="240" w:lineRule="auto"/>
              <w:jc w:val="center"/>
              <w:rPr>
                <w:rFonts w:hint="eastAsia" w:ascii="宋体" w:hAnsi="宋体" w:cs="宋体"/>
                <w:szCs w:val="24"/>
              </w:rPr>
            </w:pPr>
            <w:r>
              <w:rPr>
                <w:rFonts w:hint="eastAsia" w:ascii="宋体" w:hAnsi="宋体" w:cs="宋体"/>
                <w:szCs w:val="24"/>
              </w:rPr>
              <w:t>行业类别</w:t>
            </w:r>
            <w:bookmarkEnd w:id="31"/>
          </w:p>
        </w:tc>
        <w:tc>
          <w:tcPr>
            <w:tcW w:w="1565" w:type="pct"/>
            <w:vAlign w:val="center"/>
          </w:tcPr>
          <w:p w14:paraId="2D4AEDD4">
            <w:pPr>
              <w:spacing w:line="240" w:lineRule="auto"/>
              <w:rPr>
                <w:rFonts w:hint="eastAsia" w:ascii="宋体" w:hAnsi="宋体" w:cs="宋体"/>
                <w:szCs w:val="24"/>
              </w:rPr>
            </w:pPr>
            <w:r>
              <w:rPr>
                <w:rFonts w:hint="eastAsia" w:ascii="宋体" w:hAnsi="宋体" w:cs="宋体"/>
                <w:szCs w:val="24"/>
              </w:rPr>
              <w:t>四十九、卫生-108基层医疗机构卫生服务842</w:t>
            </w:r>
          </w:p>
        </w:tc>
      </w:tr>
      <w:tr w14:paraId="467F9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13" w:type="pct"/>
            <w:tcMar>
              <w:top w:w="16" w:type="dxa"/>
              <w:left w:w="16" w:type="dxa"/>
              <w:right w:w="16" w:type="dxa"/>
            </w:tcMar>
            <w:vAlign w:val="center"/>
          </w:tcPr>
          <w:p w14:paraId="4A964168">
            <w:pPr>
              <w:adjustRightInd w:val="0"/>
              <w:snapToGrid w:val="0"/>
              <w:spacing w:line="240" w:lineRule="auto"/>
              <w:jc w:val="center"/>
              <w:rPr>
                <w:rFonts w:hint="eastAsia" w:ascii="宋体" w:hAnsi="宋体" w:cs="宋体"/>
                <w:szCs w:val="24"/>
              </w:rPr>
            </w:pPr>
            <w:r>
              <w:rPr>
                <w:rFonts w:hint="eastAsia" w:ascii="宋体" w:hAnsi="宋体" w:cs="宋体"/>
                <w:szCs w:val="24"/>
              </w:rPr>
              <w:t>建设性质</w:t>
            </w:r>
          </w:p>
        </w:tc>
        <w:tc>
          <w:tcPr>
            <w:tcW w:w="1144" w:type="pct"/>
            <w:vAlign w:val="center"/>
          </w:tcPr>
          <w:p w14:paraId="01581491">
            <w:pPr>
              <w:spacing w:line="240" w:lineRule="auto"/>
              <w:rPr>
                <w:rFonts w:hint="eastAsia" w:ascii="宋体" w:hAnsi="宋体" w:cs="宋体"/>
                <w:szCs w:val="24"/>
              </w:rPr>
            </w:pPr>
            <w:r>
              <w:rPr>
                <w:rFonts w:hint="eastAsia" w:ascii="宋体" w:hAnsi="宋体" w:cs="宋体"/>
                <w:szCs w:val="24"/>
              </w:rPr>
              <w:t>□新建</w:t>
            </w:r>
          </w:p>
          <w:p w14:paraId="2B19B3BA">
            <w:pPr>
              <w:spacing w:line="240" w:lineRule="auto"/>
              <w:rPr>
                <w:rFonts w:hint="eastAsia" w:ascii="宋体" w:hAnsi="宋体" w:cs="宋体"/>
                <w:szCs w:val="24"/>
              </w:rPr>
            </w:pPr>
            <w:r>
              <w:rPr>
                <w:rFonts w:ascii="Segoe UI Emoji" w:hAnsi="Segoe UI Emoji" w:eastAsia="MS Mincho" w:cs="Segoe UI Emoji"/>
                <w:szCs w:val="24"/>
              </w:rPr>
              <w:sym w:font="Wingdings 2" w:char="F052"/>
            </w:r>
            <w:r>
              <w:rPr>
                <w:rFonts w:hint="eastAsia" w:ascii="宋体" w:hAnsi="宋体" w:cs="宋体"/>
                <w:szCs w:val="24"/>
              </w:rPr>
              <w:t>改建</w:t>
            </w:r>
          </w:p>
          <w:p w14:paraId="1410B121">
            <w:pPr>
              <w:spacing w:line="240" w:lineRule="auto"/>
              <w:rPr>
                <w:rFonts w:hint="eastAsia" w:ascii="宋体" w:hAnsi="宋体" w:cs="宋体"/>
                <w:szCs w:val="24"/>
              </w:rPr>
            </w:pPr>
            <w:r>
              <w:rPr>
                <w:rFonts w:hint="eastAsia" w:ascii="宋体" w:hAnsi="宋体" w:cs="宋体"/>
                <w:szCs w:val="24"/>
              </w:rPr>
              <w:t>□扩建</w:t>
            </w:r>
          </w:p>
          <w:p w14:paraId="5F67F3B3">
            <w:pPr>
              <w:spacing w:line="240" w:lineRule="auto"/>
              <w:rPr>
                <w:rFonts w:hint="eastAsia" w:ascii="宋体" w:hAnsi="宋体" w:cs="宋体"/>
                <w:szCs w:val="24"/>
              </w:rPr>
            </w:pPr>
            <w:r>
              <w:rPr>
                <w:rFonts w:hint="eastAsia" w:ascii="宋体" w:hAnsi="宋体" w:cs="宋体"/>
                <w:szCs w:val="24"/>
              </w:rPr>
              <w:t>□技术改造</w:t>
            </w:r>
          </w:p>
        </w:tc>
        <w:tc>
          <w:tcPr>
            <w:tcW w:w="1278" w:type="pct"/>
            <w:vAlign w:val="center"/>
          </w:tcPr>
          <w:p w14:paraId="31FCFEC5">
            <w:pPr>
              <w:adjustRightInd w:val="0"/>
              <w:snapToGrid w:val="0"/>
              <w:spacing w:line="240" w:lineRule="auto"/>
              <w:jc w:val="center"/>
              <w:rPr>
                <w:rFonts w:hint="eastAsia" w:ascii="宋体" w:hAnsi="宋体" w:cs="宋体"/>
                <w:szCs w:val="24"/>
              </w:rPr>
            </w:pPr>
            <w:r>
              <w:rPr>
                <w:rFonts w:hint="eastAsia" w:ascii="宋体" w:hAnsi="宋体" w:cs="宋体"/>
                <w:szCs w:val="24"/>
              </w:rPr>
              <w:t>建设项目</w:t>
            </w:r>
          </w:p>
          <w:p w14:paraId="51C69A8A">
            <w:pPr>
              <w:adjustRightInd w:val="0"/>
              <w:snapToGrid w:val="0"/>
              <w:spacing w:line="240" w:lineRule="auto"/>
              <w:jc w:val="center"/>
              <w:rPr>
                <w:rFonts w:hint="eastAsia" w:ascii="宋体" w:hAnsi="宋体" w:cs="宋体"/>
                <w:szCs w:val="24"/>
              </w:rPr>
            </w:pPr>
            <w:r>
              <w:rPr>
                <w:rFonts w:hint="eastAsia" w:ascii="宋体" w:hAnsi="宋体" w:cs="宋体"/>
                <w:szCs w:val="24"/>
              </w:rPr>
              <w:t>申报情形</w:t>
            </w:r>
          </w:p>
        </w:tc>
        <w:tc>
          <w:tcPr>
            <w:tcW w:w="1565" w:type="pct"/>
            <w:vAlign w:val="center"/>
          </w:tcPr>
          <w:p w14:paraId="4B238B34">
            <w:pPr>
              <w:spacing w:line="240" w:lineRule="auto"/>
              <w:rPr>
                <w:rFonts w:hint="eastAsia" w:ascii="宋体" w:hAnsi="宋体" w:cs="宋体"/>
                <w:szCs w:val="24"/>
              </w:rPr>
            </w:pPr>
            <w:r>
              <w:rPr>
                <w:rFonts w:ascii="Segoe UI Emoji" w:hAnsi="Segoe UI Emoji" w:eastAsia="MS Mincho" w:cs="Segoe UI Emoji"/>
                <w:szCs w:val="24"/>
              </w:rPr>
              <w:sym w:font="Wingdings 2" w:char="F052"/>
            </w:r>
            <w:r>
              <w:rPr>
                <w:rFonts w:hint="eastAsia" w:ascii="宋体" w:hAnsi="宋体" w:cs="宋体"/>
                <w:szCs w:val="24"/>
              </w:rPr>
              <w:t>首次申报项目</w:t>
            </w:r>
          </w:p>
          <w:p w14:paraId="2DA03963">
            <w:pPr>
              <w:spacing w:line="240" w:lineRule="auto"/>
              <w:rPr>
                <w:rFonts w:hint="eastAsia" w:ascii="宋体" w:hAnsi="宋体" w:cs="宋体"/>
                <w:szCs w:val="24"/>
              </w:rPr>
            </w:pPr>
            <w:r>
              <w:rPr>
                <w:rFonts w:hint="eastAsia" w:ascii="宋体" w:hAnsi="宋体" w:cs="宋体"/>
                <w:szCs w:val="24"/>
              </w:rPr>
              <w:t>□不予批准后再次申报项目</w:t>
            </w:r>
          </w:p>
          <w:p w14:paraId="76C6493A">
            <w:pPr>
              <w:spacing w:line="240" w:lineRule="auto"/>
              <w:rPr>
                <w:rFonts w:hint="eastAsia" w:ascii="宋体" w:hAnsi="宋体" w:cs="宋体"/>
                <w:szCs w:val="24"/>
              </w:rPr>
            </w:pPr>
            <w:r>
              <w:rPr>
                <w:rFonts w:hint="eastAsia" w:ascii="宋体" w:hAnsi="宋体" w:cs="宋体"/>
                <w:szCs w:val="24"/>
              </w:rPr>
              <w:t>□超五年重新审核项目</w:t>
            </w:r>
          </w:p>
          <w:p w14:paraId="2FF4341A">
            <w:pPr>
              <w:spacing w:line="240" w:lineRule="auto"/>
              <w:rPr>
                <w:rFonts w:hint="eastAsia" w:ascii="宋体" w:hAnsi="宋体" w:cs="宋体"/>
                <w:szCs w:val="24"/>
              </w:rPr>
            </w:pPr>
            <w:r>
              <w:rPr>
                <w:rFonts w:hint="eastAsia" w:ascii="宋体" w:hAnsi="宋体" w:cs="宋体"/>
                <w:szCs w:val="24"/>
              </w:rPr>
              <w:t>□重大变动重新报批项目</w:t>
            </w:r>
          </w:p>
        </w:tc>
      </w:tr>
      <w:tr w14:paraId="741B2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13" w:type="pct"/>
            <w:tcMar>
              <w:top w:w="16" w:type="dxa"/>
              <w:left w:w="16" w:type="dxa"/>
              <w:right w:w="16" w:type="dxa"/>
            </w:tcMar>
            <w:vAlign w:val="center"/>
          </w:tcPr>
          <w:p w14:paraId="26EA98C0">
            <w:pPr>
              <w:adjustRightInd w:val="0"/>
              <w:snapToGrid w:val="0"/>
              <w:spacing w:line="240" w:lineRule="auto"/>
              <w:jc w:val="center"/>
              <w:rPr>
                <w:rFonts w:hint="eastAsia" w:ascii="宋体" w:hAnsi="宋体" w:cs="宋体"/>
                <w:szCs w:val="24"/>
              </w:rPr>
            </w:pPr>
            <w:r>
              <w:rPr>
                <w:rFonts w:hint="eastAsia" w:ascii="宋体" w:hAnsi="宋体" w:cs="宋体"/>
                <w:szCs w:val="24"/>
              </w:rPr>
              <w:t>项目审批（核准</w:t>
            </w:r>
            <w:r>
              <w:rPr>
                <w:rFonts w:ascii="宋体" w:hAnsi="宋体" w:cs="宋体"/>
                <w:szCs w:val="24"/>
              </w:rPr>
              <w:t>/</w:t>
            </w:r>
            <w:r>
              <w:rPr>
                <w:rFonts w:hint="eastAsia" w:ascii="宋体" w:hAnsi="宋体" w:cs="宋体"/>
                <w:szCs w:val="24"/>
              </w:rPr>
              <w:t>备案）部门（选填）</w:t>
            </w:r>
          </w:p>
        </w:tc>
        <w:tc>
          <w:tcPr>
            <w:tcW w:w="1144" w:type="pct"/>
            <w:vAlign w:val="center"/>
          </w:tcPr>
          <w:p w14:paraId="10F2B8DF">
            <w:pPr>
              <w:adjustRightInd w:val="0"/>
              <w:snapToGrid w:val="0"/>
              <w:spacing w:line="240" w:lineRule="auto"/>
              <w:jc w:val="center"/>
              <w:rPr>
                <w:rFonts w:hint="eastAsia" w:ascii="宋体" w:hAnsi="宋体" w:cs="宋体"/>
                <w:szCs w:val="24"/>
              </w:rPr>
            </w:pPr>
            <w:r>
              <w:rPr>
                <w:rFonts w:hint="eastAsia" w:ascii="宋体" w:hAnsi="宋体" w:cs="宋体"/>
                <w:szCs w:val="24"/>
              </w:rPr>
              <w:t>/</w:t>
            </w:r>
          </w:p>
        </w:tc>
        <w:tc>
          <w:tcPr>
            <w:tcW w:w="1278" w:type="pct"/>
            <w:vAlign w:val="center"/>
          </w:tcPr>
          <w:p w14:paraId="4AAB028D">
            <w:pPr>
              <w:adjustRightInd w:val="0"/>
              <w:snapToGrid w:val="0"/>
              <w:spacing w:line="240" w:lineRule="auto"/>
              <w:jc w:val="center"/>
              <w:rPr>
                <w:rFonts w:hint="eastAsia" w:ascii="宋体" w:hAnsi="宋体" w:cs="宋体"/>
                <w:szCs w:val="24"/>
              </w:rPr>
            </w:pPr>
            <w:r>
              <w:rPr>
                <w:rFonts w:hint="eastAsia" w:ascii="宋体" w:hAnsi="宋体" w:cs="宋体"/>
                <w:szCs w:val="24"/>
              </w:rPr>
              <w:t>项目审批（核准</w:t>
            </w:r>
            <w:r>
              <w:rPr>
                <w:rFonts w:ascii="宋体" w:hAnsi="宋体" w:cs="宋体"/>
                <w:szCs w:val="24"/>
              </w:rPr>
              <w:t>/</w:t>
            </w:r>
          </w:p>
          <w:p w14:paraId="1D8DB643">
            <w:pPr>
              <w:adjustRightInd w:val="0"/>
              <w:snapToGrid w:val="0"/>
              <w:spacing w:line="240" w:lineRule="auto"/>
              <w:jc w:val="center"/>
              <w:rPr>
                <w:rFonts w:hint="eastAsia" w:ascii="宋体" w:hAnsi="宋体" w:cs="宋体"/>
                <w:szCs w:val="24"/>
              </w:rPr>
            </w:pPr>
            <w:r>
              <w:rPr>
                <w:rFonts w:hint="eastAsia" w:ascii="宋体" w:hAnsi="宋体" w:cs="宋体"/>
                <w:szCs w:val="24"/>
              </w:rPr>
              <w:t>备案）文号（选填）</w:t>
            </w:r>
          </w:p>
        </w:tc>
        <w:tc>
          <w:tcPr>
            <w:tcW w:w="1565" w:type="pct"/>
            <w:vAlign w:val="center"/>
          </w:tcPr>
          <w:p w14:paraId="6095F66A">
            <w:pPr>
              <w:adjustRightInd w:val="0"/>
              <w:snapToGrid w:val="0"/>
              <w:spacing w:line="240" w:lineRule="auto"/>
              <w:jc w:val="center"/>
              <w:rPr>
                <w:rFonts w:cs="宋体"/>
                <w:szCs w:val="24"/>
              </w:rPr>
            </w:pPr>
            <w:r>
              <w:rPr>
                <w:rFonts w:hint="eastAsia" w:cs="宋体"/>
                <w:szCs w:val="24"/>
              </w:rPr>
              <w:t>/</w:t>
            </w:r>
          </w:p>
        </w:tc>
      </w:tr>
      <w:tr w14:paraId="4A6AC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1013" w:type="pct"/>
            <w:tcMar>
              <w:top w:w="16" w:type="dxa"/>
              <w:left w:w="16" w:type="dxa"/>
              <w:right w:w="16" w:type="dxa"/>
            </w:tcMar>
            <w:vAlign w:val="center"/>
          </w:tcPr>
          <w:p w14:paraId="505B4828">
            <w:pPr>
              <w:adjustRightInd w:val="0"/>
              <w:snapToGrid w:val="0"/>
              <w:spacing w:line="240" w:lineRule="auto"/>
              <w:rPr>
                <w:szCs w:val="24"/>
              </w:rPr>
            </w:pPr>
            <w:r>
              <w:rPr>
                <w:szCs w:val="24"/>
              </w:rPr>
              <w:t>总投资（万元）</w:t>
            </w:r>
          </w:p>
        </w:tc>
        <w:tc>
          <w:tcPr>
            <w:tcW w:w="1144" w:type="pct"/>
            <w:vAlign w:val="center"/>
          </w:tcPr>
          <w:p w14:paraId="58EC06AA">
            <w:pPr>
              <w:adjustRightInd w:val="0"/>
              <w:snapToGrid w:val="0"/>
              <w:spacing w:line="240" w:lineRule="auto"/>
              <w:jc w:val="center"/>
              <w:rPr>
                <w:szCs w:val="24"/>
              </w:rPr>
            </w:pPr>
            <w:r>
              <w:rPr>
                <w:szCs w:val="24"/>
              </w:rPr>
              <w:t>400</w:t>
            </w:r>
          </w:p>
        </w:tc>
        <w:tc>
          <w:tcPr>
            <w:tcW w:w="1278" w:type="pct"/>
            <w:tcMar>
              <w:top w:w="16" w:type="dxa"/>
              <w:left w:w="16" w:type="dxa"/>
              <w:right w:w="16" w:type="dxa"/>
            </w:tcMar>
            <w:vAlign w:val="center"/>
          </w:tcPr>
          <w:p w14:paraId="71C88351">
            <w:pPr>
              <w:adjustRightInd w:val="0"/>
              <w:snapToGrid w:val="0"/>
              <w:spacing w:line="240" w:lineRule="auto"/>
              <w:jc w:val="center"/>
              <w:rPr>
                <w:szCs w:val="24"/>
              </w:rPr>
            </w:pPr>
            <w:r>
              <w:rPr>
                <w:szCs w:val="24"/>
              </w:rPr>
              <w:t>环保投资（万元）</w:t>
            </w:r>
          </w:p>
        </w:tc>
        <w:tc>
          <w:tcPr>
            <w:tcW w:w="1565" w:type="pct"/>
            <w:vAlign w:val="center"/>
          </w:tcPr>
          <w:p w14:paraId="3462B948">
            <w:pPr>
              <w:adjustRightInd w:val="0"/>
              <w:snapToGrid w:val="0"/>
              <w:spacing w:line="240" w:lineRule="auto"/>
              <w:jc w:val="center"/>
              <w:rPr>
                <w:szCs w:val="24"/>
              </w:rPr>
            </w:pPr>
            <w:r>
              <w:rPr>
                <w:szCs w:val="24"/>
              </w:rPr>
              <w:t>20</w:t>
            </w:r>
          </w:p>
        </w:tc>
      </w:tr>
      <w:tr w14:paraId="51F63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1013" w:type="pct"/>
            <w:tcMar>
              <w:top w:w="16" w:type="dxa"/>
              <w:left w:w="16" w:type="dxa"/>
              <w:right w:w="16" w:type="dxa"/>
            </w:tcMar>
            <w:vAlign w:val="center"/>
          </w:tcPr>
          <w:p w14:paraId="7D50601F">
            <w:pPr>
              <w:adjustRightInd w:val="0"/>
              <w:snapToGrid w:val="0"/>
              <w:spacing w:line="240" w:lineRule="auto"/>
              <w:jc w:val="center"/>
              <w:rPr>
                <w:szCs w:val="24"/>
              </w:rPr>
            </w:pPr>
            <w:r>
              <w:rPr>
                <w:szCs w:val="24"/>
              </w:rPr>
              <w:t>环保投资占比（%）</w:t>
            </w:r>
          </w:p>
        </w:tc>
        <w:tc>
          <w:tcPr>
            <w:tcW w:w="1144" w:type="pct"/>
            <w:vAlign w:val="center"/>
          </w:tcPr>
          <w:p w14:paraId="0F846EFD">
            <w:pPr>
              <w:adjustRightInd w:val="0"/>
              <w:snapToGrid w:val="0"/>
              <w:spacing w:line="240" w:lineRule="auto"/>
              <w:jc w:val="center"/>
              <w:rPr>
                <w:szCs w:val="24"/>
              </w:rPr>
            </w:pPr>
            <w:r>
              <w:rPr>
                <w:rFonts w:hint="eastAsia"/>
                <w:szCs w:val="24"/>
              </w:rPr>
              <w:t>5</w:t>
            </w:r>
            <w:r>
              <w:rPr>
                <w:szCs w:val="24"/>
              </w:rPr>
              <w:t>%</w:t>
            </w:r>
          </w:p>
        </w:tc>
        <w:tc>
          <w:tcPr>
            <w:tcW w:w="1278" w:type="pct"/>
            <w:tcMar>
              <w:top w:w="16" w:type="dxa"/>
              <w:left w:w="16" w:type="dxa"/>
              <w:right w:w="16" w:type="dxa"/>
            </w:tcMar>
            <w:vAlign w:val="center"/>
          </w:tcPr>
          <w:p w14:paraId="66A29EC6">
            <w:pPr>
              <w:adjustRightInd w:val="0"/>
              <w:snapToGrid w:val="0"/>
              <w:spacing w:line="240" w:lineRule="auto"/>
              <w:jc w:val="center"/>
              <w:rPr>
                <w:szCs w:val="24"/>
              </w:rPr>
            </w:pPr>
            <w:r>
              <w:rPr>
                <w:szCs w:val="24"/>
              </w:rPr>
              <w:t>施工工期</w:t>
            </w:r>
          </w:p>
        </w:tc>
        <w:tc>
          <w:tcPr>
            <w:tcW w:w="1565" w:type="pct"/>
            <w:vAlign w:val="center"/>
          </w:tcPr>
          <w:p w14:paraId="07B1FAFC">
            <w:pPr>
              <w:adjustRightInd w:val="0"/>
              <w:snapToGrid w:val="0"/>
              <w:spacing w:line="240" w:lineRule="auto"/>
              <w:jc w:val="center"/>
              <w:rPr>
                <w:szCs w:val="24"/>
              </w:rPr>
            </w:pPr>
            <w:r>
              <w:rPr>
                <w:rFonts w:hint="eastAsia"/>
                <w:szCs w:val="24"/>
              </w:rPr>
              <w:t>3个月</w:t>
            </w:r>
          </w:p>
        </w:tc>
      </w:tr>
      <w:tr w14:paraId="0EA65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13" w:type="pct"/>
            <w:tcMar>
              <w:top w:w="16" w:type="dxa"/>
              <w:left w:w="16" w:type="dxa"/>
              <w:right w:w="16" w:type="dxa"/>
            </w:tcMar>
            <w:vAlign w:val="center"/>
          </w:tcPr>
          <w:p w14:paraId="6E68135A">
            <w:pPr>
              <w:adjustRightInd w:val="0"/>
              <w:snapToGrid w:val="0"/>
              <w:spacing w:line="240" w:lineRule="auto"/>
              <w:jc w:val="center"/>
              <w:rPr>
                <w:rFonts w:hint="eastAsia" w:ascii="宋体" w:hAnsi="宋体" w:cs="宋体"/>
                <w:szCs w:val="24"/>
              </w:rPr>
            </w:pPr>
            <w:r>
              <w:rPr>
                <w:rFonts w:hint="eastAsia" w:ascii="宋体" w:hAnsi="宋体" w:cs="宋体"/>
                <w:szCs w:val="24"/>
              </w:rPr>
              <w:t>是否开工建设</w:t>
            </w:r>
          </w:p>
        </w:tc>
        <w:tc>
          <w:tcPr>
            <w:tcW w:w="1144" w:type="pct"/>
            <w:vAlign w:val="center"/>
          </w:tcPr>
          <w:p w14:paraId="29BB579C">
            <w:pPr>
              <w:adjustRightInd w:val="0"/>
              <w:snapToGrid w:val="0"/>
              <w:spacing w:line="240" w:lineRule="auto"/>
              <w:rPr>
                <w:rFonts w:hint="eastAsia" w:ascii="宋体" w:hAnsi="宋体" w:cs="宋体"/>
                <w:szCs w:val="24"/>
              </w:rPr>
            </w:pPr>
            <w:r>
              <w:rPr>
                <w:rFonts w:ascii="Segoe UI Emoji" w:hAnsi="Segoe UI Emoji" w:eastAsia="MS Mincho" w:cs="Segoe UI Emoji"/>
                <w:szCs w:val="24"/>
              </w:rPr>
              <w:sym w:font="Wingdings 2" w:char="F052"/>
            </w:r>
            <w:r>
              <w:rPr>
                <w:rFonts w:hint="eastAsia" w:ascii="宋体" w:hAnsi="宋体" w:cs="宋体"/>
                <w:szCs w:val="24"/>
              </w:rPr>
              <w:t>否</w:t>
            </w:r>
          </w:p>
          <w:p w14:paraId="131CD584">
            <w:pPr>
              <w:adjustRightInd w:val="0"/>
              <w:snapToGrid w:val="0"/>
              <w:spacing w:line="240" w:lineRule="auto"/>
              <w:rPr>
                <w:rFonts w:hint="eastAsia" w:ascii="宋体" w:hAnsi="宋体" w:cs="宋体"/>
                <w:szCs w:val="24"/>
              </w:rPr>
            </w:pPr>
            <w:r>
              <w:rPr>
                <w:rFonts w:hint="eastAsia" w:ascii="宋体" w:hAnsi="宋体" w:cs="宋体"/>
                <w:szCs w:val="24"/>
              </w:rPr>
              <w:t>□是</w:t>
            </w:r>
          </w:p>
        </w:tc>
        <w:tc>
          <w:tcPr>
            <w:tcW w:w="1278" w:type="pct"/>
            <w:tcMar>
              <w:top w:w="16" w:type="dxa"/>
              <w:left w:w="16" w:type="dxa"/>
              <w:right w:w="16" w:type="dxa"/>
            </w:tcMar>
            <w:vAlign w:val="center"/>
          </w:tcPr>
          <w:p w14:paraId="5437D443">
            <w:pPr>
              <w:adjustRightInd w:val="0"/>
              <w:snapToGrid w:val="0"/>
              <w:spacing w:line="240" w:lineRule="auto"/>
              <w:jc w:val="center"/>
              <w:rPr>
                <w:rFonts w:hint="eastAsia" w:ascii="宋体" w:hAnsi="宋体" w:cs="宋体"/>
                <w:spacing w:val="-6"/>
                <w:szCs w:val="24"/>
              </w:rPr>
            </w:pPr>
            <w:r>
              <w:rPr>
                <w:rFonts w:hint="eastAsia" w:ascii="宋体" w:hAnsi="宋体" w:cs="宋体"/>
                <w:spacing w:val="-6"/>
                <w:szCs w:val="24"/>
              </w:rPr>
              <w:t>用地（用海）</w:t>
            </w:r>
          </w:p>
          <w:p w14:paraId="7CD6E7BA">
            <w:pPr>
              <w:adjustRightInd w:val="0"/>
              <w:snapToGrid w:val="0"/>
              <w:spacing w:line="240" w:lineRule="auto"/>
              <w:jc w:val="center"/>
              <w:rPr>
                <w:rFonts w:hint="eastAsia" w:ascii="宋体" w:hAnsi="宋体" w:cs="宋体"/>
                <w:szCs w:val="24"/>
              </w:rPr>
            </w:pPr>
            <w:r>
              <w:rPr>
                <w:rFonts w:hint="eastAsia" w:ascii="宋体" w:hAnsi="宋体" w:cs="宋体"/>
                <w:spacing w:val="-6"/>
                <w:szCs w:val="24"/>
              </w:rPr>
              <w:t>面积（</w:t>
            </w:r>
            <w:r>
              <w:rPr>
                <w:spacing w:val="-6"/>
                <w:szCs w:val="24"/>
              </w:rPr>
              <w:t>m</w:t>
            </w:r>
            <w:r>
              <w:rPr>
                <w:spacing w:val="-6"/>
                <w:szCs w:val="24"/>
                <w:vertAlign w:val="superscript"/>
              </w:rPr>
              <w:t>2</w:t>
            </w:r>
            <w:r>
              <w:rPr>
                <w:rFonts w:hint="eastAsia" w:ascii="宋体" w:hAnsi="宋体" w:cs="宋体"/>
                <w:spacing w:val="-6"/>
                <w:szCs w:val="24"/>
              </w:rPr>
              <w:t>）</w:t>
            </w:r>
          </w:p>
        </w:tc>
        <w:tc>
          <w:tcPr>
            <w:tcW w:w="1565" w:type="pct"/>
            <w:vAlign w:val="center"/>
          </w:tcPr>
          <w:p w14:paraId="5B84BF28">
            <w:pPr>
              <w:adjustRightInd w:val="0"/>
              <w:snapToGrid w:val="0"/>
              <w:spacing w:line="240" w:lineRule="auto"/>
              <w:jc w:val="center"/>
              <w:rPr>
                <w:rFonts w:hint="eastAsia" w:ascii="宋体" w:hAnsi="宋体" w:cs="宋体"/>
                <w:szCs w:val="24"/>
              </w:rPr>
            </w:pPr>
            <w:r>
              <w:rPr>
                <w:szCs w:val="24"/>
              </w:rPr>
              <w:t>0</w:t>
            </w:r>
            <w:r>
              <w:rPr>
                <w:rFonts w:hint="eastAsia"/>
                <w:szCs w:val="24"/>
              </w:rPr>
              <w:t>（本次不新增用地）</w:t>
            </w:r>
          </w:p>
        </w:tc>
      </w:tr>
      <w:tr w14:paraId="0DB11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13" w:type="pct"/>
            <w:tcMar>
              <w:top w:w="16" w:type="dxa"/>
              <w:left w:w="16" w:type="dxa"/>
              <w:right w:w="16" w:type="dxa"/>
            </w:tcMar>
            <w:vAlign w:val="center"/>
          </w:tcPr>
          <w:p w14:paraId="1DE3D349">
            <w:pPr>
              <w:adjustRightInd w:val="0"/>
              <w:snapToGrid w:val="0"/>
              <w:spacing w:line="240" w:lineRule="auto"/>
              <w:jc w:val="center"/>
              <w:rPr>
                <w:rFonts w:hint="eastAsia" w:ascii="宋体" w:hAnsi="宋体" w:cs="宋体"/>
                <w:szCs w:val="24"/>
              </w:rPr>
            </w:pPr>
            <w:r>
              <w:rPr>
                <w:rFonts w:hint="eastAsia" w:ascii="宋体" w:hAnsi="宋体" w:cs="宋体"/>
                <w:kern w:val="0"/>
                <w:szCs w:val="24"/>
              </w:rPr>
              <w:t>专项评价设置情况</w:t>
            </w:r>
          </w:p>
        </w:tc>
        <w:tc>
          <w:tcPr>
            <w:tcW w:w="3987" w:type="pct"/>
            <w:gridSpan w:val="3"/>
            <w:vAlign w:val="center"/>
          </w:tcPr>
          <w:p w14:paraId="482D520A">
            <w:pPr>
              <w:adjustRightInd w:val="0"/>
              <w:snapToGrid w:val="0"/>
              <w:spacing w:line="240" w:lineRule="auto"/>
              <w:jc w:val="center"/>
              <w:rPr>
                <w:szCs w:val="24"/>
              </w:rPr>
            </w:pPr>
            <w:r>
              <w:rPr>
                <w:rFonts w:hint="eastAsia" w:cs="宋体"/>
                <w:kern w:val="0"/>
                <w:szCs w:val="24"/>
              </w:rPr>
              <w:t>无</w:t>
            </w:r>
          </w:p>
        </w:tc>
      </w:tr>
      <w:tr w14:paraId="7CEA3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13" w:type="pct"/>
            <w:tcMar>
              <w:top w:w="16" w:type="dxa"/>
              <w:left w:w="16" w:type="dxa"/>
              <w:right w:w="16" w:type="dxa"/>
            </w:tcMar>
            <w:vAlign w:val="center"/>
          </w:tcPr>
          <w:p w14:paraId="5EDE93CF">
            <w:pPr>
              <w:adjustRightInd w:val="0"/>
              <w:snapToGrid w:val="0"/>
              <w:spacing w:line="240" w:lineRule="auto"/>
              <w:jc w:val="center"/>
              <w:rPr>
                <w:rFonts w:hint="eastAsia" w:ascii="宋体" w:hAnsi="宋体" w:cs="宋体"/>
                <w:szCs w:val="24"/>
              </w:rPr>
            </w:pPr>
            <w:r>
              <w:rPr>
                <w:rFonts w:hint="eastAsia" w:ascii="宋体" w:hAnsi="宋体" w:cs="宋体"/>
                <w:szCs w:val="24"/>
              </w:rPr>
              <w:t>规划情况</w:t>
            </w:r>
          </w:p>
        </w:tc>
        <w:tc>
          <w:tcPr>
            <w:tcW w:w="3987" w:type="pct"/>
            <w:gridSpan w:val="3"/>
            <w:vAlign w:val="center"/>
          </w:tcPr>
          <w:p w14:paraId="1BD95DA5">
            <w:pPr>
              <w:adjustRightInd w:val="0"/>
              <w:snapToGrid w:val="0"/>
              <w:spacing w:line="240" w:lineRule="auto"/>
              <w:jc w:val="center"/>
              <w:rPr>
                <w:szCs w:val="24"/>
              </w:rPr>
            </w:pPr>
            <w:r>
              <w:rPr>
                <w:rFonts w:hint="eastAsia" w:cs="宋体"/>
                <w:kern w:val="0"/>
                <w:szCs w:val="24"/>
              </w:rPr>
              <w:t>无</w:t>
            </w:r>
          </w:p>
        </w:tc>
      </w:tr>
      <w:tr w14:paraId="260D8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13" w:type="pct"/>
            <w:tcMar>
              <w:top w:w="16" w:type="dxa"/>
              <w:left w:w="16" w:type="dxa"/>
              <w:right w:w="16" w:type="dxa"/>
            </w:tcMar>
            <w:vAlign w:val="center"/>
          </w:tcPr>
          <w:p w14:paraId="403C3849">
            <w:pPr>
              <w:adjustRightInd w:val="0"/>
              <w:snapToGrid w:val="0"/>
              <w:spacing w:line="240" w:lineRule="auto"/>
              <w:jc w:val="center"/>
              <w:rPr>
                <w:rFonts w:hint="eastAsia" w:ascii="宋体" w:hAnsi="宋体" w:cs="宋体"/>
                <w:szCs w:val="24"/>
              </w:rPr>
            </w:pPr>
            <w:r>
              <w:rPr>
                <w:rFonts w:hint="eastAsia" w:ascii="宋体" w:hAnsi="宋体" w:cs="宋体"/>
                <w:szCs w:val="24"/>
              </w:rPr>
              <w:t>规划环境影响评价情况</w:t>
            </w:r>
          </w:p>
        </w:tc>
        <w:tc>
          <w:tcPr>
            <w:tcW w:w="3987" w:type="pct"/>
            <w:gridSpan w:val="3"/>
            <w:vAlign w:val="center"/>
          </w:tcPr>
          <w:p w14:paraId="614819AA">
            <w:pPr>
              <w:adjustRightInd w:val="0"/>
              <w:snapToGrid w:val="0"/>
              <w:spacing w:line="240" w:lineRule="auto"/>
              <w:jc w:val="center"/>
              <w:rPr>
                <w:szCs w:val="24"/>
              </w:rPr>
            </w:pPr>
            <w:r>
              <w:rPr>
                <w:rFonts w:hint="eastAsia" w:cs="宋体"/>
                <w:kern w:val="0"/>
                <w:szCs w:val="24"/>
              </w:rPr>
              <w:t>无</w:t>
            </w:r>
          </w:p>
        </w:tc>
      </w:tr>
      <w:tr w14:paraId="2AA9C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13" w:type="pct"/>
            <w:tcMar>
              <w:top w:w="16" w:type="dxa"/>
              <w:left w:w="16" w:type="dxa"/>
              <w:right w:w="16" w:type="dxa"/>
            </w:tcMar>
            <w:vAlign w:val="center"/>
          </w:tcPr>
          <w:p w14:paraId="6F9177CA">
            <w:pPr>
              <w:adjustRightInd w:val="0"/>
              <w:snapToGrid w:val="0"/>
              <w:spacing w:line="240" w:lineRule="auto"/>
              <w:jc w:val="center"/>
              <w:rPr>
                <w:rFonts w:hint="eastAsia" w:ascii="宋体" w:hAnsi="宋体" w:cs="宋体"/>
                <w:szCs w:val="24"/>
              </w:rPr>
            </w:pPr>
            <w:r>
              <w:rPr>
                <w:rFonts w:hint="eastAsia" w:ascii="宋体" w:hAnsi="宋体" w:cs="宋体"/>
                <w:kern w:val="0"/>
                <w:szCs w:val="24"/>
              </w:rPr>
              <w:t>规划及规划环境影响评价符合性分析</w:t>
            </w:r>
          </w:p>
        </w:tc>
        <w:tc>
          <w:tcPr>
            <w:tcW w:w="3987" w:type="pct"/>
            <w:gridSpan w:val="3"/>
            <w:vAlign w:val="center"/>
          </w:tcPr>
          <w:p w14:paraId="3AAD6FE0">
            <w:pPr>
              <w:adjustRightInd w:val="0"/>
              <w:snapToGrid w:val="0"/>
              <w:spacing w:line="240" w:lineRule="auto"/>
              <w:jc w:val="center"/>
              <w:rPr>
                <w:szCs w:val="24"/>
              </w:rPr>
            </w:pPr>
            <w:r>
              <w:rPr>
                <w:rFonts w:hint="eastAsia" w:cs="宋体"/>
                <w:kern w:val="0"/>
                <w:szCs w:val="24"/>
              </w:rPr>
              <w:t>无</w:t>
            </w:r>
          </w:p>
        </w:tc>
      </w:tr>
      <w:tr w14:paraId="23819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013" w:type="pct"/>
            <w:tcMar>
              <w:top w:w="16" w:type="dxa"/>
              <w:left w:w="16" w:type="dxa"/>
              <w:right w:w="16" w:type="dxa"/>
            </w:tcMar>
            <w:vAlign w:val="center"/>
          </w:tcPr>
          <w:p w14:paraId="4E910307">
            <w:pPr>
              <w:adjustRightInd w:val="0"/>
              <w:snapToGrid w:val="0"/>
              <w:spacing w:line="240" w:lineRule="auto"/>
              <w:jc w:val="center"/>
              <w:rPr>
                <w:rFonts w:hint="eastAsia" w:ascii="宋体" w:hAnsi="宋体" w:cs="宋体"/>
                <w:kern w:val="0"/>
                <w:szCs w:val="24"/>
              </w:rPr>
            </w:pPr>
            <w:r>
              <w:rPr>
                <w:rFonts w:hint="eastAsia" w:ascii="宋体" w:hAnsi="宋体" w:cs="宋体"/>
                <w:kern w:val="0"/>
                <w:szCs w:val="24"/>
              </w:rPr>
              <w:t>其他符合性分析</w:t>
            </w:r>
          </w:p>
        </w:tc>
        <w:tc>
          <w:tcPr>
            <w:tcW w:w="3987" w:type="pct"/>
            <w:gridSpan w:val="3"/>
            <w:vAlign w:val="center"/>
          </w:tcPr>
          <w:p w14:paraId="2C2E1150">
            <w:pPr>
              <w:rPr>
                <w:b/>
                <w:szCs w:val="24"/>
              </w:rPr>
            </w:pPr>
            <w:r>
              <w:rPr>
                <w:rFonts w:hint="eastAsia"/>
                <w:b/>
                <w:szCs w:val="24"/>
              </w:rPr>
              <w:t>1</w:t>
            </w:r>
            <w:r>
              <w:rPr>
                <w:rFonts w:hint="eastAsia" w:ascii="宋体" w:hAnsi="宋体"/>
                <w:b/>
                <w:szCs w:val="24"/>
              </w:rPr>
              <w:t>、产业政策符合性分析</w:t>
            </w:r>
          </w:p>
          <w:p w14:paraId="7E5B07DF">
            <w:pPr>
              <w:autoSpaceDE w:val="0"/>
              <w:autoSpaceDN w:val="0"/>
              <w:ind w:firstLine="480" w:firstLineChars="200"/>
              <w:rPr>
                <w:kern w:val="0"/>
                <w:szCs w:val="24"/>
              </w:rPr>
            </w:pPr>
            <w:r>
              <w:rPr>
                <w:rFonts w:hint="eastAsia"/>
                <w:kern w:val="0"/>
                <w:szCs w:val="24"/>
              </w:rPr>
              <w:t>根据《产业结构调整指导目录（</w:t>
            </w:r>
            <w:r>
              <w:rPr>
                <w:kern w:val="0"/>
                <w:szCs w:val="24"/>
              </w:rPr>
              <w:t>2024</w:t>
            </w:r>
            <w:r>
              <w:rPr>
                <w:rFonts w:hint="eastAsia"/>
                <w:kern w:val="0"/>
                <w:szCs w:val="24"/>
              </w:rPr>
              <w:t>年本）》可知，本项目属于第一类“鼓励类”、“三十七、卫生健康”、“5、医疗卫生服务设施建设”。</w:t>
            </w:r>
          </w:p>
          <w:p w14:paraId="0549DFBD">
            <w:pPr>
              <w:autoSpaceDE w:val="0"/>
              <w:autoSpaceDN w:val="0"/>
              <w:ind w:firstLine="480" w:firstLineChars="200"/>
              <w:rPr>
                <w:kern w:val="0"/>
                <w:szCs w:val="24"/>
              </w:rPr>
            </w:pPr>
            <w:r>
              <w:rPr>
                <w:rFonts w:hint="eastAsia"/>
                <w:kern w:val="0"/>
                <w:szCs w:val="24"/>
              </w:rPr>
              <w:t>因此，本项目符合国家产业政策。</w:t>
            </w:r>
          </w:p>
          <w:p w14:paraId="7E191486">
            <w:pPr>
              <w:autoSpaceDE w:val="0"/>
              <w:autoSpaceDN w:val="0"/>
              <w:rPr>
                <w:b/>
                <w:szCs w:val="24"/>
              </w:rPr>
            </w:pPr>
            <w:r>
              <w:rPr>
                <w:rFonts w:hint="eastAsia"/>
                <w:b/>
                <w:szCs w:val="24"/>
              </w:rPr>
              <w:t>2、选址合理性分析</w:t>
            </w:r>
          </w:p>
          <w:p w14:paraId="233541BB">
            <w:pPr>
              <w:autoSpaceDE w:val="0"/>
              <w:autoSpaceDN w:val="0"/>
              <w:ind w:firstLine="480" w:firstLineChars="200"/>
              <w:rPr>
                <w:kern w:val="0"/>
                <w:szCs w:val="24"/>
              </w:rPr>
            </w:pPr>
            <w:r>
              <w:rPr>
                <w:rFonts w:hint="eastAsia"/>
                <w:kern w:val="0"/>
                <w:szCs w:val="24"/>
              </w:rPr>
              <w:t>本项目位于永州市双牌县茶林镇大河江村，不在饮用水水源保护区、自然保护区、风景名胜区、湿地公园等环境敏感地区。项目选址位于居民相对集中区域，方便就医人群；临城区道路而设，交通便利；区域水、电、通信等市政设施齐全。根据现场勘查，项目所在区域无潜在影响就医环境的工业企业。项目已建设污水处理系统，能够满足项目污水经有效处理后的纳管排放。综上所述，项目的建设选址从环境角度而言是可行的。</w:t>
            </w:r>
          </w:p>
          <w:p w14:paraId="4D276FE2">
            <w:pPr>
              <w:autoSpaceDE w:val="0"/>
              <w:autoSpaceDN w:val="0"/>
              <w:rPr>
                <w:b/>
                <w:szCs w:val="24"/>
              </w:rPr>
            </w:pPr>
            <w:r>
              <w:rPr>
                <w:rFonts w:hint="eastAsia"/>
                <w:b/>
                <w:szCs w:val="24"/>
              </w:rPr>
              <w:t>3、三线一单符合性分析</w:t>
            </w:r>
          </w:p>
          <w:p w14:paraId="7CFC1FD8">
            <w:pPr>
              <w:autoSpaceDE w:val="0"/>
              <w:autoSpaceDN w:val="0"/>
              <w:ind w:firstLine="480" w:firstLineChars="200"/>
              <w:rPr>
                <w:rFonts w:cs="宋体"/>
                <w:kern w:val="0"/>
                <w:szCs w:val="24"/>
              </w:rPr>
            </w:pPr>
            <w:r>
              <w:rPr>
                <w:rFonts w:hint="eastAsia" w:cs="宋体"/>
                <w:kern w:val="0"/>
                <w:szCs w:val="24"/>
              </w:rPr>
              <w:t>（1）生态保护红线</w:t>
            </w:r>
          </w:p>
          <w:p w14:paraId="6F5E8D23">
            <w:pPr>
              <w:autoSpaceDE w:val="0"/>
              <w:autoSpaceDN w:val="0"/>
              <w:ind w:firstLine="480" w:firstLineChars="200"/>
              <w:rPr>
                <w:rFonts w:cs="宋体"/>
                <w:kern w:val="0"/>
                <w:szCs w:val="24"/>
              </w:rPr>
            </w:pPr>
            <w:r>
              <w:rPr>
                <w:rFonts w:hint="eastAsia" w:cs="宋体"/>
                <w:kern w:val="0"/>
                <w:szCs w:val="24"/>
              </w:rPr>
              <w:t>本项目位于永州市双牌县茶林镇大河江村，且本次项目不新增用地，故本项目不涉及生态红线。</w:t>
            </w:r>
          </w:p>
          <w:p w14:paraId="195978AB">
            <w:pPr>
              <w:autoSpaceDE w:val="0"/>
              <w:autoSpaceDN w:val="0"/>
              <w:ind w:firstLine="480" w:firstLineChars="200"/>
              <w:rPr>
                <w:rFonts w:cs="宋体"/>
                <w:kern w:val="0"/>
                <w:szCs w:val="24"/>
              </w:rPr>
            </w:pPr>
            <w:r>
              <w:rPr>
                <w:rFonts w:hint="eastAsia" w:cs="宋体"/>
                <w:kern w:val="0"/>
                <w:szCs w:val="24"/>
              </w:rPr>
              <w:t>（2）环境质量底线</w:t>
            </w:r>
          </w:p>
          <w:p w14:paraId="187702D4">
            <w:pPr>
              <w:autoSpaceDE w:val="0"/>
              <w:autoSpaceDN w:val="0"/>
              <w:ind w:firstLine="480" w:firstLineChars="200"/>
              <w:rPr>
                <w:rFonts w:cs="宋体"/>
                <w:kern w:val="0"/>
                <w:szCs w:val="24"/>
              </w:rPr>
            </w:pPr>
            <w:r>
              <w:rPr>
                <w:rFonts w:hint="eastAsia" w:cs="宋体"/>
                <w:kern w:val="0"/>
                <w:szCs w:val="24"/>
              </w:rPr>
              <w:t>本项目所在区域的空气环境满足《环境空气质量标准》（GB3095-2012）中的二级标准、地表水环境水质现状满足《地表水环境质量标准》（GB3838-2002）Ⅲ类标准，本项目所在地为2类声环境功能区。综上，在采取相应的污染防治措施后，本项目各类污染物达标排放，不会对周边环境造成不良影响，即不会改变区域环境功能区质量要求，因此本项目选址与现有环境质量是相容的，符合环境质量底线的要求。</w:t>
            </w:r>
          </w:p>
          <w:p w14:paraId="28B4362A">
            <w:pPr>
              <w:autoSpaceDE w:val="0"/>
              <w:autoSpaceDN w:val="0"/>
              <w:ind w:firstLine="480" w:firstLineChars="200"/>
              <w:rPr>
                <w:rFonts w:cs="宋体"/>
                <w:kern w:val="0"/>
                <w:szCs w:val="24"/>
              </w:rPr>
            </w:pPr>
            <w:r>
              <w:rPr>
                <w:rFonts w:hint="eastAsia" w:cs="宋体"/>
                <w:kern w:val="0"/>
                <w:szCs w:val="24"/>
              </w:rPr>
              <w:t>（3）资源利用上线</w:t>
            </w:r>
          </w:p>
          <w:p w14:paraId="248EB71C">
            <w:pPr>
              <w:autoSpaceDE w:val="0"/>
              <w:autoSpaceDN w:val="0"/>
              <w:ind w:firstLine="480" w:firstLineChars="200"/>
              <w:rPr>
                <w:rFonts w:cs="宋体"/>
                <w:kern w:val="0"/>
                <w:szCs w:val="24"/>
              </w:rPr>
            </w:pPr>
            <w:r>
              <w:rPr>
                <w:rFonts w:hint="eastAsia" w:cs="宋体"/>
                <w:kern w:val="0"/>
                <w:szCs w:val="24"/>
              </w:rPr>
              <w:t>本项目为医疗卫生服务行业，营运过程中消耗部分水资源、电资源，区域内生产和生活用水均使用自来水，能源主要依托当地电网供电，项目资源消耗相对区域资源利用总量较小，符合资源利用上线要求。</w:t>
            </w:r>
          </w:p>
          <w:p w14:paraId="12137C73">
            <w:pPr>
              <w:autoSpaceDE w:val="0"/>
              <w:autoSpaceDN w:val="0"/>
              <w:ind w:firstLine="480" w:firstLineChars="200"/>
              <w:rPr>
                <w:rFonts w:cs="宋体"/>
                <w:kern w:val="0"/>
                <w:szCs w:val="24"/>
              </w:rPr>
            </w:pPr>
            <w:r>
              <w:rPr>
                <w:rFonts w:hint="eastAsia" w:cs="宋体"/>
                <w:kern w:val="0"/>
                <w:szCs w:val="24"/>
              </w:rPr>
              <w:t>（</w:t>
            </w:r>
            <w:r>
              <w:rPr>
                <w:rFonts w:cs="宋体"/>
                <w:kern w:val="0"/>
                <w:szCs w:val="24"/>
              </w:rPr>
              <w:t>4</w:t>
            </w:r>
            <w:r>
              <w:rPr>
                <w:rFonts w:hint="eastAsia" w:cs="宋体"/>
                <w:kern w:val="0"/>
                <w:szCs w:val="24"/>
              </w:rPr>
              <w:t>）生态环境准入清单</w:t>
            </w:r>
          </w:p>
          <w:p w14:paraId="109A0200">
            <w:pPr>
              <w:autoSpaceDE w:val="0"/>
              <w:autoSpaceDN w:val="0"/>
              <w:ind w:firstLine="480" w:firstLineChars="200"/>
              <w:rPr>
                <w:rFonts w:cs="宋体"/>
                <w:kern w:val="0"/>
                <w:szCs w:val="24"/>
              </w:rPr>
            </w:pPr>
            <w:r>
              <w:rPr>
                <w:rFonts w:hint="eastAsia" w:cs="宋体"/>
                <w:kern w:val="0"/>
                <w:szCs w:val="24"/>
              </w:rPr>
              <w:t>本项目与《永州市环境管控单元（省级以上产业园区除外）生态环境准入清单（2023版）》的相符性分析见表1-</w:t>
            </w:r>
            <w:r>
              <w:rPr>
                <w:rFonts w:cs="宋体"/>
                <w:kern w:val="0"/>
                <w:szCs w:val="24"/>
              </w:rPr>
              <w:t>1</w:t>
            </w:r>
            <w:r>
              <w:rPr>
                <w:rFonts w:hint="eastAsia" w:cs="宋体"/>
                <w:kern w:val="0"/>
                <w:szCs w:val="24"/>
              </w:rPr>
              <w:t>。</w:t>
            </w:r>
          </w:p>
          <w:p w14:paraId="7F4B72A4">
            <w:pPr>
              <w:autoSpaceDE w:val="0"/>
              <w:autoSpaceDN w:val="0"/>
              <w:spacing w:line="240" w:lineRule="auto"/>
              <w:jc w:val="center"/>
              <w:rPr>
                <w:b/>
                <w:kern w:val="0"/>
                <w:szCs w:val="24"/>
              </w:rPr>
            </w:pPr>
            <w:r>
              <w:rPr>
                <w:b/>
                <w:kern w:val="0"/>
                <w:szCs w:val="24"/>
              </w:rPr>
              <w:t>表1-1 项目与</w:t>
            </w:r>
            <w:r>
              <w:rPr>
                <w:rFonts w:hint="eastAsia"/>
                <w:b/>
                <w:szCs w:val="24"/>
              </w:rPr>
              <w:t>《永州市环境管控单元（省级以上产业园区除外）生态环境准入清单（2023版）》</w:t>
            </w:r>
            <w:r>
              <w:rPr>
                <w:b/>
                <w:kern w:val="0"/>
                <w:szCs w:val="24"/>
              </w:rPr>
              <w:t>的相符性分析</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413"/>
              <w:gridCol w:w="2232"/>
              <w:gridCol w:w="644"/>
            </w:tblGrid>
            <w:tr w14:paraId="045E3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14:paraId="0C7A0A12">
                  <w:pPr>
                    <w:spacing w:line="240" w:lineRule="auto"/>
                    <w:jc w:val="center"/>
                    <w:rPr>
                      <w:b/>
                      <w:sz w:val="21"/>
                      <w:szCs w:val="21"/>
                    </w:rPr>
                  </w:pPr>
                  <w:r>
                    <w:rPr>
                      <w:b/>
                      <w:sz w:val="21"/>
                      <w:szCs w:val="21"/>
                    </w:rPr>
                    <w:t>管控维度</w:t>
                  </w:r>
                </w:p>
              </w:tc>
              <w:tc>
                <w:tcPr>
                  <w:tcW w:w="2379" w:type="pct"/>
                  <w:vAlign w:val="center"/>
                </w:tcPr>
                <w:p w14:paraId="40E11E32">
                  <w:pPr>
                    <w:spacing w:line="240" w:lineRule="auto"/>
                    <w:jc w:val="center"/>
                    <w:rPr>
                      <w:b/>
                      <w:sz w:val="21"/>
                      <w:szCs w:val="21"/>
                    </w:rPr>
                  </w:pPr>
                  <w:r>
                    <w:rPr>
                      <w:b/>
                      <w:sz w:val="21"/>
                      <w:szCs w:val="21"/>
                    </w:rPr>
                    <w:t>管控要求</w:t>
                  </w:r>
                </w:p>
              </w:tc>
              <w:tc>
                <w:tcPr>
                  <w:tcW w:w="1556" w:type="pct"/>
                  <w:vAlign w:val="center"/>
                </w:tcPr>
                <w:p w14:paraId="17502CD9">
                  <w:pPr>
                    <w:spacing w:line="240" w:lineRule="auto"/>
                    <w:jc w:val="center"/>
                    <w:rPr>
                      <w:b/>
                      <w:sz w:val="21"/>
                      <w:szCs w:val="21"/>
                    </w:rPr>
                  </w:pPr>
                  <w:r>
                    <w:rPr>
                      <w:b/>
                      <w:sz w:val="21"/>
                      <w:szCs w:val="21"/>
                    </w:rPr>
                    <w:t>项目情况</w:t>
                  </w:r>
                </w:p>
              </w:tc>
              <w:tc>
                <w:tcPr>
                  <w:tcW w:w="449" w:type="pct"/>
                  <w:vAlign w:val="center"/>
                </w:tcPr>
                <w:p w14:paraId="79D53BA6">
                  <w:pPr>
                    <w:spacing w:line="240" w:lineRule="auto"/>
                    <w:jc w:val="center"/>
                    <w:rPr>
                      <w:b/>
                      <w:sz w:val="21"/>
                      <w:szCs w:val="21"/>
                    </w:rPr>
                  </w:pPr>
                  <w:r>
                    <w:rPr>
                      <w:b/>
                      <w:sz w:val="21"/>
                      <w:szCs w:val="21"/>
                    </w:rPr>
                    <w:t>符合性</w:t>
                  </w:r>
                </w:p>
              </w:tc>
            </w:tr>
            <w:tr w14:paraId="2E122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14:paraId="2EBE7B30">
                  <w:pPr>
                    <w:spacing w:line="240" w:lineRule="auto"/>
                    <w:jc w:val="center"/>
                    <w:rPr>
                      <w:sz w:val="21"/>
                      <w:szCs w:val="21"/>
                    </w:rPr>
                  </w:pPr>
                  <w:r>
                    <w:rPr>
                      <w:sz w:val="21"/>
                      <w:szCs w:val="21"/>
                    </w:rPr>
                    <w:t>空间布局约束</w:t>
                  </w:r>
                </w:p>
              </w:tc>
              <w:tc>
                <w:tcPr>
                  <w:tcW w:w="2379" w:type="pct"/>
                  <w:vAlign w:val="center"/>
                </w:tcPr>
                <w:p w14:paraId="5C88AD03">
                  <w:pPr>
                    <w:spacing w:line="240" w:lineRule="auto"/>
                    <w:rPr>
                      <w:sz w:val="21"/>
                      <w:szCs w:val="21"/>
                    </w:rPr>
                  </w:pPr>
                  <w:r>
                    <w:rPr>
                      <w:rFonts w:hint="eastAsia"/>
                      <w:sz w:val="21"/>
                      <w:szCs w:val="21"/>
                    </w:rPr>
                    <w:t>（1.1）产业准入应严格执行国家、省级关于主体功能区划的环境保护及产业准入负面清单要求。</w:t>
                  </w:r>
                </w:p>
                <w:p w14:paraId="02623E5C">
                  <w:pPr>
                    <w:spacing w:line="240" w:lineRule="auto"/>
                    <w:rPr>
                      <w:sz w:val="21"/>
                      <w:szCs w:val="21"/>
                    </w:rPr>
                  </w:pPr>
                  <w:r>
                    <w:rPr>
                      <w:rFonts w:hint="eastAsia"/>
                      <w:sz w:val="21"/>
                      <w:szCs w:val="21"/>
                    </w:rPr>
                    <w:t>（1.2）畜禽养殖产业布局应符合《双牌县畜禽规模养殖“三区”划定工作方案》、《双牌县畜牧业发展“十四五”规划（2021-2025 年） 》。</w:t>
                  </w:r>
                </w:p>
              </w:tc>
              <w:tc>
                <w:tcPr>
                  <w:tcW w:w="1556" w:type="pct"/>
                  <w:vAlign w:val="center"/>
                </w:tcPr>
                <w:p w14:paraId="0DFF02FA">
                  <w:pPr>
                    <w:spacing w:line="240" w:lineRule="auto"/>
                    <w:jc w:val="center"/>
                    <w:rPr>
                      <w:sz w:val="21"/>
                      <w:szCs w:val="21"/>
                    </w:rPr>
                  </w:pPr>
                  <w:r>
                    <w:rPr>
                      <w:sz w:val="21"/>
                      <w:szCs w:val="21"/>
                    </w:rPr>
                    <w:t>本项目属于卫生健康类</w:t>
                  </w:r>
                  <w:r>
                    <w:rPr>
                      <w:rFonts w:hint="eastAsia"/>
                      <w:sz w:val="21"/>
                      <w:szCs w:val="21"/>
                    </w:rPr>
                    <w:t>项目</w:t>
                  </w:r>
                  <w:r>
                    <w:rPr>
                      <w:sz w:val="21"/>
                      <w:szCs w:val="21"/>
                    </w:rPr>
                    <w:t>，不属于高污染、高能耗、高物耗企业</w:t>
                  </w:r>
                  <w:r>
                    <w:rPr>
                      <w:rFonts w:hint="eastAsia"/>
                      <w:sz w:val="21"/>
                      <w:szCs w:val="21"/>
                    </w:rPr>
                    <w:t>。</w:t>
                  </w:r>
                </w:p>
              </w:tc>
              <w:tc>
                <w:tcPr>
                  <w:tcW w:w="449" w:type="pct"/>
                  <w:vAlign w:val="center"/>
                </w:tcPr>
                <w:p w14:paraId="0B21E31A">
                  <w:pPr>
                    <w:spacing w:line="240" w:lineRule="auto"/>
                    <w:jc w:val="center"/>
                    <w:rPr>
                      <w:sz w:val="21"/>
                      <w:szCs w:val="21"/>
                    </w:rPr>
                  </w:pPr>
                  <w:r>
                    <w:rPr>
                      <w:sz w:val="21"/>
                      <w:szCs w:val="21"/>
                    </w:rPr>
                    <w:t>符合要求</w:t>
                  </w:r>
                </w:p>
              </w:tc>
            </w:tr>
            <w:tr w14:paraId="47EB6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14:paraId="08BCC299">
                  <w:pPr>
                    <w:spacing w:line="240" w:lineRule="auto"/>
                    <w:jc w:val="center"/>
                    <w:rPr>
                      <w:sz w:val="21"/>
                      <w:szCs w:val="21"/>
                    </w:rPr>
                  </w:pPr>
                  <w:r>
                    <w:rPr>
                      <w:sz w:val="21"/>
                      <w:szCs w:val="21"/>
                    </w:rPr>
                    <w:t>污染物排放管控</w:t>
                  </w:r>
                </w:p>
              </w:tc>
              <w:tc>
                <w:tcPr>
                  <w:tcW w:w="2379" w:type="pct"/>
                  <w:vAlign w:val="center"/>
                </w:tcPr>
                <w:p w14:paraId="4C820A46">
                  <w:pPr>
                    <w:spacing w:line="240" w:lineRule="auto"/>
                    <w:rPr>
                      <w:sz w:val="21"/>
                      <w:szCs w:val="21"/>
                    </w:rPr>
                  </w:pPr>
                  <w:r>
                    <w:rPr>
                      <w:rFonts w:hint="eastAsia"/>
                      <w:sz w:val="21"/>
                      <w:szCs w:val="21"/>
                    </w:rPr>
                    <w:t>（2.1）做好养殖业的粪污利用工程，建设以处理后养殖废水贮存池为核心的养殖废水农田利用工程。</w:t>
                  </w:r>
                </w:p>
                <w:p w14:paraId="33D0FD17">
                  <w:pPr>
                    <w:spacing w:line="240" w:lineRule="auto"/>
                    <w:rPr>
                      <w:sz w:val="21"/>
                      <w:szCs w:val="21"/>
                    </w:rPr>
                  </w:pPr>
                  <w:r>
                    <w:rPr>
                      <w:rFonts w:hint="eastAsia"/>
                      <w:sz w:val="21"/>
                      <w:szCs w:val="21"/>
                    </w:rPr>
                    <w:t>（2.2）完善生活污水处理设施及管网。</w:t>
                  </w:r>
                </w:p>
                <w:p w14:paraId="738A3724">
                  <w:pPr>
                    <w:spacing w:line="240" w:lineRule="auto"/>
                    <w:rPr>
                      <w:sz w:val="21"/>
                      <w:szCs w:val="21"/>
                    </w:rPr>
                  </w:pPr>
                  <w:r>
                    <w:rPr>
                      <w:rFonts w:hint="eastAsia"/>
                      <w:sz w:val="21"/>
                      <w:szCs w:val="21"/>
                    </w:rPr>
                    <w:t>（2.3）加强对露天焚烧秸秆的管理。</w:t>
                  </w:r>
                </w:p>
                <w:p w14:paraId="18724D7A">
                  <w:pPr>
                    <w:spacing w:line="240" w:lineRule="auto"/>
                    <w:rPr>
                      <w:sz w:val="21"/>
                      <w:szCs w:val="21"/>
                    </w:rPr>
                  </w:pPr>
                  <w:r>
                    <w:rPr>
                      <w:rFonts w:hint="eastAsia"/>
                      <w:sz w:val="21"/>
                      <w:szCs w:val="21"/>
                    </w:rPr>
                    <w:t>（2.4）持续推进生活垃圾无害化处置。建设垃圾中转站，垃圾处理站，餐厨垃圾治理设施，购置相关车辆和设备，配套附属工程，对双牌县城市生活垃圾进行治理，实现综合利用。</w:t>
                  </w:r>
                </w:p>
                <w:p w14:paraId="7412FC49">
                  <w:pPr>
                    <w:spacing w:line="240" w:lineRule="auto"/>
                    <w:rPr>
                      <w:sz w:val="21"/>
                      <w:szCs w:val="21"/>
                    </w:rPr>
                  </w:pPr>
                </w:p>
              </w:tc>
              <w:tc>
                <w:tcPr>
                  <w:tcW w:w="1556" w:type="pct"/>
                  <w:vAlign w:val="center"/>
                </w:tcPr>
                <w:p w14:paraId="17657ADA">
                  <w:pPr>
                    <w:spacing w:line="240" w:lineRule="auto"/>
                    <w:rPr>
                      <w:sz w:val="21"/>
                      <w:szCs w:val="21"/>
                    </w:rPr>
                  </w:pPr>
                  <w:r>
                    <w:rPr>
                      <w:sz w:val="21"/>
                      <w:szCs w:val="21"/>
                    </w:rPr>
                    <w:t>（1）废水：</w:t>
                  </w:r>
                  <w:r>
                    <w:rPr>
                      <w:rFonts w:hint="eastAsia"/>
                      <w:sz w:val="21"/>
                      <w:szCs w:val="21"/>
                    </w:rPr>
                    <w:t>医疗废水经过自建污水系统（隔油池+化粪池+沉淀+消毒工艺）处理满足《医疗机构水污染物排放标准》（GB18466-2005）表2中的预处理标准后排入</w:t>
                  </w:r>
                  <w:bookmarkStart w:id="32" w:name="OLE_LINK2"/>
                  <w:r>
                    <w:rPr>
                      <w:rFonts w:hint="eastAsia"/>
                      <w:sz w:val="21"/>
                      <w:szCs w:val="21"/>
                    </w:rPr>
                    <w:t>茶林镇污水处理厂</w:t>
                  </w:r>
                  <w:bookmarkEnd w:id="32"/>
                  <w:r>
                    <w:rPr>
                      <w:rFonts w:hint="eastAsia"/>
                      <w:sz w:val="21"/>
                      <w:szCs w:val="21"/>
                    </w:rPr>
                    <w:t>处理达到《城镇污水处理厂污染物排放标准》中表1一级A标准后排入小河江</w:t>
                  </w:r>
                  <w:r>
                    <w:rPr>
                      <w:sz w:val="21"/>
                      <w:szCs w:val="21"/>
                    </w:rPr>
                    <w:t>；</w:t>
                  </w:r>
                </w:p>
                <w:p w14:paraId="2B26BA43">
                  <w:pPr>
                    <w:spacing w:line="240" w:lineRule="auto"/>
                    <w:rPr>
                      <w:sz w:val="21"/>
                      <w:szCs w:val="21"/>
                    </w:rPr>
                  </w:pPr>
                  <w:r>
                    <w:rPr>
                      <w:sz w:val="21"/>
                      <w:szCs w:val="21"/>
                    </w:rPr>
                    <w:t>（2）废气：</w:t>
                  </w:r>
                  <w:r>
                    <w:rPr>
                      <w:rFonts w:hint="eastAsia"/>
                      <w:sz w:val="21"/>
                      <w:szCs w:val="21"/>
                    </w:rPr>
                    <w:t>污水处理站恶臭采取池体密闭加盖+投放除臭药剂方式减少无组织排放污染影响</w:t>
                  </w:r>
                  <w:r>
                    <w:rPr>
                      <w:sz w:val="21"/>
                      <w:szCs w:val="21"/>
                    </w:rPr>
                    <w:t>；</w:t>
                  </w:r>
                  <w:r>
                    <w:rPr>
                      <w:rFonts w:hint="eastAsia"/>
                      <w:sz w:val="21"/>
                      <w:szCs w:val="21"/>
                    </w:rPr>
                    <w:t>食堂油烟：采取油烟净化器处理后经过排烟管道楼顶排放</w:t>
                  </w:r>
                </w:p>
                <w:p w14:paraId="07C4779B">
                  <w:pPr>
                    <w:spacing w:line="240" w:lineRule="auto"/>
                    <w:rPr>
                      <w:sz w:val="21"/>
                      <w:szCs w:val="21"/>
                    </w:rPr>
                  </w:pPr>
                  <w:r>
                    <w:rPr>
                      <w:sz w:val="21"/>
                      <w:szCs w:val="21"/>
                    </w:rPr>
                    <w:t>（3）固废：</w:t>
                  </w:r>
                </w:p>
                <w:p w14:paraId="172D31EE">
                  <w:pPr>
                    <w:spacing w:line="240" w:lineRule="auto"/>
                    <w:rPr>
                      <w:sz w:val="21"/>
                      <w:szCs w:val="21"/>
                    </w:rPr>
                  </w:pPr>
                  <w:r>
                    <w:rPr>
                      <w:sz w:val="21"/>
                      <w:szCs w:val="21"/>
                    </w:rPr>
                    <w:t>项目生活垃圾收集后交由当地环卫部门统一处理；医疗废物统一收集后在医疗废物暂存间暂存定期交由</w:t>
                  </w:r>
                  <w:r>
                    <w:rPr>
                      <w:rFonts w:hint="eastAsia"/>
                      <w:sz w:val="21"/>
                      <w:szCs w:val="21"/>
                    </w:rPr>
                    <w:t>永州</w:t>
                  </w:r>
                  <w:r>
                    <w:rPr>
                      <w:sz w:val="21"/>
                      <w:szCs w:val="21"/>
                    </w:rPr>
                    <w:t>市医疗废物集中处置中心集中处置；一体化污水处理设备污泥浓缩干化消毒后应及时送交具有处置危险废物的资质单位进行处置。</w:t>
                  </w:r>
                </w:p>
              </w:tc>
              <w:tc>
                <w:tcPr>
                  <w:tcW w:w="449" w:type="pct"/>
                  <w:vAlign w:val="center"/>
                </w:tcPr>
                <w:p w14:paraId="3BE128EA">
                  <w:pPr>
                    <w:spacing w:line="240" w:lineRule="auto"/>
                    <w:jc w:val="center"/>
                    <w:rPr>
                      <w:sz w:val="21"/>
                      <w:szCs w:val="21"/>
                    </w:rPr>
                  </w:pPr>
                  <w:r>
                    <w:rPr>
                      <w:sz w:val="21"/>
                      <w:szCs w:val="21"/>
                    </w:rPr>
                    <w:t>符合要求</w:t>
                  </w:r>
                </w:p>
              </w:tc>
            </w:tr>
            <w:tr w14:paraId="0B32F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14:paraId="2DF54844">
                  <w:pPr>
                    <w:spacing w:line="240" w:lineRule="auto"/>
                    <w:jc w:val="center"/>
                    <w:rPr>
                      <w:sz w:val="21"/>
                      <w:szCs w:val="21"/>
                    </w:rPr>
                  </w:pPr>
                  <w:r>
                    <w:rPr>
                      <w:sz w:val="21"/>
                      <w:szCs w:val="21"/>
                    </w:rPr>
                    <w:t>环境风险防控</w:t>
                  </w:r>
                </w:p>
              </w:tc>
              <w:tc>
                <w:tcPr>
                  <w:tcW w:w="2379" w:type="pct"/>
                  <w:vAlign w:val="center"/>
                </w:tcPr>
                <w:p w14:paraId="35E21CD0">
                  <w:pPr>
                    <w:spacing w:line="240" w:lineRule="auto"/>
                    <w:rPr>
                      <w:sz w:val="21"/>
                      <w:szCs w:val="21"/>
                    </w:rPr>
                  </w:pPr>
                  <w:r>
                    <w:rPr>
                      <w:rFonts w:hint="eastAsia"/>
                      <w:sz w:val="21"/>
                      <w:szCs w:val="21"/>
                    </w:rPr>
                    <w:t>（3.1）按照《永州市“十四五”生态环境保护规划》《湖南省永州市双牌县“十四五”生态环境保护规划》强化环境风险管控，完善环境风险防控体系。</w:t>
                  </w:r>
                </w:p>
              </w:tc>
              <w:tc>
                <w:tcPr>
                  <w:tcW w:w="1556" w:type="pct"/>
                  <w:vAlign w:val="center"/>
                </w:tcPr>
                <w:p w14:paraId="3E7835AC">
                  <w:pPr>
                    <w:spacing w:line="240" w:lineRule="auto"/>
                    <w:jc w:val="center"/>
                    <w:rPr>
                      <w:sz w:val="21"/>
                      <w:szCs w:val="21"/>
                    </w:rPr>
                  </w:pPr>
                  <w:r>
                    <w:rPr>
                      <w:sz w:val="21"/>
                      <w:szCs w:val="21"/>
                    </w:rPr>
                    <w:t>严格</w:t>
                  </w:r>
                  <w:r>
                    <w:rPr>
                      <w:rFonts w:hint="eastAsia"/>
                      <w:sz w:val="21"/>
                      <w:szCs w:val="21"/>
                    </w:rPr>
                    <w:t>按照《永州市“十四五”生态环境保护规划》《湖南省永州市双牌县“十四五”生态环境保护规划》强化环境风险管控要求</w:t>
                  </w:r>
                </w:p>
              </w:tc>
              <w:tc>
                <w:tcPr>
                  <w:tcW w:w="449" w:type="pct"/>
                  <w:vAlign w:val="center"/>
                </w:tcPr>
                <w:p w14:paraId="24AFE6B8">
                  <w:pPr>
                    <w:spacing w:line="240" w:lineRule="auto"/>
                    <w:jc w:val="center"/>
                    <w:rPr>
                      <w:sz w:val="21"/>
                      <w:szCs w:val="21"/>
                    </w:rPr>
                  </w:pPr>
                  <w:r>
                    <w:rPr>
                      <w:sz w:val="21"/>
                      <w:szCs w:val="21"/>
                    </w:rPr>
                    <w:t>符合要求</w:t>
                  </w:r>
                </w:p>
              </w:tc>
            </w:tr>
            <w:tr w14:paraId="086F7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vAlign w:val="center"/>
                </w:tcPr>
                <w:p w14:paraId="3D01862C">
                  <w:pPr>
                    <w:spacing w:line="240" w:lineRule="auto"/>
                    <w:jc w:val="center"/>
                    <w:rPr>
                      <w:sz w:val="21"/>
                      <w:szCs w:val="21"/>
                    </w:rPr>
                  </w:pPr>
                  <w:r>
                    <w:rPr>
                      <w:sz w:val="21"/>
                      <w:szCs w:val="21"/>
                    </w:rPr>
                    <w:t>资源开发效率要求</w:t>
                  </w:r>
                </w:p>
              </w:tc>
              <w:tc>
                <w:tcPr>
                  <w:tcW w:w="2379" w:type="pct"/>
                  <w:vAlign w:val="center"/>
                </w:tcPr>
                <w:p w14:paraId="7E8508D1">
                  <w:pPr>
                    <w:spacing w:line="240" w:lineRule="auto"/>
                    <w:rPr>
                      <w:sz w:val="21"/>
                      <w:szCs w:val="21"/>
                    </w:rPr>
                  </w:pPr>
                  <w:r>
                    <w:rPr>
                      <w:sz w:val="21"/>
                      <w:szCs w:val="21"/>
                    </w:rPr>
                    <w:t>（4.1）能源：</w:t>
                  </w:r>
                </w:p>
                <w:p w14:paraId="50B03B07">
                  <w:pPr>
                    <w:spacing w:line="240" w:lineRule="auto"/>
                    <w:rPr>
                      <w:sz w:val="21"/>
                      <w:szCs w:val="21"/>
                    </w:rPr>
                  </w:pPr>
                  <w:r>
                    <w:rPr>
                      <w:sz w:val="21"/>
                      <w:szCs w:val="21"/>
                    </w:rPr>
                    <w:t>着力优化能源结构，包括严格控制煤炭消费总量、加快燃煤锅炉综合整治、优先使用和推广可再生能源、积极推广利用天然气和推进燃油油品质量升级。</w:t>
                  </w:r>
                </w:p>
                <w:p w14:paraId="13D55430">
                  <w:pPr>
                    <w:spacing w:line="240" w:lineRule="auto"/>
                    <w:rPr>
                      <w:sz w:val="21"/>
                      <w:szCs w:val="21"/>
                    </w:rPr>
                  </w:pPr>
                  <w:r>
                    <w:rPr>
                      <w:sz w:val="21"/>
                      <w:szCs w:val="21"/>
                    </w:rPr>
                    <w:t>（4.2）水资源：</w:t>
                  </w:r>
                </w:p>
                <w:p w14:paraId="7A0B6457">
                  <w:pPr>
                    <w:spacing w:line="240" w:lineRule="auto"/>
                    <w:rPr>
                      <w:sz w:val="21"/>
                      <w:szCs w:val="21"/>
                    </w:rPr>
                  </w:pPr>
                  <w:r>
                    <w:rPr>
                      <w:sz w:val="21"/>
                      <w:szCs w:val="21"/>
                    </w:rPr>
                    <w:t>到2025年，双牌县指标应符合相应行政区域的管控要求，双牌县用水总量为8025万立方米以内，农业用水总量控制在6038万m3，万元地区生产总值用水量、万元工业增加值用水量分别比2020年降低8.00%、8.87%，农田灌溉水有效利用系数为0.557。</w:t>
                  </w:r>
                </w:p>
                <w:p w14:paraId="22155292">
                  <w:pPr>
                    <w:spacing w:line="240" w:lineRule="auto"/>
                    <w:rPr>
                      <w:sz w:val="21"/>
                      <w:szCs w:val="21"/>
                    </w:rPr>
                  </w:pPr>
                  <w:r>
                    <w:rPr>
                      <w:sz w:val="21"/>
                      <w:szCs w:val="21"/>
                    </w:rPr>
                    <w:t>（4.3）土地资源：</w:t>
                  </w:r>
                </w:p>
                <w:p w14:paraId="270D7359">
                  <w:pPr>
                    <w:spacing w:line="240" w:lineRule="auto"/>
                    <w:rPr>
                      <w:sz w:val="21"/>
                      <w:szCs w:val="21"/>
                    </w:rPr>
                  </w:pPr>
                  <w:r>
                    <w:rPr>
                      <w:sz w:val="21"/>
                      <w:szCs w:val="21"/>
                    </w:rPr>
                    <w:t>规划到2035 年，全县耕地保有量不低于7953.88公顷（其中茶林镇、麻江镇456.37、454.38 公顷），永久基本农田保护面积不低于7035.46公顷（其中茶林镇、麻江418.51、423.55公顷），全县生态保护红线面积不低于33936.85公顷；全县划定城镇开发边界1199.92公顷，划定城镇发展区 1249.55公顷，乡村发展区81704.61公顷，矿产能源发展区54.84公顷。</w:t>
                  </w:r>
                </w:p>
              </w:tc>
              <w:tc>
                <w:tcPr>
                  <w:tcW w:w="1556" w:type="pct"/>
                  <w:vAlign w:val="center"/>
                </w:tcPr>
                <w:p w14:paraId="4A0EDBAC">
                  <w:pPr>
                    <w:spacing w:line="240" w:lineRule="auto"/>
                    <w:jc w:val="center"/>
                    <w:rPr>
                      <w:sz w:val="21"/>
                      <w:szCs w:val="21"/>
                    </w:rPr>
                  </w:pPr>
                  <w:r>
                    <w:rPr>
                      <w:sz w:val="21"/>
                      <w:szCs w:val="21"/>
                    </w:rPr>
                    <w:t>本项目使用能源为</w:t>
                  </w:r>
                </w:p>
                <w:p w14:paraId="370E341F">
                  <w:pPr>
                    <w:spacing w:line="240" w:lineRule="auto"/>
                    <w:jc w:val="center"/>
                    <w:rPr>
                      <w:sz w:val="21"/>
                      <w:szCs w:val="21"/>
                    </w:rPr>
                  </w:pPr>
                  <w:r>
                    <w:rPr>
                      <w:sz w:val="21"/>
                      <w:szCs w:val="21"/>
                    </w:rPr>
                    <w:t>电能，项目用水量较小，项目为医疗卫生类项目，不涉及矿产资源开发。</w:t>
                  </w:r>
                </w:p>
              </w:tc>
              <w:tc>
                <w:tcPr>
                  <w:tcW w:w="449" w:type="pct"/>
                  <w:vAlign w:val="center"/>
                </w:tcPr>
                <w:p w14:paraId="36F24C8C">
                  <w:pPr>
                    <w:spacing w:line="240" w:lineRule="auto"/>
                    <w:jc w:val="center"/>
                    <w:rPr>
                      <w:sz w:val="21"/>
                      <w:szCs w:val="21"/>
                    </w:rPr>
                  </w:pPr>
                  <w:r>
                    <w:rPr>
                      <w:sz w:val="21"/>
                      <w:szCs w:val="21"/>
                    </w:rPr>
                    <w:t>符合要求</w:t>
                  </w:r>
                </w:p>
              </w:tc>
            </w:tr>
          </w:tbl>
          <w:p w14:paraId="36EA0D33">
            <w:pPr>
              <w:autoSpaceDE w:val="0"/>
              <w:autoSpaceDN w:val="0"/>
              <w:rPr>
                <w:b/>
                <w:bCs/>
                <w:kern w:val="0"/>
                <w:szCs w:val="24"/>
              </w:rPr>
            </w:pPr>
            <w:r>
              <w:rPr>
                <w:b/>
                <w:bCs/>
                <w:kern w:val="0"/>
                <w:szCs w:val="24"/>
              </w:rPr>
              <w:t>4</w:t>
            </w:r>
            <w:r>
              <w:rPr>
                <w:rFonts w:hint="eastAsia"/>
                <w:b/>
                <w:bCs/>
                <w:kern w:val="0"/>
                <w:szCs w:val="24"/>
              </w:rPr>
              <w:t>、平面布局合理性分析</w:t>
            </w:r>
          </w:p>
          <w:p w14:paraId="4C092E13">
            <w:pPr>
              <w:autoSpaceDE w:val="0"/>
              <w:autoSpaceDN w:val="0"/>
              <w:ind w:firstLine="480" w:firstLineChars="200"/>
              <w:rPr>
                <w:kern w:val="0"/>
                <w:szCs w:val="24"/>
              </w:rPr>
            </w:pPr>
            <w:r>
              <w:rPr>
                <w:rFonts w:hint="eastAsia"/>
                <w:kern w:val="0"/>
                <w:szCs w:val="24"/>
              </w:rPr>
              <w:t>本项目位于</w:t>
            </w:r>
            <w:r>
              <w:rPr>
                <w:rFonts w:hint="eastAsia"/>
                <w:szCs w:val="24"/>
              </w:rPr>
              <w:t>永州市双牌县茶林镇大河江村</w:t>
            </w:r>
            <w:r>
              <w:rPr>
                <w:rFonts w:hint="eastAsia"/>
                <w:kern w:val="0"/>
                <w:szCs w:val="24"/>
              </w:rPr>
              <w:t>，项目用地面积1458m</w:t>
            </w:r>
            <w:r>
              <w:rPr>
                <w:rFonts w:hint="eastAsia"/>
                <w:kern w:val="0"/>
                <w:szCs w:val="24"/>
                <w:vertAlign w:val="superscript"/>
              </w:rPr>
              <w:t>2</w:t>
            </w:r>
            <w:r>
              <w:rPr>
                <w:rFonts w:hint="eastAsia"/>
                <w:kern w:val="0"/>
                <w:szCs w:val="24"/>
              </w:rPr>
              <w:t>，总建筑面积2532</w:t>
            </w:r>
            <w:r>
              <w:rPr>
                <w:kern w:val="0"/>
                <w:szCs w:val="24"/>
              </w:rPr>
              <w:t xml:space="preserve"> </w:t>
            </w:r>
            <w:r>
              <w:rPr>
                <w:rFonts w:hint="eastAsia"/>
                <w:kern w:val="0"/>
                <w:szCs w:val="24"/>
              </w:rPr>
              <w:t>m</w:t>
            </w:r>
            <w:r>
              <w:rPr>
                <w:rFonts w:hint="eastAsia"/>
                <w:kern w:val="0"/>
                <w:szCs w:val="24"/>
                <w:vertAlign w:val="superscript"/>
              </w:rPr>
              <w:t>2</w:t>
            </w:r>
            <w:r>
              <w:rPr>
                <w:rFonts w:hint="eastAsia"/>
                <w:kern w:val="0"/>
                <w:szCs w:val="24"/>
              </w:rPr>
              <w:t>。医院主要由门诊、住院部、宿舍办公楼等组成。</w:t>
            </w:r>
          </w:p>
          <w:p w14:paraId="173972DC">
            <w:pPr>
              <w:autoSpaceDE w:val="0"/>
              <w:autoSpaceDN w:val="0"/>
              <w:ind w:firstLine="480" w:firstLineChars="200"/>
              <w:rPr>
                <w:kern w:val="0"/>
                <w:szCs w:val="24"/>
              </w:rPr>
            </w:pPr>
            <w:r>
              <w:rPr>
                <w:rFonts w:hint="eastAsia"/>
                <w:kern w:val="0"/>
                <w:szCs w:val="24"/>
              </w:rPr>
              <w:t>根据《医院污水处理设计规范》中8.0.2条“医院污水处理站应独立设置，与病房、居民区建筑物的距离不宜小于10m，并设置 隔离带；当无法满足上述条件时应采取有效的安全隔离措施；不得将污水处理站设于门诊或病房等建筑物地下室”的要求。本项目污水处理设施位于项目西南侧，临近住院部，周边均为果木林地，能够满足《医院污水处理设计规范》中的相关技术规范要求。</w:t>
            </w:r>
          </w:p>
          <w:p w14:paraId="11F8213D">
            <w:pPr>
              <w:autoSpaceDE w:val="0"/>
              <w:autoSpaceDN w:val="0"/>
              <w:ind w:firstLine="480" w:firstLineChars="200"/>
              <w:rPr>
                <w:kern w:val="0"/>
                <w:szCs w:val="24"/>
              </w:rPr>
            </w:pPr>
            <w:r>
              <w:rPr>
                <w:rFonts w:hint="eastAsia"/>
                <w:kern w:val="0"/>
                <w:szCs w:val="24"/>
              </w:rPr>
              <w:t>综合所述，本项目从总平面布置方面分析，满足合理组织功能分区，布局顺畅，各种设施布置较为合理。本环评认为该项目总平面布置从环保角度来看，是合理可行的。</w:t>
            </w:r>
          </w:p>
          <w:p w14:paraId="771FE74A">
            <w:pPr>
              <w:autoSpaceDE w:val="0"/>
              <w:autoSpaceDN w:val="0"/>
              <w:rPr>
                <w:b/>
                <w:bCs/>
                <w:kern w:val="0"/>
                <w:szCs w:val="24"/>
              </w:rPr>
            </w:pPr>
            <w:r>
              <w:rPr>
                <w:rFonts w:hint="eastAsia"/>
                <w:b/>
                <w:bCs/>
                <w:kern w:val="0"/>
                <w:szCs w:val="24"/>
              </w:rPr>
              <w:t>6、本项目与《湖南省“十四五”医疗卫生服务体系规划》湘卫发﹝2022﹞3 号的合性分析</w:t>
            </w:r>
          </w:p>
          <w:p w14:paraId="1DF902B0">
            <w:pPr>
              <w:autoSpaceDE w:val="0"/>
              <w:autoSpaceDN w:val="0"/>
              <w:ind w:firstLine="480" w:firstLineChars="200"/>
              <w:rPr>
                <w:kern w:val="0"/>
                <w:szCs w:val="24"/>
              </w:rPr>
            </w:pPr>
            <w:r>
              <w:rPr>
                <w:rFonts w:hint="eastAsia"/>
                <w:kern w:val="0"/>
                <w:szCs w:val="24"/>
              </w:rPr>
              <w:t>根据《湖南省“十四五”医疗卫生服务体系规划》湘卫发﹝2022﹞3 号文件中“支持非公立医疗机构规范发展加大政策支持力度，促进非公立医疗机构发展，为城乡居民提供基本医疗服务、高端服务与康复医疗、老年护理、家庭医生签约服务等。优先支持社会力量在医疗资源薄弱区域以及眼科、骨科、口腔、妇产、儿科、肿瘤、精神、医疗美容等专科和中医、康复、护理、体检等领域举办非营利性医疗机构，鼓励高水平非公立医院打造具有竞争力的品牌服务机构。支持社会力量举办的医疗机构与公立医院开展医疗业务、学科建设、人才培养等合作，按照平等自愿原则组建专科联盟，支持社会办医参加远程医疗协作网。”</w:t>
            </w:r>
          </w:p>
          <w:p w14:paraId="74E8D6B4">
            <w:pPr>
              <w:autoSpaceDE w:val="0"/>
              <w:autoSpaceDN w:val="0"/>
              <w:ind w:firstLine="480" w:firstLineChars="200"/>
              <w:rPr>
                <w:kern w:val="0"/>
                <w:szCs w:val="24"/>
              </w:rPr>
            </w:pPr>
            <w:r>
              <w:rPr>
                <w:rFonts w:hint="eastAsia"/>
                <w:kern w:val="0"/>
                <w:szCs w:val="24"/>
              </w:rPr>
              <w:t>本项目属于为公立医疗机构，主要是为周边居民提供医疗救助服务，因此本项目符合《湖南省“十四五”医疗卫生服务体系规划》湘卫发﹝2022﹞3 号相关要求。</w:t>
            </w:r>
          </w:p>
        </w:tc>
      </w:tr>
    </w:tbl>
    <w:p w14:paraId="3E7661B1">
      <w:pPr>
        <w:sectPr>
          <w:footerReference r:id="rId5" w:type="default"/>
          <w:pgSz w:w="11906" w:h="16838"/>
          <w:pgMar w:top="1440" w:right="1440" w:bottom="1440" w:left="1440" w:header="851" w:footer="992" w:gutter="0"/>
          <w:pgNumType w:fmt="numberInDash" w:start="1"/>
          <w:cols w:space="425" w:num="1"/>
          <w:docGrid w:type="lines" w:linePitch="312" w:charSpace="0"/>
        </w:sectPr>
      </w:pPr>
    </w:p>
    <w:p w14:paraId="5E8EA78E">
      <w:pPr>
        <w:tabs>
          <w:tab w:val="left" w:pos="993"/>
        </w:tabs>
        <w:spacing w:line="240" w:lineRule="auto"/>
        <w:jc w:val="center"/>
        <w:outlineLvl w:val="0"/>
        <w:rPr>
          <w:b/>
          <w:bCs/>
          <w:color w:val="000000"/>
          <w:kern w:val="44"/>
          <w:sz w:val="30"/>
          <w:szCs w:val="30"/>
        </w:rPr>
      </w:pPr>
      <w:bookmarkStart w:id="33" w:name="_Toc147539446"/>
      <w:bookmarkStart w:id="34" w:name="_Toc153731593"/>
      <w:bookmarkStart w:id="35" w:name="_Toc188001852"/>
      <w:bookmarkStart w:id="36" w:name="_Toc141772422"/>
      <w:bookmarkStart w:id="37" w:name="_Toc199260718"/>
      <w:bookmarkStart w:id="38" w:name="_Toc194068217"/>
      <w:bookmarkStart w:id="39" w:name="_Toc153736105"/>
      <w:r>
        <w:rPr>
          <w:rFonts w:hint="eastAsia"/>
          <w:b/>
          <w:bCs/>
          <w:color w:val="000000"/>
          <w:kern w:val="44"/>
          <w:sz w:val="30"/>
          <w:szCs w:val="30"/>
        </w:rPr>
        <w:t>二、建设项目工程分析</w:t>
      </w:r>
      <w:bookmarkEnd w:id="33"/>
      <w:bookmarkEnd w:id="34"/>
      <w:bookmarkEnd w:id="35"/>
      <w:bookmarkEnd w:id="36"/>
      <w:bookmarkEnd w:id="37"/>
      <w:bookmarkEnd w:id="38"/>
      <w:bookmarkEnd w:id="3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21"/>
      </w:tblGrid>
      <w:tr w14:paraId="2128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21BECDC7">
            <w:pPr>
              <w:spacing w:line="240" w:lineRule="auto"/>
              <w:jc w:val="center"/>
            </w:pPr>
            <w:r>
              <w:rPr>
                <w:rFonts w:hint="eastAsia"/>
                <w:kern w:val="0"/>
                <w:szCs w:val="24"/>
              </w:rPr>
              <w:t>建设内容</w:t>
            </w:r>
          </w:p>
        </w:tc>
        <w:tc>
          <w:tcPr>
            <w:tcW w:w="8565" w:type="dxa"/>
          </w:tcPr>
          <w:p w14:paraId="2FE900F1">
            <w:pPr>
              <w:jc w:val="both"/>
              <w:rPr>
                <w:b/>
                <w:szCs w:val="24"/>
              </w:rPr>
            </w:pPr>
            <w:r>
              <w:rPr>
                <w:rFonts w:hint="eastAsia"/>
                <w:b/>
                <w:szCs w:val="24"/>
              </w:rPr>
              <w:t>1、项目由来</w:t>
            </w:r>
          </w:p>
          <w:p w14:paraId="18D5F97E">
            <w:pPr>
              <w:ind w:firstLine="480" w:firstLineChars="200"/>
              <w:rPr>
                <w:szCs w:val="24"/>
              </w:rPr>
            </w:pPr>
            <w:bookmarkStart w:id="40" w:name="_Hlk155534495"/>
            <w:r>
              <w:rPr>
                <w:rFonts w:hint="eastAsia"/>
                <w:szCs w:val="24"/>
              </w:rPr>
              <w:t>双牌县茶林镇中心卫生院位于永州市双牌县茶林镇大河江村，成立于1991年。卫生院现有床位</w:t>
            </w:r>
            <w:r>
              <w:rPr>
                <w:szCs w:val="24"/>
              </w:rPr>
              <w:t>5</w:t>
            </w:r>
            <w:r>
              <w:rPr>
                <w:rFonts w:hint="eastAsia"/>
                <w:szCs w:val="24"/>
              </w:rPr>
              <w:t>张，卫生院设办公室、综合门诊部、住院部、药房、护理部、公卫办、中医科、预防接种、检验科，</w:t>
            </w:r>
            <w:bookmarkStart w:id="41" w:name="OLE_LINK1"/>
            <w:r>
              <w:rPr>
                <w:rFonts w:hint="eastAsia"/>
                <w:szCs w:val="24"/>
                <w:u w:val="single"/>
              </w:rPr>
              <w:t>承担着双牌县茶林镇附近群众的基本公共卫生服务和基本医疗服务</w:t>
            </w:r>
            <w:bookmarkEnd w:id="41"/>
            <w:r>
              <w:rPr>
                <w:rFonts w:hint="eastAsia"/>
                <w:szCs w:val="24"/>
              </w:rPr>
              <w:t>。</w:t>
            </w:r>
            <w:bookmarkStart w:id="42" w:name="OLE_LINK4"/>
            <w:r>
              <w:rPr>
                <w:rFonts w:hint="eastAsia"/>
                <w:szCs w:val="24"/>
              </w:rPr>
              <w:t>由于医院成立早于环保法，根据“原环境保护部印发《关于建设项目“未批先建”违法行为法律适用问题的意见》（环政法函〔2018〕31号），明确未批建设界定为自动工建设到竣工为建设期限，对未批建成二年及以上（自建设行为终了之日起二年内未被发现的）的项目，不予行政处罚。项目建成投产后企业不补办环评审批手续，行政机关也不得要求补办，两年追溯期逾期不再处罚，老企业可以无须报批环评文件，根据现行污染物排放标准配套环境保护设施，运行后达标排放符合环境管理目标要求即可。”故卫生院原来在配套环境保护设施，运行后达标排放符合环境管理目标要求，未进行环保手续补办，符合（环政法函〔2018〕31号）文件要求。</w:t>
            </w:r>
          </w:p>
          <w:bookmarkEnd w:id="42"/>
          <w:p w14:paraId="63D10561">
            <w:pPr>
              <w:ind w:firstLine="480" w:firstLineChars="200"/>
              <w:rPr>
                <w:szCs w:val="24"/>
                <w:u w:val="single"/>
              </w:rPr>
            </w:pPr>
            <w:r>
              <w:rPr>
                <w:rFonts w:hint="eastAsia"/>
                <w:szCs w:val="24"/>
                <w:u w:val="single"/>
              </w:rPr>
              <w:t>由于卫生院现有床位数无法满足周边乡镇居民就医需求，卫生院于2</w:t>
            </w:r>
            <w:r>
              <w:rPr>
                <w:szCs w:val="24"/>
                <w:u w:val="single"/>
              </w:rPr>
              <w:t>022</w:t>
            </w:r>
            <w:r>
              <w:rPr>
                <w:rFonts w:hint="eastAsia"/>
                <w:szCs w:val="24"/>
                <w:u w:val="single"/>
              </w:rPr>
              <w:t>年向上级部门申请将床位由原有</w:t>
            </w:r>
            <w:r>
              <w:rPr>
                <w:szCs w:val="24"/>
                <w:u w:val="single"/>
              </w:rPr>
              <w:t>5</w:t>
            </w:r>
            <w:r>
              <w:rPr>
                <w:rFonts w:hint="eastAsia"/>
                <w:szCs w:val="24"/>
                <w:u w:val="single"/>
              </w:rPr>
              <w:t>张床位增加至2</w:t>
            </w:r>
            <w:r>
              <w:rPr>
                <w:szCs w:val="24"/>
                <w:u w:val="single"/>
              </w:rPr>
              <w:t>5</w:t>
            </w:r>
            <w:r>
              <w:rPr>
                <w:rFonts w:hint="eastAsia"/>
                <w:szCs w:val="24"/>
                <w:u w:val="single"/>
              </w:rPr>
              <w:t>张床位，配套新增住院大楼一栋；同时卫生院也根据“关于印发《永州市一级医疗机构污水处理问题排查整治工作实施方案》的通知（永卫函〔2</w:t>
            </w:r>
            <w:r>
              <w:rPr>
                <w:szCs w:val="24"/>
                <w:u w:val="single"/>
              </w:rPr>
              <w:t>023</w:t>
            </w:r>
            <w:r>
              <w:rPr>
                <w:rFonts w:hint="eastAsia"/>
                <w:szCs w:val="24"/>
                <w:u w:val="single"/>
              </w:rPr>
              <w:t>〕2</w:t>
            </w:r>
            <w:r>
              <w:rPr>
                <w:szCs w:val="24"/>
                <w:u w:val="single"/>
              </w:rPr>
              <w:t>6</w:t>
            </w:r>
            <w:r>
              <w:rPr>
                <w:rFonts w:hint="eastAsia"/>
                <w:szCs w:val="24"/>
                <w:u w:val="single"/>
              </w:rPr>
              <w:t>号）”要求对卫生院污水处理系统准备进行改扩建；卫生院现已完成资金申请工作，即将新增建设住院大楼以增加床位和对污水处理系统进行改扩建（前期仅存在项目立项申报，未进行项目建设，故不存在未批先建违法排污情况），故根据《中华人民共和国环境影响评价法》、国务院《建设项目环境保护管理条例》及其他相关法律法规的规定，该项目需办理环保审批手续。依据《建设项目环境影响评价分类管理名录（2021年版）》规定，本项目属于“四十九、卫生84”中的“108、医院841；专科疾病防治院（所、站）8432；妇幼保健院（所、站）8433；急救中心（站）服务8434；采供血机构服务8435；基层医疗卫生服务842”，其中“其他（住院床位20张以下的除外）”，应编制环境影响报告表。建设单位委托我单位（湖南万帆环保工程有限公司）进行环境影响报告表的编制工作。我公司接受委托后，在现场踏勘、资料收集的基础上，根据相关技术导则和规范编制完成了该项目环境影响报告表。</w:t>
            </w:r>
          </w:p>
          <w:p w14:paraId="64C83353">
            <w:pPr>
              <w:ind w:firstLine="480" w:firstLineChars="200"/>
              <w:rPr>
                <w:szCs w:val="24"/>
              </w:rPr>
            </w:pPr>
            <w:r>
              <w:rPr>
                <w:rFonts w:hint="eastAsia"/>
                <w:szCs w:val="24"/>
              </w:rPr>
              <w:t>本次环评不包含放射性、辐射等项目环境影响评价内容，其相关内容需另行委托有资质的单位进行评价。</w:t>
            </w:r>
          </w:p>
          <w:bookmarkEnd w:id="40"/>
          <w:p w14:paraId="6F65F63A">
            <w:pPr>
              <w:rPr>
                <w:b/>
                <w:szCs w:val="24"/>
              </w:rPr>
            </w:pPr>
            <w:r>
              <w:rPr>
                <w:rFonts w:hint="eastAsia"/>
                <w:b/>
                <w:szCs w:val="24"/>
              </w:rPr>
              <w:t>2、卫生院主要建设内容</w:t>
            </w:r>
          </w:p>
          <w:p w14:paraId="35A411AC">
            <w:pPr>
              <w:ind w:firstLine="480" w:firstLineChars="200"/>
              <w:rPr>
                <w:u w:val="single"/>
              </w:rPr>
            </w:pPr>
            <w:r>
              <w:rPr>
                <w:rFonts w:hint="eastAsia"/>
                <w:u w:val="single"/>
              </w:rPr>
              <w:t>本项目改扩建主要建设内容见下表：</w:t>
            </w:r>
          </w:p>
          <w:p w14:paraId="7246BE09">
            <w:pPr>
              <w:spacing w:line="240" w:lineRule="auto"/>
              <w:jc w:val="center"/>
              <w:rPr>
                <w:b/>
                <w:bCs/>
                <w:u w:val="single"/>
              </w:rPr>
            </w:pPr>
            <w:r>
              <w:rPr>
                <w:rFonts w:hint="eastAsia"/>
                <w:b/>
                <w:bCs/>
                <w:u w:val="single"/>
              </w:rPr>
              <w:t>表2</w:t>
            </w:r>
            <w:r>
              <w:rPr>
                <w:b/>
                <w:bCs/>
                <w:u w:val="single"/>
              </w:rPr>
              <w:t xml:space="preserve">-1 </w:t>
            </w:r>
            <w:r>
              <w:rPr>
                <w:rFonts w:hint="eastAsia"/>
                <w:b/>
                <w:bCs/>
                <w:u w:val="single"/>
              </w:rPr>
              <w:t>本次改扩建工程主要建设内容一览表</w:t>
            </w:r>
          </w:p>
          <w:tbl>
            <w:tblPr>
              <w:tblStyle w:val="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919"/>
              <w:gridCol w:w="920"/>
              <w:gridCol w:w="2453"/>
              <w:gridCol w:w="1943"/>
              <w:gridCol w:w="1391"/>
            </w:tblGrid>
            <w:tr w14:paraId="24681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tcPr>
                <w:p w14:paraId="1EF55536">
                  <w:pPr>
                    <w:spacing w:line="240" w:lineRule="auto"/>
                    <w:jc w:val="center"/>
                    <w:rPr>
                      <w:b/>
                      <w:bCs/>
                      <w:kern w:val="0"/>
                      <w:sz w:val="21"/>
                      <w:szCs w:val="21"/>
                      <w:u w:val="single"/>
                    </w:rPr>
                  </w:pPr>
                  <w:r>
                    <w:rPr>
                      <w:rFonts w:hint="eastAsia"/>
                      <w:b/>
                      <w:bCs/>
                      <w:kern w:val="0"/>
                      <w:sz w:val="21"/>
                      <w:szCs w:val="21"/>
                      <w:u w:val="single"/>
                    </w:rPr>
                    <w:t>序号</w:t>
                  </w:r>
                </w:p>
              </w:tc>
              <w:tc>
                <w:tcPr>
                  <w:tcW w:w="1839" w:type="dxa"/>
                  <w:gridSpan w:val="2"/>
                </w:tcPr>
                <w:p w14:paraId="44D2A87F">
                  <w:pPr>
                    <w:spacing w:line="240" w:lineRule="auto"/>
                    <w:jc w:val="center"/>
                    <w:rPr>
                      <w:b/>
                      <w:bCs/>
                      <w:kern w:val="0"/>
                      <w:sz w:val="21"/>
                      <w:szCs w:val="21"/>
                      <w:u w:val="single"/>
                    </w:rPr>
                  </w:pPr>
                  <w:r>
                    <w:rPr>
                      <w:rFonts w:hint="eastAsia"/>
                      <w:b/>
                      <w:bCs/>
                      <w:kern w:val="0"/>
                      <w:sz w:val="21"/>
                      <w:szCs w:val="21"/>
                      <w:u w:val="single"/>
                    </w:rPr>
                    <w:t>项目</w:t>
                  </w:r>
                </w:p>
              </w:tc>
              <w:tc>
                <w:tcPr>
                  <w:tcW w:w="2453" w:type="dxa"/>
                </w:tcPr>
                <w:p w14:paraId="6096EC99">
                  <w:pPr>
                    <w:spacing w:line="240" w:lineRule="auto"/>
                    <w:jc w:val="center"/>
                    <w:rPr>
                      <w:b/>
                      <w:bCs/>
                      <w:kern w:val="0"/>
                      <w:sz w:val="21"/>
                      <w:szCs w:val="21"/>
                      <w:u w:val="single"/>
                    </w:rPr>
                  </w:pPr>
                  <w:r>
                    <w:rPr>
                      <w:rFonts w:hint="eastAsia"/>
                      <w:b/>
                      <w:bCs/>
                      <w:kern w:val="0"/>
                      <w:sz w:val="21"/>
                      <w:szCs w:val="21"/>
                      <w:u w:val="single"/>
                    </w:rPr>
                    <w:t>现有工程建设内容</w:t>
                  </w:r>
                </w:p>
              </w:tc>
              <w:tc>
                <w:tcPr>
                  <w:tcW w:w="1937" w:type="dxa"/>
                </w:tcPr>
                <w:p w14:paraId="18FF88F8">
                  <w:pPr>
                    <w:spacing w:line="240" w:lineRule="auto"/>
                    <w:jc w:val="center"/>
                    <w:rPr>
                      <w:b/>
                      <w:bCs/>
                      <w:kern w:val="0"/>
                      <w:sz w:val="21"/>
                      <w:szCs w:val="21"/>
                      <w:u w:val="single"/>
                    </w:rPr>
                  </w:pPr>
                  <w:r>
                    <w:rPr>
                      <w:rFonts w:hint="eastAsia"/>
                      <w:b/>
                      <w:bCs/>
                      <w:kern w:val="0"/>
                      <w:sz w:val="21"/>
                      <w:szCs w:val="21"/>
                      <w:u w:val="single"/>
                    </w:rPr>
                    <w:t>改扩建内容</w:t>
                  </w:r>
                </w:p>
              </w:tc>
              <w:tc>
                <w:tcPr>
                  <w:tcW w:w="1391" w:type="dxa"/>
                </w:tcPr>
                <w:p w14:paraId="1E364E57">
                  <w:pPr>
                    <w:spacing w:line="240" w:lineRule="auto"/>
                    <w:jc w:val="center"/>
                    <w:rPr>
                      <w:b/>
                      <w:bCs/>
                      <w:kern w:val="0"/>
                      <w:sz w:val="21"/>
                      <w:szCs w:val="21"/>
                      <w:u w:val="single"/>
                    </w:rPr>
                  </w:pPr>
                  <w:r>
                    <w:rPr>
                      <w:rFonts w:hint="eastAsia"/>
                      <w:b/>
                      <w:bCs/>
                      <w:kern w:val="0"/>
                      <w:sz w:val="21"/>
                      <w:szCs w:val="21"/>
                      <w:u w:val="single"/>
                    </w:rPr>
                    <w:t>依托关系</w:t>
                  </w:r>
                </w:p>
              </w:tc>
            </w:tr>
            <w:tr w14:paraId="3916B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47EA5BB7">
                  <w:pPr>
                    <w:spacing w:line="240" w:lineRule="auto"/>
                    <w:jc w:val="center"/>
                    <w:rPr>
                      <w:kern w:val="0"/>
                      <w:sz w:val="21"/>
                      <w:szCs w:val="21"/>
                      <w:u w:val="single"/>
                    </w:rPr>
                  </w:pPr>
                  <w:r>
                    <w:rPr>
                      <w:rFonts w:hint="eastAsia"/>
                      <w:kern w:val="0"/>
                      <w:sz w:val="21"/>
                      <w:szCs w:val="21"/>
                      <w:u w:val="single"/>
                    </w:rPr>
                    <w:t>1</w:t>
                  </w:r>
                </w:p>
              </w:tc>
              <w:tc>
                <w:tcPr>
                  <w:tcW w:w="919" w:type="dxa"/>
                  <w:vMerge w:val="restart"/>
                  <w:vAlign w:val="center"/>
                </w:tcPr>
                <w:p w14:paraId="04CD4F2E">
                  <w:pPr>
                    <w:spacing w:line="240" w:lineRule="auto"/>
                    <w:jc w:val="center"/>
                    <w:rPr>
                      <w:kern w:val="0"/>
                      <w:sz w:val="21"/>
                      <w:szCs w:val="21"/>
                      <w:u w:val="single"/>
                    </w:rPr>
                  </w:pPr>
                  <w:r>
                    <w:rPr>
                      <w:rFonts w:hint="eastAsia"/>
                      <w:kern w:val="0"/>
                      <w:sz w:val="21"/>
                      <w:szCs w:val="21"/>
                      <w:u w:val="single"/>
                    </w:rPr>
                    <w:t>主体工程</w:t>
                  </w:r>
                </w:p>
              </w:tc>
              <w:tc>
                <w:tcPr>
                  <w:tcW w:w="920" w:type="dxa"/>
                  <w:vAlign w:val="center"/>
                </w:tcPr>
                <w:p w14:paraId="53634711">
                  <w:pPr>
                    <w:spacing w:line="240" w:lineRule="auto"/>
                    <w:jc w:val="center"/>
                    <w:rPr>
                      <w:kern w:val="0"/>
                      <w:sz w:val="21"/>
                      <w:szCs w:val="21"/>
                      <w:u w:val="single"/>
                    </w:rPr>
                  </w:pPr>
                  <w:r>
                    <w:rPr>
                      <w:rFonts w:hint="eastAsia"/>
                      <w:kern w:val="0"/>
                      <w:sz w:val="21"/>
                      <w:szCs w:val="21"/>
                      <w:u w:val="single"/>
                    </w:rPr>
                    <w:t>门诊大楼</w:t>
                  </w:r>
                </w:p>
              </w:tc>
              <w:tc>
                <w:tcPr>
                  <w:tcW w:w="2453" w:type="dxa"/>
                  <w:vAlign w:val="center"/>
                </w:tcPr>
                <w:p w14:paraId="22AA2939">
                  <w:pPr>
                    <w:spacing w:line="240" w:lineRule="auto"/>
                    <w:jc w:val="center"/>
                    <w:rPr>
                      <w:kern w:val="0"/>
                      <w:sz w:val="21"/>
                      <w:szCs w:val="21"/>
                      <w:u w:val="single"/>
                    </w:rPr>
                  </w:pPr>
                  <w:r>
                    <w:rPr>
                      <w:rFonts w:hint="eastAsia"/>
                      <w:kern w:val="0"/>
                      <w:sz w:val="21"/>
                      <w:szCs w:val="21"/>
                      <w:u w:val="single"/>
                    </w:rPr>
                    <w:t>位于卫生院东侧，共4层，其中设置负一楼；占地面积5</w:t>
                  </w:r>
                  <w:r>
                    <w:rPr>
                      <w:kern w:val="0"/>
                      <w:sz w:val="21"/>
                      <w:szCs w:val="21"/>
                      <w:u w:val="single"/>
                    </w:rPr>
                    <w:t>40m</w:t>
                  </w:r>
                  <w:r>
                    <w:rPr>
                      <w:kern w:val="0"/>
                      <w:sz w:val="21"/>
                      <w:szCs w:val="21"/>
                      <w:u w:val="single"/>
                      <w:vertAlign w:val="superscript"/>
                    </w:rPr>
                    <w:t>2</w:t>
                  </w:r>
                  <w:r>
                    <w:rPr>
                      <w:rFonts w:hint="eastAsia"/>
                      <w:kern w:val="0"/>
                      <w:sz w:val="21"/>
                      <w:szCs w:val="21"/>
                      <w:u w:val="single"/>
                    </w:rPr>
                    <w:t>，设置设办公室、综合门诊部、住院部、药房、护理部、公卫办、中医科、预防接种</w:t>
                  </w:r>
                </w:p>
              </w:tc>
              <w:tc>
                <w:tcPr>
                  <w:tcW w:w="1937" w:type="dxa"/>
                  <w:vAlign w:val="center"/>
                </w:tcPr>
                <w:p w14:paraId="74FC4592">
                  <w:pPr>
                    <w:spacing w:line="240" w:lineRule="auto"/>
                    <w:jc w:val="center"/>
                    <w:rPr>
                      <w:kern w:val="0"/>
                      <w:sz w:val="21"/>
                      <w:szCs w:val="21"/>
                      <w:u w:val="single"/>
                    </w:rPr>
                  </w:pPr>
                  <w:r>
                    <w:rPr>
                      <w:rFonts w:hint="eastAsia"/>
                      <w:kern w:val="0"/>
                      <w:sz w:val="21"/>
                      <w:szCs w:val="21"/>
                      <w:u w:val="single"/>
                    </w:rPr>
                    <w:t>将原有住院部搬迁至新增住院大楼</w:t>
                  </w:r>
                </w:p>
              </w:tc>
              <w:tc>
                <w:tcPr>
                  <w:tcW w:w="1391" w:type="dxa"/>
                  <w:vAlign w:val="center"/>
                </w:tcPr>
                <w:p w14:paraId="0D05F864">
                  <w:pPr>
                    <w:spacing w:line="240" w:lineRule="auto"/>
                    <w:jc w:val="center"/>
                    <w:rPr>
                      <w:kern w:val="0"/>
                      <w:sz w:val="21"/>
                      <w:szCs w:val="21"/>
                      <w:u w:val="single"/>
                    </w:rPr>
                  </w:pPr>
                  <w:r>
                    <w:rPr>
                      <w:rFonts w:hint="eastAsia"/>
                      <w:kern w:val="0"/>
                      <w:sz w:val="21"/>
                      <w:szCs w:val="21"/>
                      <w:u w:val="single"/>
                    </w:rPr>
                    <w:t>门诊依托原有门诊大楼，不发生改变</w:t>
                  </w:r>
                </w:p>
              </w:tc>
            </w:tr>
            <w:tr w14:paraId="77B39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82A5076">
                  <w:pPr>
                    <w:spacing w:line="240" w:lineRule="auto"/>
                    <w:jc w:val="center"/>
                    <w:rPr>
                      <w:kern w:val="0"/>
                      <w:sz w:val="21"/>
                      <w:szCs w:val="21"/>
                      <w:u w:val="single"/>
                    </w:rPr>
                  </w:pPr>
                  <w:r>
                    <w:rPr>
                      <w:rFonts w:hint="eastAsia"/>
                      <w:kern w:val="0"/>
                      <w:sz w:val="21"/>
                      <w:szCs w:val="21"/>
                      <w:u w:val="single"/>
                    </w:rPr>
                    <w:t>2</w:t>
                  </w:r>
                </w:p>
              </w:tc>
              <w:tc>
                <w:tcPr>
                  <w:tcW w:w="919" w:type="dxa"/>
                  <w:vMerge w:val="continue"/>
                  <w:vAlign w:val="center"/>
                </w:tcPr>
                <w:p w14:paraId="4A5D8154">
                  <w:pPr>
                    <w:spacing w:line="240" w:lineRule="auto"/>
                    <w:jc w:val="center"/>
                    <w:rPr>
                      <w:kern w:val="0"/>
                      <w:sz w:val="21"/>
                      <w:szCs w:val="21"/>
                      <w:u w:val="single"/>
                    </w:rPr>
                  </w:pPr>
                </w:p>
              </w:tc>
              <w:tc>
                <w:tcPr>
                  <w:tcW w:w="920" w:type="dxa"/>
                  <w:vAlign w:val="center"/>
                </w:tcPr>
                <w:p w14:paraId="003751C8">
                  <w:pPr>
                    <w:spacing w:line="240" w:lineRule="auto"/>
                    <w:jc w:val="center"/>
                    <w:rPr>
                      <w:kern w:val="0"/>
                      <w:sz w:val="21"/>
                      <w:szCs w:val="21"/>
                      <w:u w:val="single"/>
                    </w:rPr>
                  </w:pPr>
                  <w:r>
                    <w:rPr>
                      <w:rFonts w:hint="eastAsia"/>
                      <w:kern w:val="0"/>
                      <w:sz w:val="21"/>
                      <w:szCs w:val="21"/>
                      <w:u w:val="single"/>
                    </w:rPr>
                    <w:t>住院大楼</w:t>
                  </w:r>
                </w:p>
              </w:tc>
              <w:tc>
                <w:tcPr>
                  <w:tcW w:w="2453" w:type="dxa"/>
                  <w:vAlign w:val="center"/>
                </w:tcPr>
                <w:p w14:paraId="65490619">
                  <w:pPr>
                    <w:spacing w:line="240" w:lineRule="auto"/>
                    <w:jc w:val="center"/>
                    <w:rPr>
                      <w:kern w:val="0"/>
                      <w:sz w:val="21"/>
                      <w:szCs w:val="21"/>
                      <w:u w:val="single"/>
                    </w:rPr>
                  </w:pPr>
                  <w:r>
                    <w:rPr>
                      <w:rFonts w:hint="eastAsia"/>
                      <w:kern w:val="0"/>
                      <w:sz w:val="21"/>
                      <w:szCs w:val="21"/>
                      <w:u w:val="single"/>
                    </w:rPr>
                    <w:t>/</w:t>
                  </w:r>
                </w:p>
              </w:tc>
              <w:tc>
                <w:tcPr>
                  <w:tcW w:w="1937" w:type="dxa"/>
                  <w:vAlign w:val="center"/>
                </w:tcPr>
                <w:p w14:paraId="3D7BDFE0">
                  <w:pPr>
                    <w:spacing w:line="240" w:lineRule="auto"/>
                    <w:jc w:val="center"/>
                    <w:rPr>
                      <w:kern w:val="0"/>
                      <w:sz w:val="21"/>
                      <w:szCs w:val="21"/>
                      <w:u w:val="single"/>
                    </w:rPr>
                  </w:pPr>
                  <w:r>
                    <w:rPr>
                      <w:rFonts w:hint="eastAsia"/>
                      <w:kern w:val="0"/>
                      <w:sz w:val="21"/>
                      <w:szCs w:val="21"/>
                      <w:u w:val="single"/>
                    </w:rPr>
                    <w:t>新增住院大楼，位于卫生院南侧，3层砖瓦水泥结构，占地面积6</w:t>
                  </w:r>
                  <w:r>
                    <w:rPr>
                      <w:kern w:val="0"/>
                      <w:sz w:val="21"/>
                      <w:szCs w:val="21"/>
                      <w:u w:val="single"/>
                    </w:rPr>
                    <w:t>60m</w:t>
                  </w:r>
                  <w:r>
                    <w:rPr>
                      <w:kern w:val="0"/>
                      <w:sz w:val="21"/>
                      <w:szCs w:val="21"/>
                      <w:u w:val="single"/>
                      <w:vertAlign w:val="superscript"/>
                    </w:rPr>
                    <w:t>2</w:t>
                  </w:r>
                </w:p>
              </w:tc>
              <w:tc>
                <w:tcPr>
                  <w:tcW w:w="1391" w:type="dxa"/>
                  <w:vAlign w:val="center"/>
                </w:tcPr>
                <w:p w14:paraId="544860BA">
                  <w:pPr>
                    <w:spacing w:line="240" w:lineRule="auto"/>
                    <w:jc w:val="center"/>
                    <w:rPr>
                      <w:kern w:val="0"/>
                      <w:sz w:val="21"/>
                      <w:szCs w:val="21"/>
                      <w:u w:val="single"/>
                    </w:rPr>
                  </w:pPr>
                  <w:r>
                    <w:rPr>
                      <w:rFonts w:hint="eastAsia"/>
                      <w:kern w:val="0"/>
                      <w:sz w:val="21"/>
                      <w:szCs w:val="21"/>
                      <w:u w:val="single"/>
                    </w:rPr>
                    <w:t>项目新增</w:t>
                  </w:r>
                </w:p>
              </w:tc>
            </w:tr>
            <w:tr w14:paraId="1C137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40983CBD">
                  <w:pPr>
                    <w:spacing w:line="240" w:lineRule="auto"/>
                    <w:jc w:val="center"/>
                    <w:rPr>
                      <w:kern w:val="0"/>
                      <w:sz w:val="21"/>
                      <w:szCs w:val="21"/>
                      <w:u w:val="single"/>
                    </w:rPr>
                  </w:pPr>
                  <w:r>
                    <w:rPr>
                      <w:rFonts w:hint="eastAsia"/>
                      <w:kern w:val="0"/>
                      <w:sz w:val="21"/>
                      <w:szCs w:val="21"/>
                      <w:u w:val="single"/>
                    </w:rPr>
                    <w:t>3</w:t>
                  </w:r>
                </w:p>
              </w:tc>
              <w:tc>
                <w:tcPr>
                  <w:tcW w:w="919" w:type="dxa"/>
                  <w:vMerge w:val="continue"/>
                  <w:vAlign w:val="center"/>
                </w:tcPr>
                <w:p w14:paraId="2B5EF641">
                  <w:pPr>
                    <w:spacing w:line="240" w:lineRule="auto"/>
                    <w:jc w:val="center"/>
                    <w:rPr>
                      <w:kern w:val="0"/>
                      <w:sz w:val="21"/>
                      <w:szCs w:val="21"/>
                      <w:u w:val="single"/>
                    </w:rPr>
                  </w:pPr>
                </w:p>
              </w:tc>
              <w:tc>
                <w:tcPr>
                  <w:tcW w:w="920" w:type="dxa"/>
                  <w:vAlign w:val="center"/>
                </w:tcPr>
                <w:p w14:paraId="7519DC0C">
                  <w:pPr>
                    <w:spacing w:line="240" w:lineRule="auto"/>
                    <w:jc w:val="center"/>
                    <w:rPr>
                      <w:kern w:val="0"/>
                      <w:sz w:val="21"/>
                      <w:szCs w:val="21"/>
                      <w:u w:val="single"/>
                    </w:rPr>
                  </w:pPr>
                  <w:r>
                    <w:rPr>
                      <w:rFonts w:hint="eastAsia"/>
                      <w:kern w:val="0"/>
                      <w:sz w:val="21"/>
                      <w:szCs w:val="21"/>
                      <w:u w:val="single"/>
                    </w:rPr>
                    <w:t>职工宿舍</w:t>
                  </w:r>
                </w:p>
              </w:tc>
              <w:tc>
                <w:tcPr>
                  <w:tcW w:w="2453" w:type="dxa"/>
                  <w:vAlign w:val="center"/>
                </w:tcPr>
                <w:p w14:paraId="7C1BC0A7">
                  <w:pPr>
                    <w:spacing w:line="240" w:lineRule="auto"/>
                    <w:jc w:val="center"/>
                    <w:rPr>
                      <w:kern w:val="0"/>
                      <w:sz w:val="21"/>
                      <w:szCs w:val="21"/>
                      <w:u w:val="single"/>
                    </w:rPr>
                  </w:pPr>
                  <w:r>
                    <w:rPr>
                      <w:rFonts w:hint="eastAsia"/>
                      <w:kern w:val="0"/>
                      <w:sz w:val="21"/>
                      <w:szCs w:val="21"/>
                      <w:u w:val="single"/>
                    </w:rPr>
                    <w:t>位于卫生院北侧，3层砖瓦水泥结构，占地面积</w:t>
                  </w:r>
                  <w:r>
                    <w:rPr>
                      <w:kern w:val="0"/>
                      <w:sz w:val="21"/>
                      <w:szCs w:val="21"/>
                      <w:u w:val="single"/>
                    </w:rPr>
                    <w:t>800m</w:t>
                  </w:r>
                  <w:r>
                    <w:rPr>
                      <w:kern w:val="0"/>
                      <w:sz w:val="21"/>
                      <w:szCs w:val="21"/>
                      <w:u w:val="single"/>
                      <w:vertAlign w:val="superscript"/>
                    </w:rPr>
                    <w:t>2</w:t>
                  </w:r>
                </w:p>
              </w:tc>
              <w:tc>
                <w:tcPr>
                  <w:tcW w:w="1937" w:type="dxa"/>
                  <w:vAlign w:val="center"/>
                </w:tcPr>
                <w:p w14:paraId="4FBAB017">
                  <w:pPr>
                    <w:spacing w:line="240" w:lineRule="auto"/>
                    <w:jc w:val="center"/>
                    <w:rPr>
                      <w:kern w:val="0"/>
                      <w:sz w:val="21"/>
                      <w:szCs w:val="21"/>
                      <w:u w:val="single"/>
                    </w:rPr>
                  </w:pPr>
                  <w:r>
                    <w:rPr>
                      <w:kern w:val="0"/>
                      <w:sz w:val="21"/>
                      <w:szCs w:val="21"/>
                      <w:u w:val="single"/>
                    </w:rPr>
                    <w:t>/</w:t>
                  </w:r>
                </w:p>
              </w:tc>
              <w:tc>
                <w:tcPr>
                  <w:tcW w:w="1391" w:type="dxa"/>
                  <w:vAlign w:val="center"/>
                </w:tcPr>
                <w:p w14:paraId="48025213">
                  <w:pPr>
                    <w:spacing w:line="240" w:lineRule="auto"/>
                    <w:jc w:val="center"/>
                    <w:rPr>
                      <w:kern w:val="0"/>
                      <w:sz w:val="21"/>
                      <w:szCs w:val="21"/>
                      <w:u w:val="single"/>
                    </w:rPr>
                  </w:pPr>
                  <w:r>
                    <w:rPr>
                      <w:rFonts w:hint="eastAsia"/>
                      <w:kern w:val="0"/>
                      <w:sz w:val="21"/>
                      <w:szCs w:val="21"/>
                      <w:u w:val="single"/>
                    </w:rPr>
                    <w:t>本次不发生变化</w:t>
                  </w:r>
                </w:p>
              </w:tc>
            </w:tr>
            <w:tr w14:paraId="6F4EA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1A58235">
                  <w:pPr>
                    <w:spacing w:line="240" w:lineRule="auto"/>
                    <w:jc w:val="center"/>
                    <w:rPr>
                      <w:kern w:val="0"/>
                      <w:sz w:val="21"/>
                      <w:szCs w:val="21"/>
                      <w:u w:val="single"/>
                    </w:rPr>
                  </w:pPr>
                  <w:r>
                    <w:rPr>
                      <w:rFonts w:hint="eastAsia"/>
                      <w:kern w:val="0"/>
                      <w:sz w:val="21"/>
                      <w:szCs w:val="21"/>
                      <w:u w:val="single"/>
                    </w:rPr>
                    <w:t>4</w:t>
                  </w:r>
                </w:p>
              </w:tc>
              <w:tc>
                <w:tcPr>
                  <w:tcW w:w="919" w:type="dxa"/>
                  <w:vMerge w:val="restart"/>
                  <w:vAlign w:val="center"/>
                </w:tcPr>
                <w:p w14:paraId="3580F3C9">
                  <w:pPr>
                    <w:spacing w:line="240" w:lineRule="auto"/>
                    <w:jc w:val="center"/>
                    <w:rPr>
                      <w:kern w:val="0"/>
                      <w:sz w:val="21"/>
                      <w:szCs w:val="21"/>
                      <w:u w:val="single"/>
                    </w:rPr>
                  </w:pPr>
                  <w:r>
                    <w:rPr>
                      <w:rFonts w:hint="eastAsia"/>
                      <w:kern w:val="0"/>
                      <w:sz w:val="21"/>
                      <w:szCs w:val="21"/>
                      <w:u w:val="single"/>
                    </w:rPr>
                    <w:t>公用</w:t>
                  </w:r>
                </w:p>
                <w:p w14:paraId="2F153944">
                  <w:pPr>
                    <w:spacing w:line="240" w:lineRule="auto"/>
                    <w:jc w:val="center"/>
                    <w:rPr>
                      <w:kern w:val="0"/>
                      <w:sz w:val="21"/>
                      <w:szCs w:val="21"/>
                      <w:u w:val="single"/>
                    </w:rPr>
                  </w:pPr>
                  <w:r>
                    <w:rPr>
                      <w:rFonts w:hint="eastAsia"/>
                      <w:kern w:val="0"/>
                      <w:sz w:val="21"/>
                      <w:szCs w:val="21"/>
                      <w:u w:val="single"/>
                    </w:rPr>
                    <w:t>工程</w:t>
                  </w:r>
                </w:p>
              </w:tc>
              <w:tc>
                <w:tcPr>
                  <w:tcW w:w="920" w:type="dxa"/>
                  <w:vAlign w:val="center"/>
                </w:tcPr>
                <w:p w14:paraId="5C42B7F9">
                  <w:pPr>
                    <w:spacing w:line="240" w:lineRule="auto"/>
                    <w:jc w:val="center"/>
                    <w:rPr>
                      <w:kern w:val="0"/>
                      <w:sz w:val="21"/>
                      <w:szCs w:val="21"/>
                      <w:u w:val="single"/>
                    </w:rPr>
                  </w:pPr>
                  <w:r>
                    <w:rPr>
                      <w:rFonts w:hint="eastAsia"/>
                      <w:kern w:val="0"/>
                      <w:sz w:val="21"/>
                      <w:szCs w:val="21"/>
                      <w:u w:val="single"/>
                    </w:rPr>
                    <w:t>供水</w:t>
                  </w:r>
                </w:p>
              </w:tc>
              <w:tc>
                <w:tcPr>
                  <w:tcW w:w="2453" w:type="dxa"/>
                  <w:vAlign w:val="center"/>
                </w:tcPr>
                <w:p w14:paraId="0698B63C">
                  <w:pPr>
                    <w:spacing w:line="240" w:lineRule="auto"/>
                    <w:jc w:val="center"/>
                    <w:rPr>
                      <w:kern w:val="0"/>
                      <w:sz w:val="21"/>
                      <w:szCs w:val="21"/>
                      <w:u w:val="single"/>
                    </w:rPr>
                  </w:pPr>
                  <w:r>
                    <w:rPr>
                      <w:rFonts w:hint="eastAsia"/>
                      <w:kern w:val="0"/>
                      <w:sz w:val="21"/>
                      <w:szCs w:val="21"/>
                      <w:u w:val="single"/>
                    </w:rPr>
                    <w:t>乡镇供水管网供给</w:t>
                  </w:r>
                </w:p>
              </w:tc>
              <w:tc>
                <w:tcPr>
                  <w:tcW w:w="1937" w:type="dxa"/>
                  <w:vAlign w:val="center"/>
                </w:tcPr>
                <w:p w14:paraId="2B93C90E">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5F94ECD5">
                  <w:pPr>
                    <w:spacing w:line="240" w:lineRule="auto"/>
                    <w:jc w:val="center"/>
                    <w:rPr>
                      <w:kern w:val="0"/>
                      <w:sz w:val="21"/>
                      <w:szCs w:val="21"/>
                      <w:u w:val="single"/>
                    </w:rPr>
                  </w:pPr>
                  <w:r>
                    <w:rPr>
                      <w:rFonts w:hint="eastAsia"/>
                      <w:kern w:val="0"/>
                      <w:sz w:val="21"/>
                      <w:szCs w:val="21"/>
                      <w:u w:val="single"/>
                    </w:rPr>
                    <w:t>依托现有</w:t>
                  </w:r>
                </w:p>
              </w:tc>
            </w:tr>
            <w:tr w14:paraId="41477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6F2F723">
                  <w:pPr>
                    <w:spacing w:line="240" w:lineRule="auto"/>
                    <w:jc w:val="center"/>
                    <w:rPr>
                      <w:kern w:val="0"/>
                      <w:sz w:val="21"/>
                      <w:szCs w:val="21"/>
                      <w:u w:val="single"/>
                    </w:rPr>
                  </w:pPr>
                  <w:r>
                    <w:rPr>
                      <w:rFonts w:hint="eastAsia"/>
                      <w:kern w:val="0"/>
                      <w:sz w:val="21"/>
                      <w:szCs w:val="21"/>
                      <w:u w:val="single"/>
                    </w:rPr>
                    <w:t>5</w:t>
                  </w:r>
                </w:p>
              </w:tc>
              <w:tc>
                <w:tcPr>
                  <w:tcW w:w="919" w:type="dxa"/>
                  <w:vMerge w:val="continue"/>
                  <w:vAlign w:val="center"/>
                </w:tcPr>
                <w:p w14:paraId="21FFDD4C">
                  <w:pPr>
                    <w:spacing w:line="240" w:lineRule="auto"/>
                    <w:jc w:val="center"/>
                    <w:rPr>
                      <w:kern w:val="0"/>
                      <w:sz w:val="21"/>
                      <w:szCs w:val="21"/>
                      <w:u w:val="single"/>
                    </w:rPr>
                  </w:pPr>
                </w:p>
              </w:tc>
              <w:tc>
                <w:tcPr>
                  <w:tcW w:w="920" w:type="dxa"/>
                  <w:vAlign w:val="center"/>
                </w:tcPr>
                <w:p w14:paraId="6FD96F71">
                  <w:pPr>
                    <w:spacing w:line="240" w:lineRule="auto"/>
                    <w:jc w:val="center"/>
                    <w:rPr>
                      <w:kern w:val="0"/>
                      <w:sz w:val="21"/>
                      <w:szCs w:val="21"/>
                      <w:u w:val="single"/>
                    </w:rPr>
                  </w:pPr>
                  <w:r>
                    <w:rPr>
                      <w:rFonts w:hint="eastAsia"/>
                      <w:kern w:val="0"/>
                      <w:sz w:val="21"/>
                      <w:szCs w:val="21"/>
                      <w:u w:val="single"/>
                    </w:rPr>
                    <w:t>供电</w:t>
                  </w:r>
                </w:p>
              </w:tc>
              <w:tc>
                <w:tcPr>
                  <w:tcW w:w="2453" w:type="dxa"/>
                  <w:vAlign w:val="center"/>
                </w:tcPr>
                <w:p w14:paraId="03954328">
                  <w:pPr>
                    <w:spacing w:line="240" w:lineRule="auto"/>
                    <w:jc w:val="center"/>
                    <w:rPr>
                      <w:kern w:val="0"/>
                      <w:sz w:val="21"/>
                      <w:szCs w:val="21"/>
                      <w:u w:val="single"/>
                    </w:rPr>
                  </w:pPr>
                  <w:r>
                    <w:rPr>
                      <w:rFonts w:hint="eastAsia"/>
                      <w:kern w:val="0"/>
                      <w:sz w:val="21"/>
                      <w:szCs w:val="21"/>
                      <w:u w:val="single"/>
                    </w:rPr>
                    <w:t>乡镇供电所供电</w:t>
                  </w:r>
                </w:p>
              </w:tc>
              <w:tc>
                <w:tcPr>
                  <w:tcW w:w="1937" w:type="dxa"/>
                  <w:vAlign w:val="center"/>
                </w:tcPr>
                <w:p w14:paraId="103E07D0">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36BE6578">
                  <w:pPr>
                    <w:spacing w:line="240" w:lineRule="auto"/>
                    <w:jc w:val="center"/>
                    <w:rPr>
                      <w:kern w:val="0"/>
                      <w:sz w:val="21"/>
                      <w:szCs w:val="21"/>
                      <w:u w:val="single"/>
                    </w:rPr>
                  </w:pPr>
                  <w:r>
                    <w:rPr>
                      <w:rFonts w:hint="eastAsia"/>
                      <w:kern w:val="0"/>
                      <w:sz w:val="21"/>
                      <w:szCs w:val="21"/>
                      <w:u w:val="single"/>
                    </w:rPr>
                    <w:t>依托现有</w:t>
                  </w:r>
                </w:p>
              </w:tc>
            </w:tr>
            <w:tr w14:paraId="513BF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6E4DF564">
                  <w:pPr>
                    <w:spacing w:line="240" w:lineRule="auto"/>
                    <w:jc w:val="center"/>
                    <w:rPr>
                      <w:kern w:val="0"/>
                      <w:sz w:val="21"/>
                      <w:szCs w:val="21"/>
                      <w:u w:val="single"/>
                    </w:rPr>
                  </w:pPr>
                  <w:r>
                    <w:rPr>
                      <w:rFonts w:hint="eastAsia"/>
                      <w:kern w:val="0"/>
                      <w:sz w:val="21"/>
                      <w:szCs w:val="21"/>
                      <w:u w:val="single"/>
                    </w:rPr>
                    <w:t>6</w:t>
                  </w:r>
                </w:p>
              </w:tc>
              <w:tc>
                <w:tcPr>
                  <w:tcW w:w="919" w:type="dxa"/>
                  <w:vMerge w:val="continue"/>
                  <w:vAlign w:val="center"/>
                </w:tcPr>
                <w:p w14:paraId="3FCC016D">
                  <w:pPr>
                    <w:spacing w:line="240" w:lineRule="auto"/>
                    <w:jc w:val="center"/>
                    <w:rPr>
                      <w:kern w:val="0"/>
                      <w:sz w:val="21"/>
                      <w:szCs w:val="21"/>
                      <w:u w:val="single"/>
                    </w:rPr>
                  </w:pPr>
                </w:p>
              </w:tc>
              <w:tc>
                <w:tcPr>
                  <w:tcW w:w="920" w:type="dxa"/>
                  <w:vAlign w:val="center"/>
                </w:tcPr>
                <w:p w14:paraId="105F956E">
                  <w:pPr>
                    <w:spacing w:line="240" w:lineRule="auto"/>
                    <w:jc w:val="center"/>
                    <w:rPr>
                      <w:kern w:val="0"/>
                      <w:sz w:val="21"/>
                      <w:szCs w:val="21"/>
                      <w:u w:val="single"/>
                    </w:rPr>
                  </w:pPr>
                  <w:r>
                    <w:rPr>
                      <w:rFonts w:hint="eastAsia"/>
                      <w:kern w:val="0"/>
                      <w:sz w:val="21"/>
                      <w:szCs w:val="21"/>
                      <w:u w:val="single"/>
                    </w:rPr>
                    <w:t>排水</w:t>
                  </w:r>
                </w:p>
              </w:tc>
              <w:tc>
                <w:tcPr>
                  <w:tcW w:w="2453" w:type="dxa"/>
                  <w:vAlign w:val="center"/>
                </w:tcPr>
                <w:p w14:paraId="3DF466D7">
                  <w:pPr>
                    <w:spacing w:line="240" w:lineRule="auto"/>
                    <w:jc w:val="center"/>
                    <w:rPr>
                      <w:kern w:val="0"/>
                      <w:sz w:val="21"/>
                      <w:szCs w:val="21"/>
                      <w:u w:val="single"/>
                    </w:rPr>
                  </w:pPr>
                  <w:r>
                    <w:rPr>
                      <w:rFonts w:hint="eastAsia"/>
                      <w:kern w:val="0"/>
                      <w:sz w:val="21"/>
                      <w:szCs w:val="21"/>
                      <w:u w:val="single"/>
                    </w:rPr>
                    <w:t>卫生院采取雨污分流制度；卫生院雨水经过明渠收集后排入雨水管网；医疗废水经过自建污水系统处理后排入污水管网排入茶林镇污水处理厂处理</w:t>
                  </w:r>
                </w:p>
              </w:tc>
              <w:tc>
                <w:tcPr>
                  <w:tcW w:w="1937" w:type="dxa"/>
                  <w:vAlign w:val="center"/>
                </w:tcPr>
                <w:p w14:paraId="641A23B0">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59D8121E">
                  <w:pPr>
                    <w:spacing w:line="240" w:lineRule="auto"/>
                    <w:jc w:val="center"/>
                    <w:rPr>
                      <w:kern w:val="0"/>
                      <w:sz w:val="21"/>
                      <w:szCs w:val="21"/>
                      <w:u w:val="single"/>
                    </w:rPr>
                  </w:pPr>
                  <w:r>
                    <w:rPr>
                      <w:rFonts w:hint="eastAsia"/>
                      <w:kern w:val="0"/>
                      <w:sz w:val="21"/>
                      <w:szCs w:val="21"/>
                      <w:u w:val="single"/>
                    </w:rPr>
                    <w:t>依托现有</w:t>
                  </w:r>
                </w:p>
              </w:tc>
            </w:tr>
            <w:tr w14:paraId="49AB8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05029578">
                  <w:pPr>
                    <w:spacing w:line="240" w:lineRule="auto"/>
                    <w:jc w:val="center"/>
                    <w:rPr>
                      <w:kern w:val="0"/>
                      <w:sz w:val="21"/>
                      <w:szCs w:val="21"/>
                      <w:u w:val="single"/>
                    </w:rPr>
                  </w:pPr>
                  <w:r>
                    <w:rPr>
                      <w:rFonts w:hint="eastAsia"/>
                      <w:kern w:val="0"/>
                      <w:sz w:val="21"/>
                      <w:szCs w:val="21"/>
                      <w:u w:val="single"/>
                    </w:rPr>
                    <w:t>7</w:t>
                  </w:r>
                </w:p>
              </w:tc>
              <w:tc>
                <w:tcPr>
                  <w:tcW w:w="919" w:type="dxa"/>
                  <w:vMerge w:val="restart"/>
                  <w:vAlign w:val="center"/>
                </w:tcPr>
                <w:p w14:paraId="4F2CD1B8">
                  <w:pPr>
                    <w:spacing w:line="240" w:lineRule="auto"/>
                    <w:jc w:val="center"/>
                    <w:rPr>
                      <w:kern w:val="0"/>
                      <w:sz w:val="21"/>
                      <w:szCs w:val="21"/>
                      <w:u w:val="single"/>
                    </w:rPr>
                  </w:pPr>
                  <w:r>
                    <w:rPr>
                      <w:rFonts w:hint="eastAsia"/>
                      <w:kern w:val="0"/>
                      <w:sz w:val="21"/>
                      <w:szCs w:val="21"/>
                      <w:u w:val="single"/>
                    </w:rPr>
                    <w:t>环保工程</w:t>
                  </w:r>
                </w:p>
              </w:tc>
              <w:tc>
                <w:tcPr>
                  <w:tcW w:w="920" w:type="dxa"/>
                  <w:vMerge w:val="restart"/>
                  <w:vAlign w:val="center"/>
                </w:tcPr>
                <w:p w14:paraId="0576515F">
                  <w:pPr>
                    <w:spacing w:line="240" w:lineRule="auto"/>
                    <w:jc w:val="center"/>
                    <w:rPr>
                      <w:kern w:val="0"/>
                      <w:sz w:val="21"/>
                      <w:szCs w:val="21"/>
                      <w:u w:val="single"/>
                    </w:rPr>
                  </w:pPr>
                  <w:r>
                    <w:rPr>
                      <w:rFonts w:hint="eastAsia"/>
                      <w:kern w:val="0"/>
                      <w:sz w:val="21"/>
                      <w:szCs w:val="21"/>
                      <w:u w:val="single"/>
                    </w:rPr>
                    <w:t>废气</w:t>
                  </w:r>
                </w:p>
              </w:tc>
              <w:tc>
                <w:tcPr>
                  <w:tcW w:w="2453" w:type="dxa"/>
                  <w:vAlign w:val="center"/>
                </w:tcPr>
                <w:p w14:paraId="271C4E9A">
                  <w:pPr>
                    <w:spacing w:line="240" w:lineRule="auto"/>
                    <w:rPr>
                      <w:kern w:val="0"/>
                      <w:sz w:val="21"/>
                      <w:szCs w:val="21"/>
                      <w:u w:val="single"/>
                    </w:rPr>
                  </w:pPr>
                  <w:r>
                    <w:rPr>
                      <w:rFonts w:hint="eastAsia"/>
                      <w:b/>
                      <w:bCs/>
                      <w:kern w:val="0"/>
                      <w:sz w:val="21"/>
                      <w:szCs w:val="21"/>
                      <w:u w:val="single"/>
                    </w:rPr>
                    <w:t>污水处理站恶臭：</w:t>
                  </w:r>
                  <w:r>
                    <w:rPr>
                      <w:rFonts w:hint="eastAsia"/>
                      <w:kern w:val="0"/>
                      <w:sz w:val="21"/>
                      <w:szCs w:val="21"/>
                      <w:u w:val="single"/>
                    </w:rPr>
                    <w:t>采取池体密闭加盖+投放除臭药剂方式减少无组织排放污染影响</w:t>
                  </w:r>
                </w:p>
              </w:tc>
              <w:tc>
                <w:tcPr>
                  <w:tcW w:w="1937" w:type="dxa"/>
                  <w:vAlign w:val="center"/>
                </w:tcPr>
                <w:p w14:paraId="0400406B">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18B3ED84">
                  <w:pPr>
                    <w:spacing w:line="240" w:lineRule="auto"/>
                    <w:jc w:val="center"/>
                    <w:rPr>
                      <w:kern w:val="0"/>
                      <w:sz w:val="21"/>
                      <w:szCs w:val="21"/>
                      <w:u w:val="single"/>
                    </w:rPr>
                  </w:pPr>
                  <w:r>
                    <w:rPr>
                      <w:rFonts w:hint="eastAsia"/>
                      <w:kern w:val="0"/>
                      <w:sz w:val="21"/>
                      <w:szCs w:val="21"/>
                      <w:u w:val="single"/>
                    </w:rPr>
                    <w:t>依托现有</w:t>
                  </w:r>
                </w:p>
              </w:tc>
            </w:tr>
            <w:tr w14:paraId="7E3ED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55647D67">
                  <w:pPr>
                    <w:spacing w:line="240" w:lineRule="auto"/>
                    <w:jc w:val="center"/>
                    <w:rPr>
                      <w:kern w:val="0"/>
                      <w:sz w:val="21"/>
                      <w:szCs w:val="21"/>
                      <w:u w:val="single"/>
                    </w:rPr>
                  </w:pPr>
                  <w:r>
                    <w:rPr>
                      <w:rFonts w:hint="eastAsia"/>
                      <w:kern w:val="0"/>
                      <w:sz w:val="21"/>
                      <w:szCs w:val="21"/>
                      <w:u w:val="single"/>
                    </w:rPr>
                    <w:t>8</w:t>
                  </w:r>
                </w:p>
              </w:tc>
              <w:tc>
                <w:tcPr>
                  <w:tcW w:w="919" w:type="dxa"/>
                  <w:vMerge w:val="continue"/>
                  <w:vAlign w:val="center"/>
                </w:tcPr>
                <w:p w14:paraId="0B2BA932">
                  <w:pPr>
                    <w:spacing w:line="240" w:lineRule="auto"/>
                    <w:jc w:val="center"/>
                    <w:rPr>
                      <w:kern w:val="0"/>
                      <w:sz w:val="21"/>
                      <w:szCs w:val="21"/>
                      <w:u w:val="single"/>
                    </w:rPr>
                  </w:pPr>
                </w:p>
              </w:tc>
              <w:tc>
                <w:tcPr>
                  <w:tcW w:w="920" w:type="dxa"/>
                  <w:vMerge w:val="continue"/>
                  <w:vAlign w:val="center"/>
                </w:tcPr>
                <w:p w14:paraId="25068F4C">
                  <w:pPr>
                    <w:spacing w:line="240" w:lineRule="auto"/>
                    <w:jc w:val="center"/>
                    <w:rPr>
                      <w:kern w:val="0"/>
                      <w:sz w:val="21"/>
                      <w:szCs w:val="21"/>
                      <w:u w:val="single"/>
                    </w:rPr>
                  </w:pPr>
                </w:p>
              </w:tc>
              <w:tc>
                <w:tcPr>
                  <w:tcW w:w="2453" w:type="dxa"/>
                  <w:vAlign w:val="center"/>
                </w:tcPr>
                <w:p w14:paraId="07B42FED">
                  <w:pPr>
                    <w:spacing w:line="240" w:lineRule="auto"/>
                    <w:rPr>
                      <w:kern w:val="0"/>
                      <w:sz w:val="21"/>
                      <w:szCs w:val="21"/>
                      <w:u w:val="single"/>
                    </w:rPr>
                  </w:pPr>
                  <w:r>
                    <w:rPr>
                      <w:rFonts w:hint="eastAsia"/>
                      <w:b/>
                      <w:bCs/>
                      <w:kern w:val="0"/>
                      <w:sz w:val="21"/>
                      <w:szCs w:val="21"/>
                      <w:u w:val="single"/>
                    </w:rPr>
                    <w:t>食堂油烟：</w:t>
                  </w:r>
                  <w:r>
                    <w:rPr>
                      <w:rFonts w:hint="eastAsia"/>
                      <w:kern w:val="0"/>
                      <w:sz w:val="21"/>
                      <w:szCs w:val="21"/>
                      <w:u w:val="single"/>
                    </w:rPr>
                    <w:t>采取油烟净化器处理后经过排烟管道楼顶排放</w:t>
                  </w:r>
                </w:p>
              </w:tc>
              <w:tc>
                <w:tcPr>
                  <w:tcW w:w="1937" w:type="dxa"/>
                  <w:vAlign w:val="center"/>
                </w:tcPr>
                <w:p w14:paraId="269F5E5B">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4AF398EF">
                  <w:pPr>
                    <w:spacing w:line="240" w:lineRule="auto"/>
                    <w:jc w:val="center"/>
                    <w:rPr>
                      <w:kern w:val="0"/>
                      <w:sz w:val="21"/>
                      <w:szCs w:val="21"/>
                      <w:u w:val="single"/>
                    </w:rPr>
                  </w:pPr>
                  <w:r>
                    <w:rPr>
                      <w:rFonts w:hint="eastAsia"/>
                      <w:kern w:val="0"/>
                      <w:sz w:val="21"/>
                      <w:szCs w:val="21"/>
                      <w:u w:val="single"/>
                    </w:rPr>
                    <w:t>依托现有</w:t>
                  </w:r>
                </w:p>
              </w:tc>
            </w:tr>
            <w:tr w14:paraId="7D018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4B683E00">
                  <w:pPr>
                    <w:spacing w:line="240" w:lineRule="auto"/>
                    <w:jc w:val="center"/>
                    <w:rPr>
                      <w:kern w:val="0"/>
                      <w:sz w:val="21"/>
                      <w:szCs w:val="21"/>
                      <w:u w:val="single"/>
                    </w:rPr>
                  </w:pPr>
                  <w:r>
                    <w:rPr>
                      <w:rFonts w:hint="eastAsia"/>
                      <w:kern w:val="0"/>
                      <w:sz w:val="21"/>
                      <w:szCs w:val="21"/>
                      <w:u w:val="single"/>
                    </w:rPr>
                    <w:t>9</w:t>
                  </w:r>
                </w:p>
              </w:tc>
              <w:tc>
                <w:tcPr>
                  <w:tcW w:w="919" w:type="dxa"/>
                  <w:vMerge w:val="continue"/>
                  <w:vAlign w:val="center"/>
                </w:tcPr>
                <w:p w14:paraId="791F6F1F">
                  <w:pPr>
                    <w:spacing w:line="240" w:lineRule="auto"/>
                    <w:jc w:val="center"/>
                    <w:rPr>
                      <w:kern w:val="0"/>
                      <w:sz w:val="21"/>
                      <w:szCs w:val="21"/>
                      <w:u w:val="single"/>
                    </w:rPr>
                  </w:pPr>
                </w:p>
              </w:tc>
              <w:tc>
                <w:tcPr>
                  <w:tcW w:w="920" w:type="dxa"/>
                  <w:vAlign w:val="center"/>
                </w:tcPr>
                <w:p w14:paraId="45F6F265">
                  <w:pPr>
                    <w:spacing w:line="240" w:lineRule="auto"/>
                    <w:jc w:val="center"/>
                    <w:rPr>
                      <w:kern w:val="0"/>
                      <w:sz w:val="21"/>
                      <w:szCs w:val="21"/>
                      <w:u w:val="single"/>
                    </w:rPr>
                  </w:pPr>
                  <w:r>
                    <w:rPr>
                      <w:rFonts w:hint="eastAsia"/>
                      <w:kern w:val="0"/>
                      <w:sz w:val="21"/>
                      <w:szCs w:val="21"/>
                      <w:u w:val="single"/>
                    </w:rPr>
                    <w:t>废水</w:t>
                  </w:r>
                </w:p>
              </w:tc>
              <w:tc>
                <w:tcPr>
                  <w:tcW w:w="2453" w:type="dxa"/>
                  <w:vAlign w:val="center"/>
                </w:tcPr>
                <w:p w14:paraId="2DBDE987">
                  <w:pPr>
                    <w:spacing w:line="240" w:lineRule="auto"/>
                    <w:rPr>
                      <w:kern w:val="0"/>
                      <w:sz w:val="21"/>
                      <w:szCs w:val="21"/>
                      <w:u w:val="single"/>
                    </w:rPr>
                  </w:pPr>
                  <w:r>
                    <w:rPr>
                      <w:rFonts w:hint="eastAsia"/>
                      <w:kern w:val="0"/>
                      <w:sz w:val="21"/>
                      <w:szCs w:val="21"/>
                      <w:u w:val="single"/>
                    </w:rPr>
                    <w:t>雨污分流，医疗废水经过自建污水系统（隔油池+化粪池+沉淀+消毒工艺）处理满足《医疗机构水污染物排放标准》（GB18466-2005）表2中的预处理标准后排入茶林镇污水处理厂处理达到《城镇污水处理厂污染物排放标准》中表1一级A标准后排入小河江，处理规模5</w:t>
                  </w:r>
                  <w:r>
                    <w:rPr>
                      <w:kern w:val="0"/>
                      <w:sz w:val="21"/>
                      <w:szCs w:val="21"/>
                      <w:u w:val="single"/>
                    </w:rPr>
                    <w:t>m</w:t>
                  </w:r>
                  <w:r>
                    <w:rPr>
                      <w:kern w:val="0"/>
                      <w:sz w:val="21"/>
                      <w:szCs w:val="21"/>
                      <w:u w:val="single"/>
                      <w:vertAlign w:val="superscript"/>
                    </w:rPr>
                    <w:t>3</w:t>
                  </w:r>
                  <w:r>
                    <w:rPr>
                      <w:rFonts w:hint="eastAsia"/>
                      <w:kern w:val="0"/>
                      <w:sz w:val="21"/>
                      <w:szCs w:val="21"/>
                      <w:u w:val="single"/>
                    </w:rPr>
                    <w:t>/</w:t>
                  </w:r>
                  <w:r>
                    <w:rPr>
                      <w:kern w:val="0"/>
                      <w:sz w:val="21"/>
                      <w:szCs w:val="21"/>
                      <w:u w:val="single"/>
                    </w:rPr>
                    <w:t>d</w:t>
                  </w:r>
                </w:p>
              </w:tc>
              <w:tc>
                <w:tcPr>
                  <w:tcW w:w="1937" w:type="dxa"/>
                  <w:vAlign w:val="center"/>
                </w:tcPr>
                <w:p w14:paraId="69B4BBE7">
                  <w:pPr>
                    <w:spacing w:line="240" w:lineRule="auto"/>
                    <w:jc w:val="center"/>
                    <w:rPr>
                      <w:kern w:val="0"/>
                      <w:sz w:val="21"/>
                      <w:szCs w:val="21"/>
                      <w:u w:val="single"/>
                    </w:rPr>
                  </w:pPr>
                  <w:r>
                    <w:rPr>
                      <w:rFonts w:hint="eastAsia"/>
                      <w:kern w:val="0"/>
                      <w:sz w:val="21"/>
                      <w:szCs w:val="21"/>
                      <w:u w:val="single"/>
                    </w:rPr>
                    <w:t>雨污分流，医疗废水经过自建污水系统（隔油池+化粪池+沉淀+消毒工艺）处理满足《医疗机构水污染物排放标准》（GB18466-2005）表2中的预处理标准后排入茶林镇污水处理厂处理达到《城镇污水处理厂污染物排放标准》中表1一级A标准后排入小河江，处理规模15</w:t>
                  </w:r>
                  <w:r>
                    <w:rPr>
                      <w:kern w:val="0"/>
                      <w:sz w:val="21"/>
                      <w:szCs w:val="21"/>
                      <w:u w:val="single"/>
                    </w:rPr>
                    <w:t>m</w:t>
                  </w:r>
                  <w:r>
                    <w:rPr>
                      <w:kern w:val="0"/>
                      <w:sz w:val="21"/>
                      <w:szCs w:val="21"/>
                      <w:u w:val="single"/>
                      <w:vertAlign w:val="superscript"/>
                    </w:rPr>
                    <w:t>3</w:t>
                  </w:r>
                  <w:r>
                    <w:rPr>
                      <w:rFonts w:hint="eastAsia"/>
                      <w:kern w:val="0"/>
                      <w:sz w:val="21"/>
                      <w:szCs w:val="21"/>
                      <w:u w:val="single"/>
                    </w:rPr>
                    <w:t>/</w:t>
                  </w:r>
                  <w:r>
                    <w:rPr>
                      <w:kern w:val="0"/>
                      <w:sz w:val="21"/>
                      <w:szCs w:val="21"/>
                      <w:u w:val="single"/>
                    </w:rPr>
                    <w:t>d</w:t>
                  </w:r>
                </w:p>
              </w:tc>
              <w:tc>
                <w:tcPr>
                  <w:tcW w:w="1391" w:type="dxa"/>
                  <w:vAlign w:val="center"/>
                </w:tcPr>
                <w:p w14:paraId="55998148">
                  <w:pPr>
                    <w:spacing w:line="240" w:lineRule="auto"/>
                    <w:jc w:val="center"/>
                    <w:rPr>
                      <w:kern w:val="0"/>
                      <w:sz w:val="21"/>
                      <w:szCs w:val="21"/>
                      <w:u w:val="single"/>
                    </w:rPr>
                  </w:pPr>
                  <w:r>
                    <w:rPr>
                      <w:rFonts w:hint="eastAsia"/>
                      <w:kern w:val="0"/>
                      <w:sz w:val="21"/>
                      <w:szCs w:val="21"/>
                      <w:u w:val="single"/>
                    </w:rPr>
                    <w:t>改扩建</w:t>
                  </w:r>
                </w:p>
              </w:tc>
            </w:tr>
            <w:tr w14:paraId="62861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3E3FE27D">
                  <w:pPr>
                    <w:spacing w:line="240" w:lineRule="auto"/>
                    <w:jc w:val="center"/>
                    <w:rPr>
                      <w:kern w:val="0"/>
                      <w:sz w:val="21"/>
                      <w:szCs w:val="21"/>
                      <w:u w:val="single"/>
                    </w:rPr>
                  </w:pPr>
                  <w:r>
                    <w:rPr>
                      <w:rFonts w:hint="eastAsia"/>
                      <w:kern w:val="0"/>
                      <w:sz w:val="21"/>
                      <w:szCs w:val="21"/>
                      <w:u w:val="single"/>
                    </w:rPr>
                    <w:t>10</w:t>
                  </w:r>
                </w:p>
              </w:tc>
              <w:tc>
                <w:tcPr>
                  <w:tcW w:w="919" w:type="dxa"/>
                  <w:vMerge w:val="continue"/>
                  <w:vAlign w:val="center"/>
                </w:tcPr>
                <w:p w14:paraId="33E0B53F">
                  <w:pPr>
                    <w:spacing w:line="240" w:lineRule="auto"/>
                    <w:jc w:val="center"/>
                    <w:rPr>
                      <w:kern w:val="0"/>
                      <w:sz w:val="21"/>
                      <w:szCs w:val="21"/>
                      <w:u w:val="single"/>
                    </w:rPr>
                  </w:pPr>
                </w:p>
              </w:tc>
              <w:tc>
                <w:tcPr>
                  <w:tcW w:w="920" w:type="dxa"/>
                  <w:vAlign w:val="center"/>
                </w:tcPr>
                <w:p w14:paraId="4E95F193">
                  <w:pPr>
                    <w:spacing w:line="240" w:lineRule="auto"/>
                    <w:jc w:val="center"/>
                    <w:rPr>
                      <w:kern w:val="0"/>
                      <w:sz w:val="21"/>
                      <w:szCs w:val="21"/>
                      <w:u w:val="single"/>
                    </w:rPr>
                  </w:pPr>
                  <w:r>
                    <w:rPr>
                      <w:rFonts w:hint="eastAsia"/>
                      <w:kern w:val="0"/>
                      <w:sz w:val="21"/>
                      <w:szCs w:val="21"/>
                      <w:u w:val="single"/>
                    </w:rPr>
                    <w:t>噪声</w:t>
                  </w:r>
                </w:p>
              </w:tc>
              <w:tc>
                <w:tcPr>
                  <w:tcW w:w="2453" w:type="dxa"/>
                  <w:vAlign w:val="center"/>
                </w:tcPr>
                <w:p w14:paraId="69617D60">
                  <w:pPr>
                    <w:spacing w:line="240" w:lineRule="auto"/>
                    <w:rPr>
                      <w:kern w:val="0"/>
                      <w:sz w:val="21"/>
                      <w:szCs w:val="21"/>
                      <w:u w:val="single"/>
                    </w:rPr>
                  </w:pPr>
                  <w:r>
                    <w:rPr>
                      <w:rFonts w:hint="eastAsia"/>
                      <w:kern w:val="0"/>
                      <w:sz w:val="21"/>
                      <w:szCs w:val="21"/>
                      <w:u w:val="single"/>
                    </w:rPr>
                    <w:t>选用技术先进，低噪声、低能耗、低排放设备；隔声、基础减振等</w:t>
                  </w:r>
                </w:p>
              </w:tc>
              <w:tc>
                <w:tcPr>
                  <w:tcW w:w="1937" w:type="dxa"/>
                  <w:vAlign w:val="center"/>
                </w:tcPr>
                <w:p w14:paraId="5C13B812">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7B896F77">
                  <w:pPr>
                    <w:spacing w:line="240" w:lineRule="auto"/>
                    <w:jc w:val="center"/>
                    <w:rPr>
                      <w:kern w:val="0"/>
                      <w:sz w:val="21"/>
                      <w:szCs w:val="21"/>
                      <w:u w:val="single"/>
                    </w:rPr>
                  </w:pPr>
                  <w:r>
                    <w:rPr>
                      <w:rFonts w:hint="eastAsia"/>
                      <w:kern w:val="0"/>
                      <w:sz w:val="21"/>
                      <w:szCs w:val="21"/>
                      <w:u w:val="single"/>
                    </w:rPr>
                    <w:t>依托现有</w:t>
                  </w:r>
                </w:p>
              </w:tc>
            </w:tr>
            <w:tr w14:paraId="3CBC1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4DE43200">
                  <w:pPr>
                    <w:spacing w:line="240" w:lineRule="auto"/>
                    <w:jc w:val="center"/>
                    <w:rPr>
                      <w:kern w:val="0"/>
                      <w:sz w:val="21"/>
                      <w:szCs w:val="21"/>
                      <w:u w:val="single"/>
                    </w:rPr>
                  </w:pPr>
                  <w:r>
                    <w:rPr>
                      <w:rFonts w:hint="eastAsia"/>
                      <w:kern w:val="0"/>
                      <w:sz w:val="21"/>
                      <w:szCs w:val="21"/>
                      <w:u w:val="single"/>
                    </w:rPr>
                    <w:t>11</w:t>
                  </w:r>
                </w:p>
              </w:tc>
              <w:tc>
                <w:tcPr>
                  <w:tcW w:w="919" w:type="dxa"/>
                  <w:vMerge w:val="continue"/>
                  <w:vAlign w:val="center"/>
                </w:tcPr>
                <w:p w14:paraId="465F173F">
                  <w:pPr>
                    <w:spacing w:line="240" w:lineRule="auto"/>
                    <w:jc w:val="center"/>
                    <w:rPr>
                      <w:kern w:val="0"/>
                      <w:sz w:val="21"/>
                      <w:szCs w:val="21"/>
                      <w:u w:val="single"/>
                    </w:rPr>
                  </w:pPr>
                </w:p>
              </w:tc>
              <w:tc>
                <w:tcPr>
                  <w:tcW w:w="920" w:type="dxa"/>
                  <w:vAlign w:val="center"/>
                </w:tcPr>
                <w:p w14:paraId="490B9F48">
                  <w:pPr>
                    <w:spacing w:line="240" w:lineRule="auto"/>
                    <w:jc w:val="center"/>
                    <w:rPr>
                      <w:kern w:val="0"/>
                      <w:sz w:val="21"/>
                      <w:szCs w:val="21"/>
                      <w:u w:val="single"/>
                    </w:rPr>
                  </w:pPr>
                  <w:r>
                    <w:rPr>
                      <w:rFonts w:hint="eastAsia"/>
                      <w:kern w:val="0"/>
                      <w:sz w:val="21"/>
                      <w:szCs w:val="21"/>
                      <w:u w:val="single"/>
                    </w:rPr>
                    <w:t>固废</w:t>
                  </w:r>
                </w:p>
              </w:tc>
              <w:tc>
                <w:tcPr>
                  <w:tcW w:w="2453" w:type="dxa"/>
                  <w:vAlign w:val="center"/>
                </w:tcPr>
                <w:p w14:paraId="5DEA6D5D">
                  <w:pPr>
                    <w:spacing w:line="240" w:lineRule="auto"/>
                    <w:rPr>
                      <w:kern w:val="0"/>
                      <w:sz w:val="21"/>
                      <w:szCs w:val="21"/>
                      <w:u w:val="single"/>
                    </w:rPr>
                  </w:pPr>
                  <w:r>
                    <w:rPr>
                      <w:rFonts w:hint="eastAsia"/>
                      <w:kern w:val="0"/>
                      <w:sz w:val="21"/>
                      <w:szCs w:val="21"/>
                      <w:u w:val="single"/>
                    </w:rPr>
                    <w:t>医疗废物分类收集，临时贮存于医院西北角危废暂存间（6m</w:t>
                  </w:r>
                  <w:r>
                    <w:rPr>
                      <w:rFonts w:hint="eastAsia"/>
                      <w:kern w:val="0"/>
                      <w:sz w:val="21"/>
                      <w:szCs w:val="21"/>
                      <w:u w:val="single"/>
                      <w:vertAlign w:val="superscript"/>
                    </w:rPr>
                    <w:t>2</w:t>
                  </w:r>
                  <w:r>
                    <w:rPr>
                      <w:rFonts w:hint="eastAsia"/>
                      <w:kern w:val="0"/>
                      <w:sz w:val="21"/>
                      <w:szCs w:val="21"/>
                      <w:u w:val="single"/>
                    </w:rPr>
                    <w:t>），定期交由永州市医疗废物集中处置中心处置； 生活垃圾经垃圾桶收集后由当地环卫部门统一清运。</w:t>
                  </w:r>
                </w:p>
              </w:tc>
              <w:tc>
                <w:tcPr>
                  <w:tcW w:w="1937" w:type="dxa"/>
                  <w:vAlign w:val="center"/>
                </w:tcPr>
                <w:p w14:paraId="05726B52">
                  <w:pPr>
                    <w:spacing w:line="240" w:lineRule="auto"/>
                    <w:jc w:val="center"/>
                    <w:rPr>
                      <w:kern w:val="0"/>
                      <w:sz w:val="21"/>
                      <w:szCs w:val="21"/>
                      <w:u w:val="single"/>
                    </w:rPr>
                  </w:pPr>
                  <w:r>
                    <w:rPr>
                      <w:rFonts w:hint="eastAsia"/>
                      <w:kern w:val="0"/>
                      <w:sz w:val="21"/>
                      <w:szCs w:val="21"/>
                      <w:u w:val="single"/>
                    </w:rPr>
                    <w:t>/</w:t>
                  </w:r>
                </w:p>
              </w:tc>
              <w:tc>
                <w:tcPr>
                  <w:tcW w:w="1391" w:type="dxa"/>
                  <w:vAlign w:val="center"/>
                </w:tcPr>
                <w:p w14:paraId="118BD6CC">
                  <w:pPr>
                    <w:spacing w:line="240" w:lineRule="auto"/>
                    <w:jc w:val="center"/>
                    <w:rPr>
                      <w:kern w:val="0"/>
                      <w:sz w:val="21"/>
                      <w:szCs w:val="21"/>
                      <w:u w:val="single"/>
                    </w:rPr>
                  </w:pPr>
                  <w:r>
                    <w:rPr>
                      <w:rFonts w:hint="eastAsia"/>
                      <w:kern w:val="0"/>
                      <w:sz w:val="21"/>
                      <w:szCs w:val="21"/>
                      <w:u w:val="single"/>
                    </w:rPr>
                    <w:t>依托现有</w:t>
                  </w:r>
                </w:p>
              </w:tc>
            </w:tr>
            <w:tr w14:paraId="56002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14:paraId="16EA8040">
                  <w:pPr>
                    <w:spacing w:line="240" w:lineRule="auto"/>
                    <w:jc w:val="center"/>
                    <w:rPr>
                      <w:kern w:val="0"/>
                      <w:sz w:val="21"/>
                      <w:szCs w:val="21"/>
                      <w:u w:val="single"/>
                    </w:rPr>
                  </w:pPr>
                  <w:r>
                    <w:rPr>
                      <w:rFonts w:hint="eastAsia"/>
                      <w:kern w:val="0"/>
                      <w:sz w:val="21"/>
                      <w:szCs w:val="21"/>
                      <w:u w:val="single"/>
                    </w:rPr>
                    <w:t>1</w:t>
                  </w:r>
                  <w:r>
                    <w:rPr>
                      <w:kern w:val="0"/>
                      <w:sz w:val="21"/>
                      <w:szCs w:val="21"/>
                      <w:u w:val="single"/>
                    </w:rPr>
                    <w:t>2</w:t>
                  </w:r>
                </w:p>
              </w:tc>
              <w:tc>
                <w:tcPr>
                  <w:tcW w:w="919" w:type="dxa"/>
                  <w:vMerge w:val="continue"/>
                  <w:vAlign w:val="center"/>
                </w:tcPr>
                <w:p w14:paraId="3D46CA20">
                  <w:pPr>
                    <w:spacing w:line="240" w:lineRule="auto"/>
                    <w:jc w:val="center"/>
                    <w:rPr>
                      <w:kern w:val="0"/>
                      <w:sz w:val="21"/>
                      <w:szCs w:val="21"/>
                      <w:u w:val="single"/>
                    </w:rPr>
                  </w:pPr>
                </w:p>
              </w:tc>
              <w:tc>
                <w:tcPr>
                  <w:tcW w:w="920" w:type="dxa"/>
                  <w:vAlign w:val="center"/>
                </w:tcPr>
                <w:p w14:paraId="5FC51446">
                  <w:pPr>
                    <w:spacing w:line="240" w:lineRule="auto"/>
                    <w:jc w:val="center"/>
                    <w:rPr>
                      <w:kern w:val="0"/>
                      <w:sz w:val="21"/>
                      <w:szCs w:val="21"/>
                      <w:u w:val="single"/>
                    </w:rPr>
                  </w:pPr>
                  <w:r>
                    <w:rPr>
                      <w:rFonts w:hint="eastAsia"/>
                      <w:kern w:val="0"/>
                      <w:sz w:val="21"/>
                      <w:szCs w:val="21"/>
                      <w:u w:val="single"/>
                    </w:rPr>
                    <w:t>环境风险</w:t>
                  </w:r>
                </w:p>
              </w:tc>
              <w:tc>
                <w:tcPr>
                  <w:tcW w:w="2453" w:type="dxa"/>
                  <w:vAlign w:val="center"/>
                </w:tcPr>
                <w:p w14:paraId="26A7BBCA">
                  <w:pPr>
                    <w:spacing w:line="240" w:lineRule="auto"/>
                    <w:rPr>
                      <w:kern w:val="0"/>
                      <w:sz w:val="21"/>
                      <w:szCs w:val="21"/>
                      <w:u w:val="single"/>
                    </w:rPr>
                  </w:pPr>
                  <w:r>
                    <w:rPr>
                      <w:rFonts w:hint="eastAsia"/>
                      <w:kern w:val="0"/>
                      <w:sz w:val="21"/>
                      <w:szCs w:val="21"/>
                      <w:u w:val="single"/>
                    </w:rPr>
                    <w:t>/</w:t>
                  </w:r>
                </w:p>
              </w:tc>
              <w:tc>
                <w:tcPr>
                  <w:tcW w:w="1937" w:type="dxa"/>
                  <w:vAlign w:val="center"/>
                </w:tcPr>
                <w:p w14:paraId="0BDBFF9D">
                  <w:pPr>
                    <w:spacing w:line="240" w:lineRule="auto"/>
                    <w:jc w:val="center"/>
                    <w:rPr>
                      <w:kern w:val="0"/>
                      <w:sz w:val="21"/>
                      <w:szCs w:val="21"/>
                      <w:u w:val="single"/>
                    </w:rPr>
                  </w:pPr>
                  <w:r>
                    <w:rPr>
                      <w:rFonts w:hint="eastAsia"/>
                      <w:kern w:val="0"/>
                      <w:sz w:val="21"/>
                      <w:szCs w:val="21"/>
                      <w:u w:val="single"/>
                    </w:rPr>
                    <w:t>卫生院新建一大小5</w:t>
                  </w:r>
                  <w:r>
                    <w:rPr>
                      <w:kern w:val="0"/>
                      <w:sz w:val="21"/>
                      <w:szCs w:val="21"/>
                      <w:u w:val="single"/>
                    </w:rPr>
                    <w:t>m</w:t>
                  </w:r>
                  <w:r>
                    <w:rPr>
                      <w:kern w:val="0"/>
                      <w:sz w:val="21"/>
                      <w:szCs w:val="21"/>
                      <w:u w:val="single"/>
                      <w:vertAlign w:val="superscript"/>
                    </w:rPr>
                    <w:t>3</w:t>
                  </w:r>
                  <w:r>
                    <w:rPr>
                      <w:rFonts w:hint="eastAsia"/>
                      <w:kern w:val="0"/>
                      <w:sz w:val="21"/>
                      <w:szCs w:val="21"/>
                      <w:u w:val="single"/>
                    </w:rPr>
                    <w:t>的事故应急池，应急池加盖，正常情况下为空池状态</w:t>
                  </w:r>
                </w:p>
              </w:tc>
              <w:tc>
                <w:tcPr>
                  <w:tcW w:w="1391" w:type="dxa"/>
                  <w:vAlign w:val="center"/>
                </w:tcPr>
                <w:p w14:paraId="11E9EB9A">
                  <w:pPr>
                    <w:spacing w:line="240" w:lineRule="auto"/>
                    <w:jc w:val="center"/>
                    <w:rPr>
                      <w:kern w:val="0"/>
                      <w:sz w:val="21"/>
                      <w:szCs w:val="21"/>
                      <w:u w:val="single"/>
                    </w:rPr>
                  </w:pPr>
                  <w:r>
                    <w:rPr>
                      <w:rFonts w:hint="eastAsia"/>
                      <w:kern w:val="0"/>
                      <w:sz w:val="21"/>
                      <w:szCs w:val="21"/>
                      <w:u w:val="single"/>
                    </w:rPr>
                    <w:t>新增</w:t>
                  </w:r>
                </w:p>
              </w:tc>
            </w:tr>
          </w:tbl>
          <w:p w14:paraId="5E6FF32C">
            <w:pPr>
              <w:rPr>
                <w:b/>
                <w:bCs/>
                <w:snapToGrid w:val="0"/>
                <w:szCs w:val="24"/>
              </w:rPr>
            </w:pPr>
            <w:r>
              <w:rPr>
                <w:rFonts w:hint="eastAsia"/>
                <w:b/>
                <w:bCs/>
                <w:snapToGrid w:val="0"/>
                <w:szCs w:val="24"/>
              </w:rPr>
              <w:t>3、卫生院改扩建床位变化情况</w:t>
            </w:r>
          </w:p>
          <w:p w14:paraId="07D0CD48">
            <w:pPr>
              <w:ind w:firstLine="480" w:firstLineChars="200"/>
              <w:rPr>
                <w:snapToGrid w:val="0"/>
              </w:rPr>
            </w:pPr>
            <w:r>
              <w:rPr>
                <w:rFonts w:hint="eastAsia"/>
                <w:snapToGrid w:val="0"/>
              </w:rPr>
              <w:t>项目改扩建后床位变化情况如下所示：</w:t>
            </w:r>
          </w:p>
          <w:p w14:paraId="70600504">
            <w:pPr>
              <w:jc w:val="center"/>
              <w:rPr>
                <w:b/>
                <w:bCs/>
                <w:snapToGrid w:val="0"/>
              </w:rPr>
            </w:pPr>
            <w:r>
              <w:rPr>
                <w:rFonts w:hint="eastAsia"/>
                <w:b/>
                <w:bCs/>
                <w:snapToGrid w:val="0"/>
              </w:rPr>
              <w:t>表2-2 卫生院床位变化一览表</w:t>
            </w:r>
          </w:p>
          <w:tbl>
            <w:tblPr>
              <w:tblStyle w:val="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835"/>
              <w:gridCol w:w="2576"/>
              <w:gridCol w:w="2085"/>
            </w:tblGrid>
            <w:tr w14:paraId="76B90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tcPr>
                <w:p w14:paraId="2EAD5DB2">
                  <w:pPr>
                    <w:spacing w:line="240" w:lineRule="auto"/>
                    <w:jc w:val="center"/>
                    <w:rPr>
                      <w:snapToGrid w:val="0"/>
                      <w:kern w:val="0"/>
                      <w:sz w:val="21"/>
                      <w:szCs w:val="21"/>
                    </w:rPr>
                  </w:pPr>
                  <w:r>
                    <w:rPr>
                      <w:rFonts w:hint="eastAsia"/>
                      <w:snapToGrid w:val="0"/>
                      <w:kern w:val="0"/>
                      <w:sz w:val="21"/>
                      <w:szCs w:val="21"/>
                    </w:rPr>
                    <w:t>序号</w:t>
                  </w:r>
                </w:p>
              </w:tc>
              <w:tc>
                <w:tcPr>
                  <w:tcW w:w="2835" w:type="dxa"/>
                </w:tcPr>
                <w:p w14:paraId="4BF0373A">
                  <w:pPr>
                    <w:spacing w:line="240" w:lineRule="auto"/>
                    <w:jc w:val="center"/>
                    <w:rPr>
                      <w:snapToGrid w:val="0"/>
                      <w:kern w:val="0"/>
                      <w:sz w:val="21"/>
                      <w:szCs w:val="21"/>
                    </w:rPr>
                  </w:pPr>
                  <w:r>
                    <w:rPr>
                      <w:rFonts w:hint="eastAsia"/>
                      <w:snapToGrid w:val="0"/>
                      <w:kern w:val="0"/>
                      <w:sz w:val="21"/>
                      <w:szCs w:val="21"/>
                    </w:rPr>
                    <w:t>现有床位</w:t>
                  </w:r>
                </w:p>
              </w:tc>
              <w:tc>
                <w:tcPr>
                  <w:tcW w:w="2576" w:type="dxa"/>
                </w:tcPr>
                <w:p w14:paraId="5983836F">
                  <w:pPr>
                    <w:spacing w:line="240" w:lineRule="auto"/>
                    <w:jc w:val="center"/>
                    <w:rPr>
                      <w:snapToGrid w:val="0"/>
                      <w:kern w:val="0"/>
                      <w:sz w:val="21"/>
                      <w:szCs w:val="21"/>
                    </w:rPr>
                  </w:pPr>
                  <w:r>
                    <w:rPr>
                      <w:rFonts w:hint="eastAsia"/>
                      <w:snapToGrid w:val="0"/>
                      <w:kern w:val="0"/>
                      <w:sz w:val="21"/>
                      <w:szCs w:val="21"/>
                    </w:rPr>
                    <w:t>改扩建后床位</w:t>
                  </w:r>
                </w:p>
              </w:tc>
              <w:tc>
                <w:tcPr>
                  <w:tcW w:w="2085" w:type="dxa"/>
                </w:tcPr>
                <w:p w14:paraId="25563196">
                  <w:pPr>
                    <w:spacing w:line="240" w:lineRule="auto"/>
                    <w:jc w:val="center"/>
                    <w:rPr>
                      <w:snapToGrid w:val="0"/>
                      <w:kern w:val="0"/>
                      <w:sz w:val="21"/>
                      <w:szCs w:val="21"/>
                    </w:rPr>
                  </w:pPr>
                  <w:r>
                    <w:rPr>
                      <w:rFonts w:hint="eastAsia"/>
                      <w:snapToGrid w:val="0"/>
                      <w:kern w:val="0"/>
                      <w:sz w:val="21"/>
                      <w:szCs w:val="21"/>
                    </w:rPr>
                    <w:t>变化情况</w:t>
                  </w:r>
                </w:p>
              </w:tc>
            </w:tr>
            <w:tr w14:paraId="63D41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tcPr>
                <w:p w14:paraId="34918A76">
                  <w:pPr>
                    <w:spacing w:line="240" w:lineRule="auto"/>
                    <w:jc w:val="center"/>
                    <w:rPr>
                      <w:snapToGrid w:val="0"/>
                      <w:kern w:val="0"/>
                      <w:sz w:val="21"/>
                      <w:szCs w:val="21"/>
                    </w:rPr>
                  </w:pPr>
                  <w:r>
                    <w:rPr>
                      <w:rFonts w:hint="eastAsia"/>
                      <w:snapToGrid w:val="0"/>
                      <w:kern w:val="0"/>
                      <w:sz w:val="21"/>
                      <w:szCs w:val="21"/>
                    </w:rPr>
                    <w:t>1</w:t>
                  </w:r>
                </w:p>
              </w:tc>
              <w:tc>
                <w:tcPr>
                  <w:tcW w:w="2835" w:type="dxa"/>
                </w:tcPr>
                <w:p w14:paraId="4E799DD1">
                  <w:pPr>
                    <w:spacing w:line="240" w:lineRule="auto"/>
                    <w:jc w:val="center"/>
                    <w:rPr>
                      <w:snapToGrid w:val="0"/>
                      <w:kern w:val="0"/>
                      <w:sz w:val="21"/>
                      <w:szCs w:val="21"/>
                    </w:rPr>
                  </w:pPr>
                  <w:r>
                    <w:rPr>
                      <w:rFonts w:hint="eastAsia"/>
                      <w:snapToGrid w:val="0"/>
                      <w:kern w:val="0"/>
                      <w:sz w:val="21"/>
                      <w:szCs w:val="21"/>
                    </w:rPr>
                    <w:t>5张</w:t>
                  </w:r>
                </w:p>
              </w:tc>
              <w:tc>
                <w:tcPr>
                  <w:tcW w:w="2576" w:type="dxa"/>
                </w:tcPr>
                <w:p w14:paraId="2AA849AC">
                  <w:pPr>
                    <w:spacing w:line="240" w:lineRule="auto"/>
                    <w:jc w:val="center"/>
                    <w:rPr>
                      <w:snapToGrid w:val="0"/>
                      <w:kern w:val="0"/>
                      <w:sz w:val="21"/>
                      <w:szCs w:val="21"/>
                    </w:rPr>
                  </w:pPr>
                  <w:r>
                    <w:rPr>
                      <w:rFonts w:hint="eastAsia"/>
                      <w:snapToGrid w:val="0"/>
                      <w:kern w:val="0"/>
                      <w:sz w:val="21"/>
                      <w:szCs w:val="21"/>
                    </w:rPr>
                    <w:t>25张</w:t>
                  </w:r>
                </w:p>
              </w:tc>
              <w:tc>
                <w:tcPr>
                  <w:tcW w:w="2085" w:type="dxa"/>
                </w:tcPr>
                <w:p w14:paraId="151F10CC">
                  <w:pPr>
                    <w:spacing w:line="240" w:lineRule="auto"/>
                    <w:jc w:val="center"/>
                    <w:rPr>
                      <w:snapToGrid w:val="0"/>
                      <w:kern w:val="0"/>
                      <w:sz w:val="21"/>
                      <w:szCs w:val="21"/>
                    </w:rPr>
                  </w:pPr>
                  <w:r>
                    <w:rPr>
                      <w:rFonts w:hint="eastAsia"/>
                      <w:snapToGrid w:val="0"/>
                      <w:kern w:val="0"/>
                      <w:sz w:val="21"/>
                      <w:szCs w:val="21"/>
                    </w:rPr>
                    <w:t>增加20张</w:t>
                  </w:r>
                </w:p>
              </w:tc>
            </w:tr>
          </w:tbl>
          <w:p w14:paraId="5A66CC00">
            <w:pPr>
              <w:rPr>
                <w:b/>
                <w:bCs/>
                <w:snapToGrid w:val="0"/>
                <w:szCs w:val="24"/>
              </w:rPr>
            </w:pPr>
            <w:r>
              <w:rPr>
                <w:rFonts w:hint="eastAsia"/>
                <w:b/>
                <w:bCs/>
                <w:snapToGrid w:val="0"/>
                <w:szCs w:val="24"/>
              </w:rPr>
              <w:t>4、项目主要设备</w:t>
            </w:r>
          </w:p>
          <w:p w14:paraId="34ACF6AA">
            <w:pPr>
              <w:adjustRightInd w:val="0"/>
              <w:snapToGrid w:val="0"/>
              <w:ind w:firstLine="480" w:firstLineChars="200"/>
              <w:rPr>
                <w:bCs/>
                <w:snapToGrid w:val="0"/>
                <w:szCs w:val="24"/>
                <w:u w:val="single"/>
              </w:rPr>
            </w:pPr>
            <w:r>
              <w:rPr>
                <w:rFonts w:hint="eastAsia"/>
                <w:bCs/>
                <w:snapToGrid w:val="0"/>
                <w:szCs w:val="24"/>
                <w:u w:val="single"/>
              </w:rPr>
              <w:t>项目主要设备见表2-3。</w:t>
            </w:r>
          </w:p>
          <w:p w14:paraId="6A7FA95A">
            <w:pPr>
              <w:spacing w:line="240" w:lineRule="auto"/>
              <w:jc w:val="center"/>
              <w:rPr>
                <w:b/>
                <w:bCs/>
                <w:u w:val="single"/>
              </w:rPr>
            </w:pPr>
            <w:r>
              <w:rPr>
                <w:rFonts w:hint="eastAsia"/>
                <w:b/>
                <w:bCs/>
                <w:u w:val="single"/>
              </w:rPr>
              <w:t>表2-3</w:t>
            </w:r>
            <w:r>
              <w:rPr>
                <w:b/>
                <w:bCs/>
                <w:u w:val="single"/>
              </w:rPr>
              <w:t xml:space="preserve"> </w:t>
            </w:r>
            <w:r>
              <w:rPr>
                <w:rFonts w:hint="eastAsia"/>
                <w:b/>
                <w:bCs/>
                <w:u w:val="single"/>
              </w:rPr>
              <w:t>主要设备一览表</w:t>
            </w:r>
          </w:p>
          <w:tbl>
            <w:tblPr>
              <w:tblStyle w:val="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121"/>
              <w:gridCol w:w="1697"/>
              <w:gridCol w:w="1838"/>
              <w:gridCol w:w="1963"/>
            </w:tblGrid>
            <w:tr w14:paraId="202A1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3E90DA7B">
                  <w:pPr>
                    <w:spacing w:line="240" w:lineRule="auto"/>
                    <w:jc w:val="center"/>
                    <w:rPr>
                      <w:kern w:val="0"/>
                      <w:sz w:val="21"/>
                      <w:szCs w:val="21"/>
                      <w:u w:val="single"/>
                    </w:rPr>
                  </w:pPr>
                  <w:r>
                    <w:rPr>
                      <w:rFonts w:hint="eastAsia"/>
                      <w:kern w:val="0"/>
                      <w:sz w:val="21"/>
                      <w:szCs w:val="21"/>
                      <w:u w:val="single"/>
                    </w:rPr>
                    <w:t>序号</w:t>
                  </w:r>
                </w:p>
              </w:tc>
              <w:tc>
                <w:tcPr>
                  <w:tcW w:w="2121" w:type="dxa"/>
                  <w:vAlign w:val="center"/>
                </w:tcPr>
                <w:p w14:paraId="561A7307">
                  <w:pPr>
                    <w:spacing w:line="240" w:lineRule="auto"/>
                    <w:jc w:val="center"/>
                    <w:rPr>
                      <w:kern w:val="0"/>
                      <w:sz w:val="21"/>
                      <w:szCs w:val="21"/>
                      <w:u w:val="single"/>
                    </w:rPr>
                  </w:pPr>
                  <w:r>
                    <w:rPr>
                      <w:rFonts w:hint="eastAsia"/>
                      <w:kern w:val="0"/>
                      <w:sz w:val="21"/>
                      <w:szCs w:val="21"/>
                      <w:u w:val="single"/>
                    </w:rPr>
                    <w:t>设备名称</w:t>
                  </w:r>
                </w:p>
              </w:tc>
              <w:tc>
                <w:tcPr>
                  <w:tcW w:w="1697" w:type="dxa"/>
                  <w:vAlign w:val="center"/>
                </w:tcPr>
                <w:p w14:paraId="4FBBC549">
                  <w:pPr>
                    <w:spacing w:line="240" w:lineRule="auto"/>
                    <w:jc w:val="center"/>
                    <w:rPr>
                      <w:kern w:val="0"/>
                      <w:sz w:val="21"/>
                      <w:szCs w:val="21"/>
                      <w:u w:val="single"/>
                    </w:rPr>
                  </w:pPr>
                  <w:r>
                    <w:rPr>
                      <w:rFonts w:hint="eastAsia"/>
                      <w:kern w:val="0"/>
                      <w:sz w:val="21"/>
                      <w:szCs w:val="21"/>
                      <w:u w:val="single"/>
                    </w:rPr>
                    <w:t>现有设备数（台/套）</w:t>
                  </w:r>
                </w:p>
              </w:tc>
              <w:tc>
                <w:tcPr>
                  <w:tcW w:w="1838" w:type="dxa"/>
                  <w:vAlign w:val="center"/>
                </w:tcPr>
                <w:p w14:paraId="718C5104">
                  <w:pPr>
                    <w:spacing w:line="240" w:lineRule="auto"/>
                    <w:jc w:val="center"/>
                    <w:rPr>
                      <w:kern w:val="0"/>
                      <w:sz w:val="21"/>
                      <w:szCs w:val="21"/>
                      <w:u w:val="single"/>
                    </w:rPr>
                  </w:pPr>
                  <w:r>
                    <w:rPr>
                      <w:rFonts w:hint="eastAsia"/>
                      <w:kern w:val="0"/>
                      <w:sz w:val="21"/>
                      <w:szCs w:val="21"/>
                      <w:u w:val="single"/>
                    </w:rPr>
                    <w:t>本项目新增数量（台/套）</w:t>
                  </w:r>
                </w:p>
              </w:tc>
              <w:tc>
                <w:tcPr>
                  <w:tcW w:w="1963" w:type="dxa"/>
                  <w:vAlign w:val="center"/>
                </w:tcPr>
                <w:p w14:paraId="2F0CFBF1">
                  <w:pPr>
                    <w:spacing w:line="240" w:lineRule="auto"/>
                    <w:jc w:val="center"/>
                    <w:rPr>
                      <w:kern w:val="0"/>
                      <w:sz w:val="21"/>
                      <w:szCs w:val="21"/>
                      <w:u w:val="single"/>
                    </w:rPr>
                  </w:pPr>
                  <w:r>
                    <w:rPr>
                      <w:rFonts w:hint="eastAsia"/>
                      <w:kern w:val="0"/>
                      <w:sz w:val="21"/>
                      <w:szCs w:val="21"/>
                      <w:u w:val="single"/>
                    </w:rPr>
                    <w:t>本项目建成后全院数量（台/套）</w:t>
                  </w:r>
                </w:p>
              </w:tc>
            </w:tr>
            <w:tr w14:paraId="0950D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0AFBA86B">
                  <w:pPr>
                    <w:spacing w:line="240" w:lineRule="auto"/>
                    <w:jc w:val="center"/>
                    <w:rPr>
                      <w:kern w:val="0"/>
                      <w:sz w:val="21"/>
                      <w:szCs w:val="21"/>
                      <w:u w:val="single"/>
                    </w:rPr>
                  </w:pPr>
                  <w:r>
                    <w:rPr>
                      <w:rFonts w:hint="eastAsia"/>
                      <w:kern w:val="0"/>
                      <w:sz w:val="21"/>
                      <w:szCs w:val="21"/>
                      <w:u w:val="single"/>
                    </w:rPr>
                    <w:t>1</w:t>
                  </w:r>
                </w:p>
              </w:tc>
              <w:tc>
                <w:tcPr>
                  <w:tcW w:w="2121" w:type="dxa"/>
                </w:tcPr>
                <w:p w14:paraId="7378CFE2">
                  <w:pPr>
                    <w:spacing w:line="240" w:lineRule="auto"/>
                    <w:jc w:val="center"/>
                    <w:rPr>
                      <w:kern w:val="0"/>
                      <w:sz w:val="21"/>
                      <w:szCs w:val="21"/>
                      <w:u w:val="single"/>
                    </w:rPr>
                  </w:pPr>
                  <w:r>
                    <w:rPr>
                      <w:rFonts w:hint="eastAsia" w:cs="宋体"/>
                      <w:kern w:val="0"/>
                      <w:sz w:val="22"/>
                      <w:szCs w:val="20"/>
                      <w:u w:val="single"/>
                      <w:lang w:bidi="ar"/>
                      <w14:ligatures w14:val="standardContextual"/>
                    </w:rPr>
                    <w:t>全自动化分析仪</w:t>
                  </w:r>
                </w:p>
              </w:tc>
              <w:tc>
                <w:tcPr>
                  <w:tcW w:w="1697" w:type="dxa"/>
                </w:tcPr>
                <w:p w14:paraId="7CCC0816">
                  <w:pPr>
                    <w:spacing w:line="240" w:lineRule="auto"/>
                    <w:jc w:val="center"/>
                    <w:rPr>
                      <w:kern w:val="0"/>
                      <w:sz w:val="21"/>
                      <w:szCs w:val="21"/>
                      <w:u w:val="single"/>
                    </w:rPr>
                  </w:pPr>
                  <w:r>
                    <w:rPr>
                      <w:rFonts w:hint="eastAsia"/>
                      <w:kern w:val="0"/>
                      <w:szCs w:val="24"/>
                      <w:u w:val="single"/>
                    </w:rPr>
                    <w:t>1</w:t>
                  </w:r>
                </w:p>
              </w:tc>
              <w:tc>
                <w:tcPr>
                  <w:tcW w:w="1838" w:type="dxa"/>
                  <w:vAlign w:val="center"/>
                </w:tcPr>
                <w:p w14:paraId="3A5F1EEA">
                  <w:pPr>
                    <w:spacing w:line="240" w:lineRule="auto"/>
                    <w:jc w:val="center"/>
                    <w:rPr>
                      <w:kern w:val="0"/>
                      <w:sz w:val="21"/>
                      <w:szCs w:val="21"/>
                      <w:u w:val="single"/>
                    </w:rPr>
                  </w:pPr>
                  <w:r>
                    <w:rPr>
                      <w:rFonts w:hint="eastAsia"/>
                      <w:kern w:val="0"/>
                      <w:sz w:val="21"/>
                      <w:szCs w:val="21"/>
                      <w:u w:val="single"/>
                    </w:rPr>
                    <w:t>0</w:t>
                  </w:r>
                </w:p>
              </w:tc>
              <w:tc>
                <w:tcPr>
                  <w:tcW w:w="1963" w:type="dxa"/>
                </w:tcPr>
                <w:p w14:paraId="6E31D8A3">
                  <w:pPr>
                    <w:spacing w:line="240" w:lineRule="auto"/>
                    <w:jc w:val="center"/>
                    <w:rPr>
                      <w:kern w:val="0"/>
                      <w:sz w:val="21"/>
                      <w:szCs w:val="21"/>
                      <w:u w:val="single"/>
                    </w:rPr>
                  </w:pPr>
                  <w:r>
                    <w:rPr>
                      <w:rFonts w:hint="eastAsia"/>
                      <w:kern w:val="0"/>
                      <w:szCs w:val="24"/>
                      <w:u w:val="single"/>
                    </w:rPr>
                    <w:t>1</w:t>
                  </w:r>
                </w:p>
              </w:tc>
            </w:tr>
            <w:tr w14:paraId="06BCA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7DA3C107">
                  <w:pPr>
                    <w:spacing w:line="240" w:lineRule="auto"/>
                    <w:jc w:val="center"/>
                    <w:rPr>
                      <w:kern w:val="0"/>
                      <w:sz w:val="21"/>
                      <w:szCs w:val="21"/>
                      <w:u w:val="single"/>
                    </w:rPr>
                  </w:pPr>
                  <w:r>
                    <w:rPr>
                      <w:rFonts w:hint="eastAsia"/>
                      <w:kern w:val="0"/>
                      <w:sz w:val="21"/>
                      <w:szCs w:val="21"/>
                      <w:u w:val="single"/>
                    </w:rPr>
                    <w:t>2</w:t>
                  </w:r>
                </w:p>
              </w:tc>
              <w:tc>
                <w:tcPr>
                  <w:tcW w:w="2121" w:type="dxa"/>
                </w:tcPr>
                <w:p w14:paraId="0E312CAC">
                  <w:pPr>
                    <w:spacing w:line="240" w:lineRule="auto"/>
                    <w:jc w:val="center"/>
                    <w:rPr>
                      <w:kern w:val="0"/>
                      <w:sz w:val="21"/>
                      <w:szCs w:val="21"/>
                      <w:u w:val="single"/>
                    </w:rPr>
                  </w:pPr>
                  <w:r>
                    <w:rPr>
                      <w:rFonts w:hint="eastAsia" w:cs="宋体"/>
                      <w:kern w:val="0"/>
                      <w:sz w:val="22"/>
                      <w:szCs w:val="20"/>
                      <w:u w:val="single"/>
                      <w:lang w:bidi="ar"/>
                      <w14:ligatures w14:val="standardContextual"/>
                    </w:rPr>
                    <w:t>尿液化学分析仪</w:t>
                  </w:r>
                </w:p>
              </w:tc>
              <w:tc>
                <w:tcPr>
                  <w:tcW w:w="1697" w:type="dxa"/>
                </w:tcPr>
                <w:p w14:paraId="0F8B712B">
                  <w:pPr>
                    <w:spacing w:line="240" w:lineRule="auto"/>
                    <w:jc w:val="center"/>
                    <w:rPr>
                      <w:kern w:val="0"/>
                      <w:sz w:val="21"/>
                      <w:szCs w:val="21"/>
                      <w:u w:val="single"/>
                    </w:rPr>
                  </w:pPr>
                  <w:r>
                    <w:rPr>
                      <w:rFonts w:hint="eastAsia"/>
                      <w:kern w:val="0"/>
                      <w:szCs w:val="24"/>
                      <w:u w:val="single"/>
                    </w:rPr>
                    <w:t>1</w:t>
                  </w:r>
                </w:p>
              </w:tc>
              <w:tc>
                <w:tcPr>
                  <w:tcW w:w="1838" w:type="dxa"/>
                  <w:vAlign w:val="center"/>
                </w:tcPr>
                <w:p w14:paraId="73813850">
                  <w:pPr>
                    <w:spacing w:line="240" w:lineRule="auto"/>
                    <w:jc w:val="center"/>
                    <w:rPr>
                      <w:kern w:val="0"/>
                      <w:sz w:val="21"/>
                      <w:szCs w:val="21"/>
                      <w:u w:val="single"/>
                    </w:rPr>
                  </w:pPr>
                  <w:r>
                    <w:rPr>
                      <w:rFonts w:hint="eastAsia"/>
                      <w:kern w:val="0"/>
                      <w:sz w:val="21"/>
                      <w:szCs w:val="21"/>
                      <w:u w:val="single"/>
                    </w:rPr>
                    <w:t>0</w:t>
                  </w:r>
                </w:p>
              </w:tc>
              <w:tc>
                <w:tcPr>
                  <w:tcW w:w="1963" w:type="dxa"/>
                </w:tcPr>
                <w:p w14:paraId="3F5A5005">
                  <w:pPr>
                    <w:spacing w:line="240" w:lineRule="auto"/>
                    <w:jc w:val="center"/>
                    <w:rPr>
                      <w:kern w:val="0"/>
                      <w:sz w:val="21"/>
                      <w:szCs w:val="21"/>
                      <w:u w:val="single"/>
                    </w:rPr>
                  </w:pPr>
                  <w:r>
                    <w:rPr>
                      <w:rFonts w:hint="eastAsia"/>
                      <w:kern w:val="0"/>
                      <w:szCs w:val="24"/>
                      <w:u w:val="single"/>
                    </w:rPr>
                    <w:t>1</w:t>
                  </w:r>
                </w:p>
              </w:tc>
            </w:tr>
            <w:tr w14:paraId="67749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0F329ECB">
                  <w:pPr>
                    <w:spacing w:line="240" w:lineRule="auto"/>
                    <w:jc w:val="center"/>
                    <w:rPr>
                      <w:kern w:val="0"/>
                      <w:sz w:val="21"/>
                      <w:szCs w:val="21"/>
                      <w:u w:val="single"/>
                    </w:rPr>
                  </w:pPr>
                  <w:r>
                    <w:rPr>
                      <w:rFonts w:hint="eastAsia"/>
                      <w:kern w:val="0"/>
                      <w:sz w:val="21"/>
                      <w:szCs w:val="21"/>
                      <w:u w:val="single"/>
                    </w:rPr>
                    <w:t>3</w:t>
                  </w:r>
                </w:p>
              </w:tc>
              <w:tc>
                <w:tcPr>
                  <w:tcW w:w="2121" w:type="dxa"/>
                </w:tcPr>
                <w:p w14:paraId="240281A1">
                  <w:pPr>
                    <w:spacing w:line="240" w:lineRule="auto"/>
                    <w:jc w:val="center"/>
                    <w:rPr>
                      <w:kern w:val="0"/>
                      <w:sz w:val="21"/>
                      <w:szCs w:val="21"/>
                      <w:u w:val="single"/>
                    </w:rPr>
                  </w:pPr>
                  <w:r>
                    <w:rPr>
                      <w:rFonts w:hint="eastAsia" w:cs="宋体"/>
                      <w:kern w:val="0"/>
                      <w:sz w:val="22"/>
                      <w:szCs w:val="20"/>
                      <w:u w:val="single"/>
                      <w:lang w:bidi="ar"/>
                      <w14:ligatures w14:val="standardContextual"/>
                    </w:rPr>
                    <w:t>心电图机</w:t>
                  </w:r>
                </w:p>
              </w:tc>
              <w:tc>
                <w:tcPr>
                  <w:tcW w:w="1697" w:type="dxa"/>
                </w:tcPr>
                <w:p w14:paraId="0F33B397">
                  <w:pPr>
                    <w:spacing w:line="240" w:lineRule="auto"/>
                    <w:jc w:val="center"/>
                    <w:rPr>
                      <w:kern w:val="0"/>
                      <w:sz w:val="21"/>
                      <w:szCs w:val="21"/>
                      <w:u w:val="single"/>
                    </w:rPr>
                  </w:pPr>
                  <w:r>
                    <w:rPr>
                      <w:rFonts w:hint="eastAsia"/>
                      <w:kern w:val="0"/>
                      <w:szCs w:val="24"/>
                      <w:u w:val="single"/>
                    </w:rPr>
                    <w:t>1</w:t>
                  </w:r>
                </w:p>
              </w:tc>
              <w:tc>
                <w:tcPr>
                  <w:tcW w:w="1838" w:type="dxa"/>
                  <w:vAlign w:val="center"/>
                </w:tcPr>
                <w:p w14:paraId="4D7D60E0">
                  <w:pPr>
                    <w:spacing w:line="240" w:lineRule="auto"/>
                    <w:jc w:val="center"/>
                    <w:rPr>
                      <w:kern w:val="0"/>
                      <w:sz w:val="21"/>
                      <w:szCs w:val="21"/>
                      <w:u w:val="single"/>
                    </w:rPr>
                  </w:pPr>
                  <w:r>
                    <w:rPr>
                      <w:rFonts w:hint="eastAsia"/>
                      <w:kern w:val="0"/>
                      <w:sz w:val="21"/>
                      <w:szCs w:val="21"/>
                      <w:u w:val="single"/>
                    </w:rPr>
                    <w:t>0</w:t>
                  </w:r>
                </w:p>
              </w:tc>
              <w:tc>
                <w:tcPr>
                  <w:tcW w:w="1963" w:type="dxa"/>
                </w:tcPr>
                <w:p w14:paraId="5DFA53FB">
                  <w:pPr>
                    <w:spacing w:line="240" w:lineRule="auto"/>
                    <w:jc w:val="center"/>
                    <w:rPr>
                      <w:kern w:val="0"/>
                      <w:sz w:val="21"/>
                      <w:szCs w:val="21"/>
                      <w:u w:val="single"/>
                    </w:rPr>
                  </w:pPr>
                  <w:r>
                    <w:rPr>
                      <w:rFonts w:hint="eastAsia"/>
                      <w:kern w:val="0"/>
                      <w:szCs w:val="24"/>
                      <w:u w:val="single"/>
                    </w:rPr>
                    <w:t>1</w:t>
                  </w:r>
                </w:p>
              </w:tc>
            </w:tr>
            <w:tr w14:paraId="6B67A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00189B45">
                  <w:pPr>
                    <w:spacing w:line="240" w:lineRule="auto"/>
                    <w:jc w:val="center"/>
                    <w:rPr>
                      <w:kern w:val="0"/>
                      <w:sz w:val="21"/>
                      <w:szCs w:val="21"/>
                      <w:u w:val="single"/>
                    </w:rPr>
                  </w:pPr>
                  <w:r>
                    <w:rPr>
                      <w:rFonts w:hint="eastAsia"/>
                      <w:kern w:val="0"/>
                      <w:sz w:val="21"/>
                      <w:szCs w:val="21"/>
                      <w:u w:val="single"/>
                    </w:rPr>
                    <w:t>4</w:t>
                  </w:r>
                </w:p>
              </w:tc>
              <w:tc>
                <w:tcPr>
                  <w:tcW w:w="2121" w:type="dxa"/>
                </w:tcPr>
                <w:p w14:paraId="4B095366">
                  <w:pPr>
                    <w:spacing w:line="240" w:lineRule="auto"/>
                    <w:jc w:val="center"/>
                    <w:rPr>
                      <w:kern w:val="0"/>
                      <w:sz w:val="21"/>
                      <w:szCs w:val="21"/>
                      <w:u w:val="single"/>
                    </w:rPr>
                  </w:pPr>
                  <w:r>
                    <w:rPr>
                      <w:rFonts w:cs="宋体"/>
                      <w:kern w:val="0"/>
                      <w:sz w:val="22"/>
                      <w:szCs w:val="20"/>
                      <w:u w:val="single"/>
                      <w:lang w:bidi="ar"/>
                      <w14:ligatures w14:val="standardContextual"/>
                    </w:rPr>
                    <w:t>JY-2210</w:t>
                  </w:r>
                  <w:r>
                    <w:rPr>
                      <w:rFonts w:hint="eastAsia" w:cs="宋体"/>
                      <w:kern w:val="0"/>
                      <w:sz w:val="22"/>
                      <w:szCs w:val="20"/>
                      <w:u w:val="single"/>
                      <w:lang w:bidi="ar"/>
                      <w14:ligatures w14:val="standardContextual"/>
                    </w:rPr>
                    <w:t>超声工作站</w:t>
                  </w:r>
                </w:p>
              </w:tc>
              <w:tc>
                <w:tcPr>
                  <w:tcW w:w="1697" w:type="dxa"/>
                </w:tcPr>
                <w:p w14:paraId="3FD145C6">
                  <w:pPr>
                    <w:spacing w:line="240" w:lineRule="auto"/>
                    <w:jc w:val="center"/>
                    <w:rPr>
                      <w:kern w:val="0"/>
                      <w:sz w:val="21"/>
                      <w:szCs w:val="21"/>
                      <w:u w:val="single"/>
                    </w:rPr>
                  </w:pPr>
                  <w:r>
                    <w:rPr>
                      <w:rFonts w:hint="eastAsia"/>
                      <w:kern w:val="0"/>
                      <w:szCs w:val="24"/>
                      <w:u w:val="single"/>
                    </w:rPr>
                    <w:t>1</w:t>
                  </w:r>
                </w:p>
              </w:tc>
              <w:tc>
                <w:tcPr>
                  <w:tcW w:w="1838" w:type="dxa"/>
                  <w:vAlign w:val="center"/>
                </w:tcPr>
                <w:p w14:paraId="5A6E9C9D">
                  <w:pPr>
                    <w:spacing w:line="240" w:lineRule="auto"/>
                    <w:jc w:val="center"/>
                    <w:rPr>
                      <w:kern w:val="0"/>
                      <w:sz w:val="21"/>
                      <w:szCs w:val="21"/>
                      <w:u w:val="single"/>
                    </w:rPr>
                  </w:pPr>
                  <w:r>
                    <w:rPr>
                      <w:rFonts w:hint="eastAsia"/>
                      <w:kern w:val="0"/>
                      <w:sz w:val="21"/>
                      <w:szCs w:val="21"/>
                      <w:u w:val="single"/>
                    </w:rPr>
                    <w:t>0</w:t>
                  </w:r>
                </w:p>
              </w:tc>
              <w:tc>
                <w:tcPr>
                  <w:tcW w:w="1963" w:type="dxa"/>
                </w:tcPr>
                <w:p w14:paraId="607B0B26">
                  <w:pPr>
                    <w:spacing w:line="240" w:lineRule="auto"/>
                    <w:jc w:val="center"/>
                    <w:rPr>
                      <w:kern w:val="0"/>
                      <w:sz w:val="21"/>
                      <w:szCs w:val="21"/>
                      <w:u w:val="single"/>
                    </w:rPr>
                  </w:pPr>
                  <w:r>
                    <w:rPr>
                      <w:rFonts w:hint="eastAsia"/>
                      <w:kern w:val="0"/>
                      <w:szCs w:val="24"/>
                      <w:u w:val="single"/>
                    </w:rPr>
                    <w:t>1</w:t>
                  </w:r>
                </w:p>
              </w:tc>
            </w:tr>
            <w:tr w14:paraId="1A4B7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01BF8545">
                  <w:pPr>
                    <w:spacing w:line="240" w:lineRule="auto"/>
                    <w:jc w:val="center"/>
                    <w:rPr>
                      <w:kern w:val="0"/>
                      <w:sz w:val="21"/>
                      <w:szCs w:val="21"/>
                      <w:u w:val="single"/>
                    </w:rPr>
                  </w:pPr>
                  <w:r>
                    <w:rPr>
                      <w:rFonts w:hint="eastAsia"/>
                      <w:kern w:val="0"/>
                      <w:sz w:val="21"/>
                      <w:szCs w:val="21"/>
                      <w:u w:val="single"/>
                    </w:rPr>
                    <w:t>5</w:t>
                  </w:r>
                </w:p>
              </w:tc>
              <w:tc>
                <w:tcPr>
                  <w:tcW w:w="2121" w:type="dxa"/>
                </w:tcPr>
                <w:p w14:paraId="2B684777">
                  <w:pPr>
                    <w:spacing w:line="240" w:lineRule="auto"/>
                    <w:jc w:val="center"/>
                    <w:rPr>
                      <w:kern w:val="0"/>
                      <w:sz w:val="21"/>
                      <w:szCs w:val="21"/>
                      <w:u w:val="single"/>
                    </w:rPr>
                  </w:pPr>
                  <w:r>
                    <w:rPr>
                      <w:rFonts w:hint="eastAsia" w:cs="宋体"/>
                      <w:kern w:val="0"/>
                      <w:sz w:val="22"/>
                      <w:szCs w:val="20"/>
                      <w:u w:val="single"/>
                      <w:lang w:bidi="ar"/>
                      <w14:ligatures w14:val="standardContextual"/>
                    </w:rPr>
                    <w:t>DR照片机</w:t>
                  </w:r>
                </w:p>
              </w:tc>
              <w:tc>
                <w:tcPr>
                  <w:tcW w:w="1697" w:type="dxa"/>
                </w:tcPr>
                <w:p w14:paraId="5A8A57D4">
                  <w:pPr>
                    <w:spacing w:line="240" w:lineRule="auto"/>
                    <w:jc w:val="center"/>
                    <w:rPr>
                      <w:kern w:val="0"/>
                      <w:sz w:val="21"/>
                      <w:szCs w:val="21"/>
                      <w:u w:val="single"/>
                    </w:rPr>
                  </w:pPr>
                  <w:r>
                    <w:rPr>
                      <w:rFonts w:hint="eastAsia"/>
                      <w:kern w:val="0"/>
                      <w:szCs w:val="24"/>
                      <w:u w:val="single"/>
                    </w:rPr>
                    <w:t>1</w:t>
                  </w:r>
                </w:p>
              </w:tc>
              <w:tc>
                <w:tcPr>
                  <w:tcW w:w="1838" w:type="dxa"/>
                  <w:vAlign w:val="center"/>
                </w:tcPr>
                <w:p w14:paraId="08584852">
                  <w:pPr>
                    <w:spacing w:line="240" w:lineRule="auto"/>
                    <w:jc w:val="center"/>
                    <w:rPr>
                      <w:kern w:val="0"/>
                      <w:sz w:val="21"/>
                      <w:szCs w:val="21"/>
                      <w:u w:val="single"/>
                    </w:rPr>
                  </w:pPr>
                  <w:r>
                    <w:rPr>
                      <w:rFonts w:hint="eastAsia"/>
                      <w:kern w:val="0"/>
                      <w:sz w:val="21"/>
                      <w:szCs w:val="21"/>
                      <w:u w:val="single"/>
                    </w:rPr>
                    <w:t>0</w:t>
                  </w:r>
                </w:p>
              </w:tc>
              <w:tc>
                <w:tcPr>
                  <w:tcW w:w="1963" w:type="dxa"/>
                </w:tcPr>
                <w:p w14:paraId="3DDB1F45">
                  <w:pPr>
                    <w:spacing w:line="240" w:lineRule="auto"/>
                    <w:jc w:val="center"/>
                    <w:rPr>
                      <w:kern w:val="0"/>
                      <w:sz w:val="21"/>
                      <w:szCs w:val="21"/>
                      <w:u w:val="single"/>
                    </w:rPr>
                  </w:pPr>
                  <w:r>
                    <w:rPr>
                      <w:rFonts w:hint="eastAsia"/>
                      <w:kern w:val="0"/>
                      <w:szCs w:val="24"/>
                      <w:u w:val="single"/>
                    </w:rPr>
                    <w:t>1</w:t>
                  </w:r>
                </w:p>
              </w:tc>
            </w:tr>
          </w:tbl>
          <w:p w14:paraId="5D22EC03">
            <w:pPr>
              <w:ind w:firstLine="482" w:firstLineChars="200"/>
              <w:jc w:val="both"/>
              <w:rPr>
                <w:b/>
                <w:szCs w:val="24"/>
                <w:u w:val="single"/>
              </w:rPr>
            </w:pPr>
            <w:r>
              <w:rPr>
                <w:rFonts w:hint="eastAsia"/>
                <w:b/>
                <w:szCs w:val="24"/>
                <w:u w:val="single"/>
              </w:rPr>
              <w:t>经过和卫生院核实，本次改扩建主要以增加床位修建新住院大楼以及技改医院污水处理系统为主，医疗设备不进行增减。</w:t>
            </w:r>
          </w:p>
          <w:p w14:paraId="1FC505B6">
            <w:pPr>
              <w:jc w:val="both"/>
              <w:rPr>
                <w:b/>
                <w:szCs w:val="24"/>
              </w:rPr>
            </w:pPr>
            <w:r>
              <w:rPr>
                <w:rFonts w:hint="eastAsia"/>
                <w:b/>
                <w:szCs w:val="24"/>
              </w:rPr>
              <w:t>5、主要原辅材料及能源消耗</w:t>
            </w:r>
          </w:p>
          <w:p w14:paraId="6478C9B1">
            <w:pPr>
              <w:ind w:firstLine="480" w:firstLineChars="200"/>
              <w:rPr>
                <w:u w:val="single"/>
              </w:rPr>
            </w:pPr>
            <w:r>
              <w:rPr>
                <w:rFonts w:hint="eastAsia"/>
                <w:u w:val="single"/>
              </w:rPr>
              <w:t>项目主要原辅材料及能源消耗见表2-4。</w:t>
            </w:r>
          </w:p>
          <w:p w14:paraId="08DE7C72">
            <w:pPr>
              <w:spacing w:before="156" w:beforeLines="50" w:after="156" w:afterLines="50" w:line="240" w:lineRule="auto"/>
              <w:jc w:val="center"/>
              <w:rPr>
                <w:b/>
                <w:bCs/>
                <w:u w:val="single"/>
              </w:rPr>
            </w:pPr>
            <w:r>
              <w:rPr>
                <w:b/>
                <w:bCs/>
                <w:u w:val="single"/>
              </w:rPr>
              <w:t>表2-</w:t>
            </w:r>
            <w:r>
              <w:rPr>
                <w:rFonts w:hint="eastAsia"/>
                <w:b/>
                <w:bCs/>
                <w:u w:val="single"/>
              </w:rPr>
              <w:t>4</w:t>
            </w:r>
            <w:r>
              <w:rPr>
                <w:b/>
                <w:bCs/>
                <w:u w:val="single"/>
              </w:rPr>
              <w:t xml:space="preserve"> 项目原辅材料消耗量</w:t>
            </w:r>
          </w:p>
          <w:tbl>
            <w:tblPr>
              <w:tblStyle w:val="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111"/>
              <w:gridCol w:w="1414"/>
              <w:gridCol w:w="1555"/>
              <w:gridCol w:w="1539"/>
            </w:tblGrid>
            <w:tr w14:paraId="7DA19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5A58DF87">
                  <w:pPr>
                    <w:spacing w:line="240" w:lineRule="auto"/>
                    <w:jc w:val="center"/>
                    <w:rPr>
                      <w:b/>
                      <w:bCs/>
                      <w:kern w:val="0"/>
                      <w:sz w:val="21"/>
                      <w:szCs w:val="21"/>
                      <w:u w:val="single"/>
                    </w:rPr>
                  </w:pPr>
                  <w:r>
                    <w:rPr>
                      <w:rFonts w:hint="eastAsia"/>
                      <w:b/>
                      <w:bCs/>
                      <w:kern w:val="0"/>
                      <w:sz w:val="21"/>
                      <w:szCs w:val="21"/>
                      <w:u w:val="single"/>
                    </w:rPr>
                    <w:t>序号</w:t>
                  </w:r>
                </w:p>
              </w:tc>
              <w:tc>
                <w:tcPr>
                  <w:tcW w:w="3111" w:type="dxa"/>
                  <w:vAlign w:val="center"/>
                </w:tcPr>
                <w:p w14:paraId="1E842E23">
                  <w:pPr>
                    <w:spacing w:line="240" w:lineRule="auto"/>
                    <w:jc w:val="center"/>
                    <w:rPr>
                      <w:b/>
                      <w:bCs/>
                      <w:kern w:val="0"/>
                      <w:sz w:val="21"/>
                      <w:szCs w:val="21"/>
                      <w:u w:val="single"/>
                    </w:rPr>
                  </w:pPr>
                  <w:r>
                    <w:rPr>
                      <w:rFonts w:hint="eastAsia"/>
                      <w:b/>
                      <w:bCs/>
                      <w:kern w:val="0"/>
                      <w:sz w:val="21"/>
                      <w:szCs w:val="21"/>
                      <w:u w:val="single"/>
                    </w:rPr>
                    <w:t>名称</w:t>
                  </w:r>
                </w:p>
              </w:tc>
              <w:tc>
                <w:tcPr>
                  <w:tcW w:w="1414" w:type="dxa"/>
                  <w:vAlign w:val="center"/>
                </w:tcPr>
                <w:p w14:paraId="4FEAC45D">
                  <w:pPr>
                    <w:spacing w:line="240" w:lineRule="auto"/>
                    <w:jc w:val="center"/>
                    <w:rPr>
                      <w:b/>
                      <w:bCs/>
                      <w:kern w:val="0"/>
                      <w:sz w:val="21"/>
                      <w:szCs w:val="21"/>
                      <w:u w:val="single"/>
                    </w:rPr>
                  </w:pPr>
                  <w:r>
                    <w:rPr>
                      <w:rFonts w:hint="eastAsia"/>
                      <w:b/>
                      <w:bCs/>
                      <w:kern w:val="0"/>
                      <w:sz w:val="21"/>
                      <w:szCs w:val="21"/>
                      <w:u w:val="single"/>
                    </w:rPr>
                    <w:t>现有项目年消耗量</w:t>
                  </w:r>
                </w:p>
              </w:tc>
              <w:tc>
                <w:tcPr>
                  <w:tcW w:w="1555" w:type="dxa"/>
                  <w:vAlign w:val="center"/>
                </w:tcPr>
                <w:p w14:paraId="7C7C00D8">
                  <w:pPr>
                    <w:spacing w:line="240" w:lineRule="auto"/>
                    <w:jc w:val="center"/>
                    <w:rPr>
                      <w:b/>
                      <w:bCs/>
                      <w:kern w:val="0"/>
                      <w:sz w:val="21"/>
                      <w:szCs w:val="21"/>
                      <w:u w:val="single"/>
                    </w:rPr>
                  </w:pPr>
                  <w:r>
                    <w:rPr>
                      <w:rFonts w:hint="eastAsia"/>
                      <w:b/>
                      <w:bCs/>
                      <w:kern w:val="0"/>
                      <w:sz w:val="21"/>
                      <w:szCs w:val="21"/>
                      <w:u w:val="single"/>
                    </w:rPr>
                    <w:t>本项目新增年用量</w:t>
                  </w:r>
                </w:p>
              </w:tc>
              <w:tc>
                <w:tcPr>
                  <w:tcW w:w="1539" w:type="dxa"/>
                  <w:vAlign w:val="center"/>
                </w:tcPr>
                <w:p w14:paraId="3C394F3D">
                  <w:pPr>
                    <w:spacing w:line="240" w:lineRule="auto"/>
                    <w:jc w:val="center"/>
                    <w:rPr>
                      <w:b/>
                      <w:bCs/>
                      <w:kern w:val="0"/>
                      <w:sz w:val="21"/>
                      <w:szCs w:val="21"/>
                      <w:u w:val="single"/>
                    </w:rPr>
                  </w:pPr>
                  <w:r>
                    <w:rPr>
                      <w:rFonts w:hint="eastAsia"/>
                      <w:b/>
                      <w:bCs/>
                      <w:kern w:val="0"/>
                      <w:sz w:val="21"/>
                      <w:szCs w:val="21"/>
                      <w:u w:val="single"/>
                    </w:rPr>
                    <w:t>本项目建成后全院年用量</w:t>
                  </w:r>
                </w:p>
              </w:tc>
            </w:tr>
            <w:tr w14:paraId="75539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3B728851">
                  <w:pPr>
                    <w:spacing w:line="240" w:lineRule="auto"/>
                    <w:jc w:val="center"/>
                    <w:rPr>
                      <w:kern w:val="0"/>
                      <w:sz w:val="21"/>
                      <w:szCs w:val="21"/>
                      <w:u w:val="single"/>
                    </w:rPr>
                  </w:pPr>
                  <w:r>
                    <w:rPr>
                      <w:rFonts w:hint="eastAsia"/>
                      <w:kern w:val="0"/>
                      <w:sz w:val="21"/>
                      <w:szCs w:val="21"/>
                      <w:u w:val="single"/>
                    </w:rPr>
                    <w:t>1</w:t>
                  </w:r>
                </w:p>
              </w:tc>
              <w:tc>
                <w:tcPr>
                  <w:tcW w:w="3111" w:type="dxa"/>
                  <w:vAlign w:val="center"/>
                </w:tcPr>
                <w:p w14:paraId="33E45515">
                  <w:pPr>
                    <w:spacing w:line="240" w:lineRule="auto"/>
                    <w:jc w:val="center"/>
                    <w:rPr>
                      <w:kern w:val="0"/>
                      <w:sz w:val="21"/>
                      <w:szCs w:val="21"/>
                      <w:u w:val="single"/>
                    </w:rPr>
                  </w:pPr>
                  <w:r>
                    <w:rPr>
                      <w:rFonts w:hint="eastAsia" w:ascii="宋体" w:hAnsi="宋体"/>
                      <w:kern w:val="0"/>
                      <w:sz w:val="21"/>
                      <w:szCs w:val="21"/>
                      <w:u w:val="single"/>
                    </w:rPr>
                    <w:t>一次性空针、输液管</w:t>
                  </w:r>
                </w:p>
              </w:tc>
              <w:tc>
                <w:tcPr>
                  <w:tcW w:w="1414" w:type="dxa"/>
                  <w:vAlign w:val="center"/>
                </w:tcPr>
                <w:p w14:paraId="59A0CF4F">
                  <w:pPr>
                    <w:spacing w:line="240" w:lineRule="auto"/>
                    <w:jc w:val="center"/>
                    <w:rPr>
                      <w:kern w:val="0"/>
                      <w:sz w:val="21"/>
                      <w:szCs w:val="21"/>
                      <w:u w:val="single"/>
                    </w:rPr>
                  </w:pPr>
                  <w:r>
                    <w:rPr>
                      <w:kern w:val="0"/>
                      <w:sz w:val="21"/>
                      <w:szCs w:val="21"/>
                      <w:u w:val="single"/>
                    </w:rPr>
                    <w:t>2000</w:t>
                  </w:r>
                  <w:r>
                    <w:rPr>
                      <w:rFonts w:hint="eastAsia"/>
                      <w:kern w:val="0"/>
                      <w:sz w:val="21"/>
                      <w:szCs w:val="21"/>
                      <w:u w:val="single"/>
                    </w:rPr>
                    <w:t>具</w:t>
                  </w:r>
                </w:p>
              </w:tc>
              <w:tc>
                <w:tcPr>
                  <w:tcW w:w="1555" w:type="dxa"/>
                </w:tcPr>
                <w:p w14:paraId="093DEAE3">
                  <w:pPr>
                    <w:spacing w:line="240" w:lineRule="auto"/>
                    <w:jc w:val="center"/>
                    <w:rPr>
                      <w:kern w:val="0"/>
                      <w:sz w:val="21"/>
                      <w:szCs w:val="21"/>
                      <w:u w:val="single"/>
                    </w:rPr>
                  </w:pPr>
                  <w:r>
                    <w:rPr>
                      <w:kern w:val="0"/>
                      <w:sz w:val="21"/>
                      <w:szCs w:val="21"/>
                      <w:u w:val="single"/>
                    </w:rPr>
                    <w:t>8</w:t>
                  </w:r>
                  <w:r>
                    <w:rPr>
                      <w:rFonts w:hint="eastAsia"/>
                      <w:kern w:val="0"/>
                      <w:sz w:val="21"/>
                      <w:szCs w:val="21"/>
                      <w:u w:val="single"/>
                    </w:rPr>
                    <w:t>000具</w:t>
                  </w:r>
                </w:p>
              </w:tc>
              <w:tc>
                <w:tcPr>
                  <w:tcW w:w="1539" w:type="dxa"/>
                </w:tcPr>
                <w:p w14:paraId="2768AA22">
                  <w:pPr>
                    <w:spacing w:line="240" w:lineRule="auto"/>
                    <w:jc w:val="center"/>
                    <w:rPr>
                      <w:kern w:val="0"/>
                      <w:sz w:val="21"/>
                      <w:szCs w:val="21"/>
                      <w:u w:val="single"/>
                    </w:rPr>
                  </w:pPr>
                  <w:r>
                    <w:rPr>
                      <w:rFonts w:hint="eastAsia"/>
                      <w:kern w:val="0"/>
                      <w:sz w:val="21"/>
                      <w:szCs w:val="21"/>
                      <w:u w:val="single"/>
                    </w:rPr>
                    <w:t>10</w:t>
                  </w:r>
                  <w:r>
                    <w:rPr>
                      <w:kern w:val="0"/>
                      <w:sz w:val="21"/>
                      <w:szCs w:val="21"/>
                      <w:u w:val="single"/>
                    </w:rPr>
                    <w:t>000</w:t>
                  </w:r>
                  <w:r>
                    <w:rPr>
                      <w:rFonts w:hint="eastAsia"/>
                      <w:kern w:val="0"/>
                      <w:sz w:val="21"/>
                      <w:szCs w:val="21"/>
                      <w:u w:val="single"/>
                    </w:rPr>
                    <w:t>具</w:t>
                  </w:r>
                </w:p>
              </w:tc>
            </w:tr>
            <w:tr w14:paraId="27BEF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241B312B">
                  <w:pPr>
                    <w:spacing w:line="240" w:lineRule="auto"/>
                    <w:jc w:val="center"/>
                    <w:rPr>
                      <w:kern w:val="0"/>
                      <w:sz w:val="21"/>
                      <w:szCs w:val="21"/>
                      <w:u w:val="single"/>
                    </w:rPr>
                  </w:pPr>
                  <w:r>
                    <w:rPr>
                      <w:rFonts w:hint="eastAsia"/>
                      <w:kern w:val="0"/>
                      <w:sz w:val="21"/>
                      <w:szCs w:val="21"/>
                      <w:u w:val="single"/>
                    </w:rPr>
                    <w:t>2</w:t>
                  </w:r>
                </w:p>
              </w:tc>
              <w:tc>
                <w:tcPr>
                  <w:tcW w:w="3111" w:type="dxa"/>
                  <w:vAlign w:val="center"/>
                </w:tcPr>
                <w:p w14:paraId="423A0AAC">
                  <w:pPr>
                    <w:spacing w:line="240" w:lineRule="auto"/>
                    <w:jc w:val="center"/>
                    <w:rPr>
                      <w:kern w:val="0"/>
                      <w:sz w:val="21"/>
                      <w:szCs w:val="21"/>
                      <w:u w:val="single"/>
                    </w:rPr>
                  </w:pPr>
                  <w:r>
                    <w:rPr>
                      <w:rFonts w:hint="eastAsia" w:ascii="宋体" w:hAnsi="宋体"/>
                      <w:kern w:val="0"/>
                      <w:sz w:val="21"/>
                      <w:szCs w:val="21"/>
                      <w:u w:val="single"/>
                    </w:rPr>
                    <w:t>一次性手套</w:t>
                  </w:r>
                </w:p>
              </w:tc>
              <w:tc>
                <w:tcPr>
                  <w:tcW w:w="1414" w:type="dxa"/>
                  <w:vAlign w:val="center"/>
                </w:tcPr>
                <w:p w14:paraId="47B85056">
                  <w:pPr>
                    <w:spacing w:line="240" w:lineRule="auto"/>
                    <w:jc w:val="center"/>
                    <w:rPr>
                      <w:kern w:val="0"/>
                      <w:sz w:val="21"/>
                      <w:szCs w:val="21"/>
                      <w:u w:val="single"/>
                    </w:rPr>
                  </w:pPr>
                  <w:r>
                    <w:rPr>
                      <w:rFonts w:hint="eastAsia"/>
                      <w:kern w:val="0"/>
                      <w:sz w:val="21"/>
                      <w:szCs w:val="21"/>
                      <w:u w:val="single"/>
                    </w:rPr>
                    <w:t>500双</w:t>
                  </w:r>
                </w:p>
              </w:tc>
              <w:tc>
                <w:tcPr>
                  <w:tcW w:w="1555" w:type="dxa"/>
                </w:tcPr>
                <w:p w14:paraId="04EEC3A5">
                  <w:pPr>
                    <w:spacing w:line="240" w:lineRule="auto"/>
                    <w:jc w:val="center"/>
                    <w:rPr>
                      <w:kern w:val="0"/>
                      <w:sz w:val="21"/>
                      <w:szCs w:val="21"/>
                      <w:u w:val="single"/>
                    </w:rPr>
                  </w:pPr>
                  <w:r>
                    <w:rPr>
                      <w:kern w:val="0"/>
                      <w:sz w:val="21"/>
                      <w:szCs w:val="21"/>
                      <w:u w:val="single"/>
                    </w:rPr>
                    <w:t>20</w:t>
                  </w:r>
                  <w:r>
                    <w:rPr>
                      <w:rFonts w:hint="eastAsia"/>
                      <w:kern w:val="0"/>
                      <w:sz w:val="21"/>
                      <w:szCs w:val="21"/>
                      <w:u w:val="single"/>
                    </w:rPr>
                    <w:t>00双</w:t>
                  </w:r>
                </w:p>
              </w:tc>
              <w:tc>
                <w:tcPr>
                  <w:tcW w:w="1539" w:type="dxa"/>
                </w:tcPr>
                <w:p w14:paraId="56D44098">
                  <w:pPr>
                    <w:spacing w:line="240" w:lineRule="auto"/>
                    <w:jc w:val="center"/>
                    <w:rPr>
                      <w:kern w:val="0"/>
                      <w:sz w:val="21"/>
                      <w:szCs w:val="21"/>
                      <w:u w:val="single"/>
                    </w:rPr>
                  </w:pPr>
                  <w:r>
                    <w:rPr>
                      <w:rFonts w:hint="eastAsia"/>
                      <w:kern w:val="0"/>
                      <w:sz w:val="21"/>
                      <w:szCs w:val="21"/>
                      <w:u w:val="single"/>
                    </w:rPr>
                    <w:t>2</w:t>
                  </w:r>
                  <w:r>
                    <w:rPr>
                      <w:kern w:val="0"/>
                      <w:sz w:val="21"/>
                      <w:szCs w:val="21"/>
                      <w:u w:val="single"/>
                    </w:rPr>
                    <w:t>5</w:t>
                  </w:r>
                  <w:r>
                    <w:rPr>
                      <w:rFonts w:hint="eastAsia"/>
                      <w:kern w:val="0"/>
                      <w:sz w:val="21"/>
                      <w:szCs w:val="21"/>
                      <w:u w:val="single"/>
                    </w:rPr>
                    <w:t>00双</w:t>
                  </w:r>
                </w:p>
              </w:tc>
            </w:tr>
            <w:tr w14:paraId="5ED75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63CF2B76">
                  <w:pPr>
                    <w:spacing w:line="240" w:lineRule="auto"/>
                    <w:jc w:val="center"/>
                    <w:rPr>
                      <w:kern w:val="0"/>
                      <w:sz w:val="21"/>
                      <w:szCs w:val="21"/>
                      <w:u w:val="single"/>
                    </w:rPr>
                  </w:pPr>
                  <w:r>
                    <w:rPr>
                      <w:rFonts w:hint="eastAsia"/>
                      <w:kern w:val="0"/>
                      <w:sz w:val="21"/>
                      <w:szCs w:val="21"/>
                      <w:u w:val="single"/>
                    </w:rPr>
                    <w:t>3</w:t>
                  </w:r>
                </w:p>
              </w:tc>
              <w:tc>
                <w:tcPr>
                  <w:tcW w:w="3111" w:type="dxa"/>
                  <w:vAlign w:val="center"/>
                </w:tcPr>
                <w:p w14:paraId="1DC32F5A">
                  <w:pPr>
                    <w:spacing w:line="240" w:lineRule="auto"/>
                    <w:jc w:val="center"/>
                    <w:rPr>
                      <w:kern w:val="0"/>
                      <w:sz w:val="21"/>
                      <w:szCs w:val="21"/>
                      <w:u w:val="single"/>
                    </w:rPr>
                  </w:pPr>
                  <w:r>
                    <w:rPr>
                      <w:rFonts w:hint="eastAsia" w:ascii="宋体" w:hAnsi="宋体"/>
                      <w:kern w:val="0"/>
                      <w:sz w:val="21"/>
                      <w:szCs w:val="21"/>
                      <w:u w:val="single"/>
                    </w:rPr>
                    <w:t>针剂药品</w:t>
                  </w:r>
                </w:p>
              </w:tc>
              <w:tc>
                <w:tcPr>
                  <w:tcW w:w="1414" w:type="dxa"/>
                  <w:vAlign w:val="center"/>
                </w:tcPr>
                <w:p w14:paraId="63FC4F3C">
                  <w:pPr>
                    <w:spacing w:line="240" w:lineRule="auto"/>
                    <w:jc w:val="center"/>
                    <w:rPr>
                      <w:kern w:val="0"/>
                      <w:sz w:val="21"/>
                      <w:szCs w:val="21"/>
                      <w:u w:val="single"/>
                    </w:rPr>
                  </w:pPr>
                  <w:r>
                    <w:rPr>
                      <w:kern w:val="0"/>
                      <w:sz w:val="21"/>
                      <w:szCs w:val="21"/>
                      <w:u w:val="single"/>
                    </w:rPr>
                    <w:t>1</w:t>
                  </w:r>
                  <w:r>
                    <w:rPr>
                      <w:rFonts w:hint="eastAsia"/>
                      <w:kern w:val="0"/>
                      <w:sz w:val="21"/>
                      <w:szCs w:val="21"/>
                      <w:u w:val="single"/>
                    </w:rPr>
                    <w:t>000盒</w:t>
                  </w:r>
                </w:p>
              </w:tc>
              <w:tc>
                <w:tcPr>
                  <w:tcW w:w="1555" w:type="dxa"/>
                </w:tcPr>
                <w:p w14:paraId="61788BD5">
                  <w:pPr>
                    <w:spacing w:line="240" w:lineRule="auto"/>
                    <w:jc w:val="center"/>
                    <w:rPr>
                      <w:kern w:val="0"/>
                      <w:sz w:val="21"/>
                      <w:szCs w:val="21"/>
                      <w:u w:val="single"/>
                    </w:rPr>
                  </w:pPr>
                  <w:r>
                    <w:rPr>
                      <w:kern w:val="0"/>
                      <w:sz w:val="21"/>
                      <w:szCs w:val="21"/>
                      <w:u w:val="single"/>
                    </w:rPr>
                    <w:t>4</w:t>
                  </w:r>
                  <w:r>
                    <w:rPr>
                      <w:rFonts w:hint="eastAsia"/>
                      <w:kern w:val="0"/>
                      <w:sz w:val="21"/>
                      <w:szCs w:val="21"/>
                      <w:u w:val="single"/>
                    </w:rPr>
                    <w:t>000盒</w:t>
                  </w:r>
                </w:p>
              </w:tc>
              <w:tc>
                <w:tcPr>
                  <w:tcW w:w="1539" w:type="dxa"/>
                </w:tcPr>
                <w:p w14:paraId="68995ED1">
                  <w:pPr>
                    <w:spacing w:line="240" w:lineRule="auto"/>
                    <w:jc w:val="center"/>
                    <w:rPr>
                      <w:kern w:val="0"/>
                      <w:sz w:val="21"/>
                      <w:szCs w:val="21"/>
                      <w:u w:val="single"/>
                    </w:rPr>
                  </w:pPr>
                  <w:r>
                    <w:rPr>
                      <w:kern w:val="0"/>
                      <w:sz w:val="21"/>
                      <w:szCs w:val="21"/>
                      <w:u w:val="single"/>
                    </w:rPr>
                    <w:t>5</w:t>
                  </w:r>
                  <w:r>
                    <w:rPr>
                      <w:rFonts w:hint="eastAsia"/>
                      <w:kern w:val="0"/>
                      <w:sz w:val="21"/>
                      <w:szCs w:val="21"/>
                      <w:u w:val="single"/>
                    </w:rPr>
                    <w:t>000盒</w:t>
                  </w:r>
                </w:p>
              </w:tc>
            </w:tr>
            <w:tr w14:paraId="654CD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06F54C08">
                  <w:pPr>
                    <w:spacing w:line="240" w:lineRule="auto"/>
                    <w:jc w:val="center"/>
                    <w:rPr>
                      <w:kern w:val="0"/>
                      <w:sz w:val="21"/>
                      <w:szCs w:val="21"/>
                      <w:u w:val="single"/>
                    </w:rPr>
                  </w:pPr>
                  <w:r>
                    <w:rPr>
                      <w:rFonts w:hint="eastAsia"/>
                      <w:kern w:val="0"/>
                      <w:sz w:val="21"/>
                      <w:szCs w:val="21"/>
                      <w:u w:val="single"/>
                    </w:rPr>
                    <w:t>4</w:t>
                  </w:r>
                </w:p>
              </w:tc>
              <w:tc>
                <w:tcPr>
                  <w:tcW w:w="3111" w:type="dxa"/>
                  <w:vAlign w:val="center"/>
                </w:tcPr>
                <w:p w14:paraId="0B7288AE">
                  <w:pPr>
                    <w:spacing w:line="240" w:lineRule="auto"/>
                    <w:jc w:val="center"/>
                    <w:rPr>
                      <w:kern w:val="0"/>
                      <w:sz w:val="21"/>
                      <w:szCs w:val="21"/>
                      <w:u w:val="single"/>
                    </w:rPr>
                  </w:pPr>
                  <w:r>
                    <w:rPr>
                      <w:rFonts w:hint="eastAsia" w:ascii="宋体" w:hAnsi="宋体"/>
                      <w:kern w:val="0"/>
                      <w:sz w:val="21"/>
                      <w:szCs w:val="21"/>
                      <w:u w:val="single"/>
                    </w:rPr>
                    <w:t>口服药剂</w:t>
                  </w:r>
                </w:p>
              </w:tc>
              <w:tc>
                <w:tcPr>
                  <w:tcW w:w="1414" w:type="dxa"/>
                  <w:vAlign w:val="center"/>
                </w:tcPr>
                <w:p w14:paraId="43F23069">
                  <w:pPr>
                    <w:spacing w:line="240" w:lineRule="auto"/>
                    <w:jc w:val="center"/>
                    <w:rPr>
                      <w:kern w:val="0"/>
                      <w:sz w:val="21"/>
                      <w:szCs w:val="21"/>
                      <w:u w:val="single"/>
                    </w:rPr>
                  </w:pPr>
                  <w:r>
                    <w:rPr>
                      <w:kern w:val="0"/>
                      <w:sz w:val="21"/>
                      <w:szCs w:val="21"/>
                      <w:u w:val="single"/>
                    </w:rPr>
                    <w:t>15</w:t>
                  </w:r>
                  <w:r>
                    <w:rPr>
                      <w:rFonts w:hint="eastAsia"/>
                      <w:kern w:val="0"/>
                      <w:sz w:val="21"/>
                      <w:szCs w:val="21"/>
                      <w:u w:val="single"/>
                    </w:rPr>
                    <w:t>00盒</w:t>
                  </w:r>
                </w:p>
              </w:tc>
              <w:tc>
                <w:tcPr>
                  <w:tcW w:w="1555" w:type="dxa"/>
                </w:tcPr>
                <w:p w14:paraId="3D3804A3">
                  <w:pPr>
                    <w:spacing w:line="240" w:lineRule="auto"/>
                    <w:jc w:val="center"/>
                    <w:rPr>
                      <w:kern w:val="0"/>
                      <w:sz w:val="21"/>
                      <w:szCs w:val="21"/>
                      <w:u w:val="single"/>
                    </w:rPr>
                  </w:pPr>
                  <w:r>
                    <w:rPr>
                      <w:kern w:val="0"/>
                      <w:sz w:val="21"/>
                      <w:szCs w:val="21"/>
                      <w:u w:val="single"/>
                    </w:rPr>
                    <w:t>6</w:t>
                  </w:r>
                  <w:r>
                    <w:rPr>
                      <w:rFonts w:hint="eastAsia"/>
                      <w:kern w:val="0"/>
                      <w:sz w:val="21"/>
                      <w:szCs w:val="21"/>
                      <w:u w:val="single"/>
                    </w:rPr>
                    <w:t>000盒</w:t>
                  </w:r>
                </w:p>
              </w:tc>
              <w:tc>
                <w:tcPr>
                  <w:tcW w:w="1539" w:type="dxa"/>
                </w:tcPr>
                <w:p w14:paraId="2916A88C">
                  <w:pPr>
                    <w:spacing w:line="240" w:lineRule="auto"/>
                    <w:jc w:val="center"/>
                    <w:rPr>
                      <w:kern w:val="0"/>
                      <w:sz w:val="21"/>
                      <w:szCs w:val="21"/>
                      <w:u w:val="single"/>
                    </w:rPr>
                  </w:pPr>
                  <w:r>
                    <w:rPr>
                      <w:kern w:val="0"/>
                      <w:sz w:val="21"/>
                      <w:szCs w:val="21"/>
                      <w:u w:val="single"/>
                    </w:rPr>
                    <w:t>75</w:t>
                  </w:r>
                  <w:r>
                    <w:rPr>
                      <w:rFonts w:hint="eastAsia"/>
                      <w:kern w:val="0"/>
                      <w:sz w:val="21"/>
                      <w:szCs w:val="21"/>
                      <w:u w:val="single"/>
                    </w:rPr>
                    <w:t>00盒</w:t>
                  </w:r>
                </w:p>
              </w:tc>
            </w:tr>
            <w:tr w14:paraId="1566F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504895DF">
                  <w:pPr>
                    <w:spacing w:line="240" w:lineRule="auto"/>
                    <w:jc w:val="center"/>
                    <w:rPr>
                      <w:kern w:val="0"/>
                      <w:sz w:val="21"/>
                      <w:szCs w:val="21"/>
                      <w:u w:val="single"/>
                    </w:rPr>
                  </w:pPr>
                  <w:r>
                    <w:rPr>
                      <w:rFonts w:hint="eastAsia"/>
                      <w:kern w:val="0"/>
                      <w:sz w:val="21"/>
                      <w:szCs w:val="21"/>
                      <w:u w:val="single"/>
                    </w:rPr>
                    <w:t>5</w:t>
                  </w:r>
                </w:p>
              </w:tc>
              <w:tc>
                <w:tcPr>
                  <w:tcW w:w="3111" w:type="dxa"/>
                  <w:vAlign w:val="center"/>
                </w:tcPr>
                <w:p w14:paraId="0BAA70CB">
                  <w:pPr>
                    <w:spacing w:line="240" w:lineRule="auto"/>
                    <w:jc w:val="center"/>
                    <w:rPr>
                      <w:kern w:val="0"/>
                      <w:sz w:val="21"/>
                      <w:szCs w:val="21"/>
                      <w:u w:val="single"/>
                    </w:rPr>
                  </w:pPr>
                  <w:r>
                    <w:rPr>
                      <w:rFonts w:hint="eastAsia" w:ascii="宋体" w:hAnsi="宋体"/>
                      <w:kern w:val="0"/>
                      <w:sz w:val="21"/>
                      <w:szCs w:val="21"/>
                      <w:u w:val="single"/>
                    </w:rPr>
                    <w:t>酒精、碘伏、</w:t>
                  </w:r>
                  <w:r>
                    <w:rPr>
                      <w:kern w:val="0"/>
                      <w:sz w:val="21"/>
                      <w:szCs w:val="21"/>
                      <w:u w:val="single"/>
                    </w:rPr>
                    <w:t>84</w:t>
                  </w:r>
                  <w:r>
                    <w:rPr>
                      <w:rFonts w:hint="eastAsia" w:ascii="宋体" w:hAnsi="宋体"/>
                      <w:kern w:val="0"/>
                      <w:sz w:val="21"/>
                      <w:szCs w:val="21"/>
                      <w:u w:val="single"/>
                    </w:rPr>
                    <w:t>消毒液等</w:t>
                  </w:r>
                </w:p>
              </w:tc>
              <w:tc>
                <w:tcPr>
                  <w:tcW w:w="1414" w:type="dxa"/>
                  <w:vAlign w:val="center"/>
                </w:tcPr>
                <w:p w14:paraId="24B5DAFD">
                  <w:pPr>
                    <w:spacing w:line="240" w:lineRule="auto"/>
                    <w:jc w:val="center"/>
                    <w:rPr>
                      <w:kern w:val="0"/>
                      <w:sz w:val="21"/>
                      <w:szCs w:val="21"/>
                      <w:u w:val="single"/>
                    </w:rPr>
                  </w:pPr>
                  <w:r>
                    <w:rPr>
                      <w:rFonts w:hint="eastAsia"/>
                      <w:kern w:val="0"/>
                      <w:sz w:val="21"/>
                      <w:szCs w:val="21"/>
                      <w:u w:val="single"/>
                    </w:rPr>
                    <w:t>0.</w:t>
                  </w:r>
                  <w:r>
                    <w:rPr>
                      <w:kern w:val="0"/>
                      <w:sz w:val="21"/>
                      <w:szCs w:val="21"/>
                      <w:u w:val="single"/>
                    </w:rPr>
                    <w:t>5</w:t>
                  </w:r>
                  <w:r>
                    <w:rPr>
                      <w:rFonts w:hint="eastAsia"/>
                      <w:kern w:val="0"/>
                      <w:sz w:val="21"/>
                      <w:szCs w:val="21"/>
                      <w:u w:val="single"/>
                    </w:rPr>
                    <w:t>t</w:t>
                  </w:r>
                </w:p>
              </w:tc>
              <w:tc>
                <w:tcPr>
                  <w:tcW w:w="1555" w:type="dxa"/>
                </w:tcPr>
                <w:p w14:paraId="6F9EDB12">
                  <w:pPr>
                    <w:spacing w:line="240" w:lineRule="auto"/>
                    <w:jc w:val="center"/>
                    <w:rPr>
                      <w:kern w:val="0"/>
                      <w:sz w:val="21"/>
                      <w:szCs w:val="21"/>
                      <w:u w:val="single"/>
                    </w:rPr>
                  </w:pPr>
                  <w:r>
                    <w:rPr>
                      <w:kern w:val="0"/>
                      <w:sz w:val="21"/>
                      <w:szCs w:val="21"/>
                      <w:u w:val="single"/>
                    </w:rPr>
                    <w:t>2</w:t>
                  </w:r>
                  <w:r>
                    <w:rPr>
                      <w:rFonts w:hint="eastAsia"/>
                      <w:kern w:val="0"/>
                      <w:sz w:val="21"/>
                      <w:szCs w:val="21"/>
                      <w:u w:val="single"/>
                    </w:rPr>
                    <w:t>t</w:t>
                  </w:r>
                </w:p>
              </w:tc>
              <w:tc>
                <w:tcPr>
                  <w:tcW w:w="1539" w:type="dxa"/>
                </w:tcPr>
                <w:p w14:paraId="3C474676">
                  <w:pPr>
                    <w:spacing w:line="240" w:lineRule="auto"/>
                    <w:jc w:val="center"/>
                    <w:rPr>
                      <w:kern w:val="0"/>
                      <w:sz w:val="21"/>
                      <w:szCs w:val="21"/>
                      <w:u w:val="single"/>
                    </w:rPr>
                  </w:pPr>
                  <w:r>
                    <w:rPr>
                      <w:kern w:val="0"/>
                      <w:sz w:val="21"/>
                      <w:szCs w:val="21"/>
                      <w:u w:val="single"/>
                    </w:rPr>
                    <w:t>2.5</w:t>
                  </w:r>
                  <w:r>
                    <w:rPr>
                      <w:rFonts w:hint="eastAsia"/>
                      <w:kern w:val="0"/>
                      <w:sz w:val="21"/>
                      <w:szCs w:val="21"/>
                      <w:u w:val="single"/>
                    </w:rPr>
                    <w:t>t</w:t>
                  </w:r>
                </w:p>
              </w:tc>
            </w:tr>
            <w:tr w14:paraId="05174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2B6C3FE9">
                  <w:pPr>
                    <w:spacing w:line="240" w:lineRule="auto"/>
                    <w:jc w:val="center"/>
                    <w:rPr>
                      <w:kern w:val="0"/>
                      <w:sz w:val="21"/>
                      <w:szCs w:val="21"/>
                      <w:u w:val="single"/>
                    </w:rPr>
                  </w:pPr>
                  <w:r>
                    <w:rPr>
                      <w:rFonts w:hint="eastAsia"/>
                      <w:kern w:val="0"/>
                      <w:sz w:val="21"/>
                      <w:szCs w:val="21"/>
                      <w:u w:val="single"/>
                    </w:rPr>
                    <w:t>6</w:t>
                  </w:r>
                </w:p>
              </w:tc>
              <w:tc>
                <w:tcPr>
                  <w:tcW w:w="3111" w:type="dxa"/>
                  <w:vAlign w:val="center"/>
                </w:tcPr>
                <w:p w14:paraId="72DC84DD">
                  <w:pPr>
                    <w:spacing w:line="240" w:lineRule="auto"/>
                    <w:jc w:val="center"/>
                    <w:rPr>
                      <w:kern w:val="0"/>
                      <w:sz w:val="21"/>
                      <w:szCs w:val="21"/>
                      <w:u w:val="single"/>
                    </w:rPr>
                  </w:pPr>
                  <w:r>
                    <w:rPr>
                      <w:rFonts w:hint="eastAsia" w:ascii="宋体" w:hAnsi="宋体"/>
                      <w:kern w:val="0"/>
                      <w:sz w:val="21"/>
                      <w:szCs w:val="21"/>
                      <w:u w:val="single"/>
                    </w:rPr>
                    <w:t>检验、化验药品、试剂</w:t>
                  </w:r>
                </w:p>
              </w:tc>
              <w:tc>
                <w:tcPr>
                  <w:tcW w:w="1414" w:type="dxa"/>
                  <w:vAlign w:val="center"/>
                </w:tcPr>
                <w:p w14:paraId="10E20D78">
                  <w:pPr>
                    <w:spacing w:line="240" w:lineRule="auto"/>
                    <w:jc w:val="center"/>
                    <w:rPr>
                      <w:kern w:val="0"/>
                      <w:sz w:val="21"/>
                      <w:szCs w:val="21"/>
                      <w:u w:val="single"/>
                    </w:rPr>
                  </w:pPr>
                  <w:r>
                    <w:rPr>
                      <w:kern w:val="0"/>
                      <w:sz w:val="21"/>
                      <w:szCs w:val="21"/>
                      <w:u w:val="single"/>
                    </w:rPr>
                    <w:t>1</w:t>
                  </w:r>
                  <w:r>
                    <w:rPr>
                      <w:rFonts w:hint="eastAsia"/>
                      <w:kern w:val="0"/>
                      <w:sz w:val="21"/>
                      <w:szCs w:val="21"/>
                      <w:u w:val="single"/>
                    </w:rPr>
                    <w:t>0盒</w:t>
                  </w:r>
                </w:p>
              </w:tc>
              <w:tc>
                <w:tcPr>
                  <w:tcW w:w="1555" w:type="dxa"/>
                </w:tcPr>
                <w:p w14:paraId="4B2B7FBF">
                  <w:pPr>
                    <w:spacing w:line="240" w:lineRule="auto"/>
                    <w:jc w:val="center"/>
                    <w:rPr>
                      <w:kern w:val="0"/>
                      <w:sz w:val="21"/>
                      <w:szCs w:val="21"/>
                      <w:u w:val="single"/>
                    </w:rPr>
                  </w:pPr>
                  <w:r>
                    <w:rPr>
                      <w:kern w:val="0"/>
                      <w:sz w:val="21"/>
                      <w:szCs w:val="21"/>
                      <w:u w:val="single"/>
                    </w:rPr>
                    <w:t>4</w:t>
                  </w:r>
                  <w:r>
                    <w:rPr>
                      <w:rFonts w:hint="eastAsia"/>
                      <w:kern w:val="0"/>
                      <w:sz w:val="21"/>
                      <w:szCs w:val="21"/>
                      <w:u w:val="single"/>
                    </w:rPr>
                    <w:t>0盒</w:t>
                  </w:r>
                </w:p>
              </w:tc>
              <w:tc>
                <w:tcPr>
                  <w:tcW w:w="1539" w:type="dxa"/>
                </w:tcPr>
                <w:p w14:paraId="5ED0A358">
                  <w:pPr>
                    <w:spacing w:line="240" w:lineRule="auto"/>
                    <w:jc w:val="center"/>
                    <w:rPr>
                      <w:kern w:val="0"/>
                      <w:sz w:val="21"/>
                      <w:szCs w:val="21"/>
                      <w:u w:val="single"/>
                    </w:rPr>
                  </w:pPr>
                  <w:r>
                    <w:rPr>
                      <w:kern w:val="0"/>
                      <w:sz w:val="21"/>
                      <w:szCs w:val="21"/>
                      <w:u w:val="single"/>
                    </w:rPr>
                    <w:t>5</w:t>
                  </w:r>
                  <w:r>
                    <w:rPr>
                      <w:rFonts w:hint="eastAsia"/>
                      <w:kern w:val="0"/>
                      <w:sz w:val="21"/>
                      <w:szCs w:val="21"/>
                      <w:u w:val="single"/>
                    </w:rPr>
                    <w:t>0盒</w:t>
                  </w:r>
                </w:p>
              </w:tc>
            </w:tr>
            <w:tr w14:paraId="43141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685D5406">
                  <w:pPr>
                    <w:spacing w:line="240" w:lineRule="auto"/>
                    <w:jc w:val="center"/>
                    <w:rPr>
                      <w:kern w:val="0"/>
                      <w:sz w:val="21"/>
                      <w:szCs w:val="21"/>
                      <w:u w:val="single"/>
                    </w:rPr>
                  </w:pPr>
                  <w:r>
                    <w:rPr>
                      <w:rFonts w:hint="eastAsia"/>
                      <w:kern w:val="0"/>
                      <w:sz w:val="21"/>
                      <w:szCs w:val="21"/>
                      <w:u w:val="single"/>
                    </w:rPr>
                    <w:t>7</w:t>
                  </w:r>
                </w:p>
              </w:tc>
              <w:tc>
                <w:tcPr>
                  <w:tcW w:w="3111" w:type="dxa"/>
                  <w:vAlign w:val="center"/>
                </w:tcPr>
                <w:p w14:paraId="5F6D5BFF">
                  <w:pPr>
                    <w:spacing w:line="240" w:lineRule="auto"/>
                    <w:jc w:val="center"/>
                    <w:rPr>
                      <w:kern w:val="0"/>
                      <w:sz w:val="21"/>
                      <w:szCs w:val="21"/>
                      <w:u w:val="single"/>
                    </w:rPr>
                  </w:pPr>
                  <w:r>
                    <w:rPr>
                      <w:rFonts w:hint="eastAsia" w:ascii="宋体" w:hAnsi="宋体"/>
                      <w:kern w:val="0"/>
                      <w:sz w:val="21"/>
                      <w:szCs w:val="21"/>
                      <w:u w:val="single"/>
                    </w:rPr>
                    <w:t>中药材</w:t>
                  </w:r>
                </w:p>
              </w:tc>
              <w:tc>
                <w:tcPr>
                  <w:tcW w:w="1414" w:type="dxa"/>
                  <w:vAlign w:val="center"/>
                </w:tcPr>
                <w:p w14:paraId="016F1C1C">
                  <w:pPr>
                    <w:spacing w:line="240" w:lineRule="auto"/>
                    <w:jc w:val="center"/>
                    <w:rPr>
                      <w:kern w:val="0"/>
                      <w:sz w:val="21"/>
                      <w:szCs w:val="21"/>
                      <w:u w:val="single"/>
                    </w:rPr>
                  </w:pPr>
                  <w:r>
                    <w:rPr>
                      <w:rFonts w:hint="eastAsia"/>
                      <w:kern w:val="0"/>
                      <w:sz w:val="21"/>
                      <w:szCs w:val="21"/>
                      <w:u w:val="single"/>
                    </w:rPr>
                    <w:t>0.</w:t>
                  </w:r>
                  <w:r>
                    <w:rPr>
                      <w:kern w:val="0"/>
                      <w:sz w:val="21"/>
                      <w:szCs w:val="21"/>
                      <w:u w:val="single"/>
                    </w:rPr>
                    <w:t>05</w:t>
                  </w:r>
                  <w:r>
                    <w:rPr>
                      <w:rFonts w:hint="eastAsia"/>
                      <w:kern w:val="0"/>
                      <w:sz w:val="21"/>
                      <w:szCs w:val="21"/>
                      <w:u w:val="single"/>
                    </w:rPr>
                    <w:t>t</w:t>
                  </w:r>
                </w:p>
              </w:tc>
              <w:tc>
                <w:tcPr>
                  <w:tcW w:w="1555" w:type="dxa"/>
                </w:tcPr>
                <w:p w14:paraId="1E9602D0">
                  <w:pPr>
                    <w:spacing w:line="240" w:lineRule="auto"/>
                    <w:jc w:val="center"/>
                    <w:rPr>
                      <w:kern w:val="0"/>
                      <w:sz w:val="21"/>
                      <w:szCs w:val="21"/>
                      <w:u w:val="single"/>
                    </w:rPr>
                  </w:pPr>
                  <w:r>
                    <w:rPr>
                      <w:rFonts w:hint="eastAsia"/>
                      <w:kern w:val="0"/>
                      <w:sz w:val="21"/>
                      <w:szCs w:val="21"/>
                      <w:u w:val="single"/>
                    </w:rPr>
                    <w:t>0.</w:t>
                  </w:r>
                  <w:r>
                    <w:rPr>
                      <w:kern w:val="0"/>
                      <w:sz w:val="21"/>
                      <w:szCs w:val="21"/>
                      <w:u w:val="single"/>
                    </w:rPr>
                    <w:t>2</w:t>
                  </w:r>
                  <w:r>
                    <w:rPr>
                      <w:rFonts w:hint="eastAsia"/>
                      <w:kern w:val="0"/>
                      <w:sz w:val="21"/>
                      <w:szCs w:val="21"/>
                      <w:u w:val="single"/>
                    </w:rPr>
                    <w:t>t</w:t>
                  </w:r>
                </w:p>
              </w:tc>
              <w:tc>
                <w:tcPr>
                  <w:tcW w:w="1539" w:type="dxa"/>
                </w:tcPr>
                <w:p w14:paraId="7BF6B895">
                  <w:pPr>
                    <w:spacing w:line="240" w:lineRule="auto"/>
                    <w:jc w:val="center"/>
                    <w:rPr>
                      <w:kern w:val="0"/>
                      <w:sz w:val="21"/>
                      <w:szCs w:val="21"/>
                      <w:u w:val="single"/>
                    </w:rPr>
                  </w:pPr>
                  <w:r>
                    <w:rPr>
                      <w:rFonts w:hint="eastAsia"/>
                      <w:kern w:val="0"/>
                      <w:sz w:val="21"/>
                      <w:szCs w:val="21"/>
                      <w:u w:val="single"/>
                    </w:rPr>
                    <w:t>0.</w:t>
                  </w:r>
                  <w:r>
                    <w:rPr>
                      <w:kern w:val="0"/>
                      <w:sz w:val="21"/>
                      <w:szCs w:val="21"/>
                      <w:u w:val="single"/>
                    </w:rPr>
                    <w:t>25</w:t>
                  </w:r>
                  <w:r>
                    <w:rPr>
                      <w:rFonts w:hint="eastAsia"/>
                      <w:kern w:val="0"/>
                      <w:sz w:val="21"/>
                      <w:szCs w:val="21"/>
                      <w:u w:val="single"/>
                    </w:rPr>
                    <w:t>t</w:t>
                  </w:r>
                </w:p>
              </w:tc>
            </w:tr>
            <w:tr w14:paraId="6E4F6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756A77F4">
                  <w:pPr>
                    <w:spacing w:line="240" w:lineRule="auto"/>
                    <w:jc w:val="center"/>
                    <w:rPr>
                      <w:kern w:val="0"/>
                      <w:sz w:val="21"/>
                      <w:szCs w:val="21"/>
                      <w:u w:val="single"/>
                    </w:rPr>
                  </w:pPr>
                  <w:r>
                    <w:rPr>
                      <w:rFonts w:hint="eastAsia"/>
                      <w:kern w:val="0"/>
                      <w:sz w:val="21"/>
                      <w:szCs w:val="21"/>
                      <w:u w:val="single"/>
                    </w:rPr>
                    <w:t>8</w:t>
                  </w:r>
                </w:p>
              </w:tc>
              <w:tc>
                <w:tcPr>
                  <w:tcW w:w="3111" w:type="dxa"/>
                  <w:vAlign w:val="center"/>
                </w:tcPr>
                <w:p w14:paraId="1088BC30">
                  <w:pPr>
                    <w:spacing w:line="240" w:lineRule="auto"/>
                    <w:jc w:val="center"/>
                    <w:rPr>
                      <w:kern w:val="0"/>
                      <w:sz w:val="21"/>
                      <w:szCs w:val="21"/>
                      <w:u w:val="single"/>
                    </w:rPr>
                  </w:pPr>
                  <w:bookmarkStart w:id="43" w:name="OLE_LINK20"/>
                  <w:r>
                    <w:rPr>
                      <w:rFonts w:hint="eastAsia"/>
                      <w:kern w:val="0"/>
                      <w:sz w:val="21"/>
                      <w:szCs w:val="21"/>
                      <w:u w:val="single"/>
                    </w:rPr>
                    <w:t>二氧化氯消毒粉（AB剂）</w:t>
                  </w:r>
                  <w:bookmarkEnd w:id="43"/>
                </w:p>
              </w:tc>
              <w:tc>
                <w:tcPr>
                  <w:tcW w:w="1414" w:type="dxa"/>
                  <w:vAlign w:val="center"/>
                </w:tcPr>
                <w:p w14:paraId="68A82A51">
                  <w:pPr>
                    <w:spacing w:line="240" w:lineRule="auto"/>
                    <w:jc w:val="center"/>
                    <w:rPr>
                      <w:kern w:val="0"/>
                      <w:sz w:val="21"/>
                      <w:szCs w:val="21"/>
                      <w:u w:val="single"/>
                    </w:rPr>
                  </w:pPr>
                  <w:r>
                    <w:rPr>
                      <w:rFonts w:hint="eastAsia"/>
                      <w:kern w:val="0"/>
                      <w:sz w:val="21"/>
                      <w:szCs w:val="21"/>
                      <w:u w:val="single"/>
                    </w:rPr>
                    <w:t>0.</w:t>
                  </w:r>
                  <w:r>
                    <w:rPr>
                      <w:kern w:val="0"/>
                      <w:sz w:val="21"/>
                      <w:szCs w:val="21"/>
                      <w:u w:val="single"/>
                    </w:rPr>
                    <w:t>05</w:t>
                  </w:r>
                  <w:r>
                    <w:rPr>
                      <w:rFonts w:hint="eastAsia"/>
                      <w:kern w:val="0"/>
                      <w:sz w:val="21"/>
                      <w:szCs w:val="21"/>
                      <w:u w:val="single"/>
                    </w:rPr>
                    <w:t>t</w:t>
                  </w:r>
                </w:p>
              </w:tc>
              <w:tc>
                <w:tcPr>
                  <w:tcW w:w="1555" w:type="dxa"/>
                </w:tcPr>
                <w:p w14:paraId="166C5E10">
                  <w:pPr>
                    <w:spacing w:line="240" w:lineRule="auto"/>
                    <w:jc w:val="center"/>
                    <w:rPr>
                      <w:kern w:val="0"/>
                      <w:sz w:val="21"/>
                      <w:szCs w:val="21"/>
                      <w:u w:val="single"/>
                    </w:rPr>
                  </w:pPr>
                  <w:r>
                    <w:rPr>
                      <w:rFonts w:hint="eastAsia"/>
                      <w:kern w:val="0"/>
                      <w:sz w:val="21"/>
                      <w:szCs w:val="21"/>
                      <w:u w:val="single"/>
                    </w:rPr>
                    <w:t>0.</w:t>
                  </w:r>
                  <w:r>
                    <w:rPr>
                      <w:kern w:val="0"/>
                      <w:sz w:val="21"/>
                      <w:szCs w:val="21"/>
                      <w:u w:val="single"/>
                    </w:rPr>
                    <w:t>2</w:t>
                  </w:r>
                  <w:r>
                    <w:rPr>
                      <w:rFonts w:hint="eastAsia"/>
                      <w:kern w:val="0"/>
                      <w:sz w:val="21"/>
                      <w:szCs w:val="21"/>
                      <w:u w:val="single"/>
                    </w:rPr>
                    <w:t>t</w:t>
                  </w:r>
                </w:p>
              </w:tc>
              <w:tc>
                <w:tcPr>
                  <w:tcW w:w="1539" w:type="dxa"/>
                </w:tcPr>
                <w:p w14:paraId="56615039">
                  <w:pPr>
                    <w:spacing w:line="240" w:lineRule="auto"/>
                    <w:jc w:val="center"/>
                    <w:rPr>
                      <w:kern w:val="0"/>
                      <w:sz w:val="21"/>
                      <w:szCs w:val="21"/>
                      <w:u w:val="single"/>
                    </w:rPr>
                  </w:pPr>
                  <w:r>
                    <w:rPr>
                      <w:rFonts w:hint="eastAsia"/>
                      <w:kern w:val="0"/>
                      <w:sz w:val="21"/>
                      <w:szCs w:val="21"/>
                      <w:u w:val="single"/>
                    </w:rPr>
                    <w:t>0.</w:t>
                  </w:r>
                  <w:r>
                    <w:rPr>
                      <w:kern w:val="0"/>
                      <w:sz w:val="21"/>
                      <w:szCs w:val="21"/>
                      <w:u w:val="single"/>
                    </w:rPr>
                    <w:t>25</w:t>
                  </w:r>
                  <w:r>
                    <w:rPr>
                      <w:rFonts w:hint="eastAsia"/>
                      <w:kern w:val="0"/>
                      <w:sz w:val="21"/>
                      <w:szCs w:val="21"/>
                      <w:u w:val="single"/>
                    </w:rPr>
                    <w:t xml:space="preserve"> t</w:t>
                  </w:r>
                </w:p>
              </w:tc>
            </w:tr>
            <w:tr w14:paraId="3F360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78485B43">
                  <w:pPr>
                    <w:spacing w:line="240" w:lineRule="auto"/>
                    <w:jc w:val="center"/>
                    <w:rPr>
                      <w:kern w:val="0"/>
                      <w:sz w:val="21"/>
                      <w:szCs w:val="21"/>
                      <w:u w:val="single"/>
                    </w:rPr>
                  </w:pPr>
                  <w:r>
                    <w:rPr>
                      <w:rFonts w:hint="eastAsia"/>
                      <w:kern w:val="0"/>
                      <w:sz w:val="21"/>
                      <w:szCs w:val="21"/>
                      <w:u w:val="single"/>
                    </w:rPr>
                    <w:t>9</w:t>
                  </w:r>
                </w:p>
              </w:tc>
              <w:tc>
                <w:tcPr>
                  <w:tcW w:w="3111" w:type="dxa"/>
                  <w:vAlign w:val="center"/>
                </w:tcPr>
                <w:p w14:paraId="0AE215F3">
                  <w:pPr>
                    <w:spacing w:line="240" w:lineRule="auto"/>
                    <w:jc w:val="center"/>
                    <w:rPr>
                      <w:kern w:val="0"/>
                      <w:sz w:val="21"/>
                      <w:szCs w:val="21"/>
                      <w:u w:val="single"/>
                    </w:rPr>
                  </w:pPr>
                  <w:r>
                    <w:rPr>
                      <w:rFonts w:hint="eastAsia"/>
                      <w:kern w:val="0"/>
                      <w:sz w:val="21"/>
                      <w:szCs w:val="21"/>
                      <w:u w:val="single"/>
                    </w:rPr>
                    <w:t>除臭剂</w:t>
                  </w:r>
                </w:p>
              </w:tc>
              <w:tc>
                <w:tcPr>
                  <w:tcW w:w="1414" w:type="dxa"/>
                </w:tcPr>
                <w:p w14:paraId="1E70C174">
                  <w:pPr>
                    <w:spacing w:line="240" w:lineRule="auto"/>
                    <w:jc w:val="center"/>
                    <w:rPr>
                      <w:kern w:val="0"/>
                      <w:sz w:val="21"/>
                      <w:szCs w:val="21"/>
                      <w:u w:val="single"/>
                    </w:rPr>
                  </w:pPr>
                  <w:r>
                    <w:rPr>
                      <w:rFonts w:hint="eastAsia"/>
                      <w:kern w:val="0"/>
                      <w:sz w:val="21"/>
                      <w:szCs w:val="21"/>
                      <w:u w:val="single"/>
                    </w:rPr>
                    <w:t>0</w:t>
                  </w:r>
                  <w:r>
                    <w:rPr>
                      <w:kern w:val="0"/>
                      <w:sz w:val="21"/>
                      <w:szCs w:val="21"/>
                      <w:u w:val="single"/>
                    </w:rPr>
                    <w:t>.01</w:t>
                  </w:r>
                  <w:r>
                    <w:rPr>
                      <w:rFonts w:hint="eastAsia"/>
                      <w:kern w:val="0"/>
                      <w:sz w:val="21"/>
                      <w:szCs w:val="21"/>
                      <w:u w:val="single"/>
                    </w:rPr>
                    <w:t>t</w:t>
                  </w:r>
                </w:p>
              </w:tc>
              <w:tc>
                <w:tcPr>
                  <w:tcW w:w="1555" w:type="dxa"/>
                </w:tcPr>
                <w:p w14:paraId="66BA3F21">
                  <w:pPr>
                    <w:spacing w:line="240" w:lineRule="auto"/>
                    <w:jc w:val="center"/>
                    <w:rPr>
                      <w:kern w:val="0"/>
                      <w:sz w:val="21"/>
                      <w:szCs w:val="21"/>
                      <w:u w:val="single"/>
                    </w:rPr>
                  </w:pPr>
                  <w:r>
                    <w:rPr>
                      <w:rFonts w:hint="eastAsia"/>
                      <w:kern w:val="0"/>
                      <w:sz w:val="21"/>
                      <w:szCs w:val="21"/>
                      <w:u w:val="single"/>
                    </w:rPr>
                    <w:t>0.0</w:t>
                  </w:r>
                  <w:r>
                    <w:rPr>
                      <w:kern w:val="0"/>
                      <w:sz w:val="21"/>
                      <w:szCs w:val="21"/>
                      <w:u w:val="single"/>
                    </w:rPr>
                    <w:t>4</w:t>
                  </w:r>
                  <w:r>
                    <w:rPr>
                      <w:rFonts w:hint="eastAsia"/>
                      <w:kern w:val="0"/>
                      <w:sz w:val="21"/>
                      <w:szCs w:val="21"/>
                      <w:u w:val="single"/>
                    </w:rPr>
                    <w:t>t</w:t>
                  </w:r>
                </w:p>
              </w:tc>
              <w:tc>
                <w:tcPr>
                  <w:tcW w:w="1539" w:type="dxa"/>
                </w:tcPr>
                <w:p w14:paraId="1214B37A">
                  <w:pPr>
                    <w:spacing w:line="240" w:lineRule="auto"/>
                    <w:jc w:val="center"/>
                    <w:rPr>
                      <w:kern w:val="0"/>
                      <w:sz w:val="21"/>
                      <w:szCs w:val="21"/>
                      <w:u w:val="single"/>
                    </w:rPr>
                  </w:pPr>
                  <w:r>
                    <w:rPr>
                      <w:rFonts w:hint="eastAsia"/>
                      <w:kern w:val="0"/>
                      <w:sz w:val="21"/>
                      <w:szCs w:val="21"/>
                      <w:u w:val="single"/>
                    </w:rPr>
                    <w:t>0.0</w:t>
                  </w:r>
                  <w:r>
                    <w:rPr>
                      <w:kern w:val="0"/>
                      <w:sz w:val="21"/>
                      <w:szCs w:val="21"/>
                      <w:u w:val="single"/>
                    </w:rPr>
                    <w:t>5</w:t>
                  </w:r>
                  <w:r>
                    <w:rPr>
                      <w:rFonts w:hint="eastAsia"/>
                      <w:kern w:val="0"/>
                      <w:sz w:val="21"/>
                      <w:szCs w:val="21"/>
                      <w:u w:val="single"/>
                    </w:rPr>
                    <w:t>t</w:t>
                  </w:r>
                </w:p>
              </w:tc>
            </w:tr>
            <w:tr w14:paraId="4361D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165DFA8D">
                  <w:pPr>
                    <w:spacing w:line="240" w:lineRule="auto"/>
                    <w:jc w:val="center"/>
                    <w:rPr>
                      <w:kern w:val="0"/>
                      <w:sz w:val="21"/>
                      <w:szCs w:val="21"/>
                      <w:u w:val="single"/>
                    </w:rPr>
                  </w:pPr>
                  <w:r>
                    <w:rPr>
                      <w:rFonts w:hint="eastAsia"/>
                      <w:kern w:val="0"/>
                      <w:sz w:val="21"/>
                      <w:szCs w:val="21"/>
                      <w:u w:val="single"/>
                    </w:rPr>
                    <w:t>1</w:t>
                  </w:r>
                  <w:r>
                    <w:rPr>
                      <w:kern w:val="0"/>
                      <w:sz w:val="21"/>
                      <w:szCs w:val="21"/>
                      <w:u w:val="single"/>
                    </w:rPr>
                    <w:t>0</w:t>
                  </w:r>
                </w:p>
              </w:tc>
              <w:tc>
                <w:tcPr>
                  <w:tcW w:w="3111" w:type="dxa"/>
                  <w:vAlign w:val="center"/>
                </w:tcPr>
                <w:p w14:paraId="2E61B250">
                  <w:pPr>
                    <w:spacing w:line="240" w:lineRule="auto"/>
                    <w:jc w:val="center"/>
                    <w:rPr>
                      <w:kern w:val="0"/>
                      <w:sz w:val="21"/>
                      <w:szCs w:val="21"/>
                      <w:u w:val="single"/>
                    </w:rPr>
                  </w:pPr>
                  <w:r>
                    <w:rPr>
                      <w:rFonts w:hint="eastAsia"/>
                      <w:kern w:val="0"/>
                      <w:sz w:val="21"/>
                      <w:szCs w:val="21"/>
                      <w:u w:val="single"/>
                    </w:rPr>
                    <w:t>医用酒精</w:t>
                  </w:r>
                </w:p>
              </w:tc>
              <w:tc>
                <w:tcPr>
                  <w:tcW w:w="1414" w:type="dxa"/>
                </w:tcPr>
                <w:p w14:paraId="75027EA7">
                  <w:pPr>
                    <w:spacing w:line="240" w:lineRule="auto"/>
                    <w:jc w:val="center"/>
                    <w:rPr>
                      <w:kern w:val="0"/>
                      <w:sz w:val="21"/>
                      <w:szCs w:val="21"/>
                      <w:u w:val="single"/>
                    </w:rPr>
                  </w:pPr>
                  <w:r>
                    <w:rPr>
                      <w:kern w:val="0"/>
                      <w:sz w:val="21"/>
                      <w:szCs w:val="21"/>
                      <w:u w:val="single"/>
                    </w:rPr>
                    <w:t>0.2t</w:t>
                  </w:r>
                </w:p>
              </w:tc>
              <w:tc>
                <w:tcPr>
                  <w:tcW w:w="1555" w:type="dxa"/>
                </w:tcPr>
                <w:p w14:paraId="7BC1B377">
                  <w:pPr>
                    <w:spacing w:line="240" w:lineRule="auto"/>
                    <w:jc w:val="center"/>
                    <w:rPr>
                      <w:kern w:val="0"/>
                      <w:sz w:val="21"/>
                      <w:szCs w:val="21"/>
                      <w:u w:val="single"/>
                    </w:rPr>
                  </w:pPr>
                  <w:r>
                    <w:rPr>
                      <w:rFonts w:hint="eastAsia"/>
                      <w:kern w:val="0"/>
                      <w:sz w:val="21"/>
                      <w:szCs w:val="21"/>
                      <w:u w:val="single"/>
                    </w:rPr>
                    <w:t>0</w:t>
                  </w:r>
                  <w:r>
                    <w:rPr>
                      <w:kern w:val="0"/>
                      <w:sz w:val="21"/>
                      <w:szCs w:val="21"/>
                      <w:u w:val="single"/>
                    </w:rPr>
                    <w:t>.8</w:t>
                  </w:r>
                  <w:r>
                    <w:rPr>
                      <w:rFonts w:hint="eastAsia"/>
                      <w:kern w:val="0"/>
                      <w:sz w:val="21"/>
                      <w:szCs w:val="21"/>
                      <w:u w:val="single"/>
                    </w:rPr>
                    <w:t>t</w:t>
                  </w:r>
                </w:p>
              </w:tc>
              <w:tc>
                <w:tcPr>
                  <w:tcW w:w="1539" w:type="dxa"/>
                </w:tcPr>
                <w:p w14:paraId="510EE486">
                  <w:pPr>
                    <w:spacing w:line="240" w:lineRule="auto"/>
                    <w:jc w:val="center"/>
                    <w:rPr>
                      <w:kern w:val="0"/>
                      <w:sz w:val="21"/>
                      <w:szCs w:val="21"/>
                      <w:u w:val="single"/>
                    </w:rPr>
                  </w:pPr>
                  <w:r>
                    <w:rPr>
                      <w:rFonts w:hint="eastAsia"/>
                      <w:kern w:val="0"/>
                      <w:sz w:val="21"/>
                      <w:szCs w:val="21"/>
                      <w:u w:val="single"/>
                    </w:rPr>
                    <w:t>1t</w:t>
                  </w:r>
                </w:p>
              </w:tc>
            </w:tr>
            <w:tr w14:paraId="3A603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1AC61F17">
                  <w:pPr>
                    <w:spacing w:line="240" w:lineRule="auto"/>
                    <w:jc w:val="center"/>
                    <w:rPr>
                      <w:kern w:val="0"/>
                      <w:sz w:val="21"/>
                      <w:szCs w:val="21"/>
                      <w:u w:val="single"/>
                    </w:rPr>
                  </w:pPr>
                  <w:r>
                    <w:rPr>
                      <w:rFonts w:hint="eastAsia"/>
                      <w:kern w:val="0"/>
                      <w:sz w:val="21"/>
                      <w:szCs w:val="21"/>
                      <w:u w:val="single"/>
                    </w:rPr>
                    <w:t>1</w:t>
                  </w:r>
                  <w:r>
                    <w:rPr>
                      <w:kern w:val="0"/>
                      <w:sz w:val="21"/>
                      <w:szCs w:val="21"/>
                      <w:u w:val="single"/>
                    </w:rPr>
                    <w:t>1</w:t>
                  </w:r>
                </w:p>
              </w:tc>
              <w:tc>
                <w:tcPr>
                  <w:tcW w:w="3111" w:type="dxa"/>
                  <w:vAlign w:val="center"/>
                </w:tcPr>
                <w:p w14:paraId="3DA3818F">
                  <w:pPr>
                    <w:spacing w:line="240" w:lineRule="auto"/>
                    <w:jc w:val="center"/>
                    <w:rPr>
                      <w:kern w:val="0"/>
                      <w:sz w:val="21"/>
                      <w:szCs w:val="21"/>
                      <w:u w:val="single"/>
                    </w:rPr>
                  </w:pPr>
                  <w:r>
                    <w:rPr>
                      <w:kern w:val="0"/>
                      <w:sz w:val="21"/>
                      <w:szCs w:val="21"/>
                      <w:u w:val="single"/>
                    </w:rPr>
                    <w:t>水</w:t>
                  </w:r>
                </w:p>
              </w:tc>
              <w:tc>
                <w:tcPr>
                  <w:tcW w:w="1414" w:type="dxa"/>
                </w:tcPr>
                <w:p w14:paraId="44AE1A60">
                  <w:pPr>
                    <w:spacing w:line="240" w:lineRule="auto"/>
                    <w:jc w:val="center"/>
                    <w:rPr>
                      <w:kern w:val="0"/>
                      <w:sz w:val="21"/>
                      <w:szCs w:val="21"/>
                      <w:u w:val="single"/>
                    </w:rPr>
                  </w:pPr>
                  <w:r>
                    <w:rPr>
                      <w:rFonts w:hint="eastAsia"/>
                      <w:kern w:val="0"/>
                      <w:sz w:val="21"/>
                      <w:szCs w:val="21"/>
                      <w:u w:val="single"/>
                    </w:rPr>
                    <w:t>2</w:t>
                  </w:r>
                  <w:r>
                    <w:rPr>
                      <w:kern w:val="0"/>
                      <w:sz w:val="21"/>
                      <w:szCs w:val="21"/>
                      <w:u w:val="single"/>
                    </w:rPr>
                    <w:t>053.125 m</w:t>
                  </w:r>
                  <w:r>
                    <w:rPr>
                      <w:kern w:val="0"/>
                      <w:sz w:val="21"/>
                      <w:szCs w:val="21"/>
                      <w:u w:val="single"/>
                      <w:vertAlign w:val="superscript"/>
                    </w:rPr>
                    <w:t>3</w:t>
                  </w:r>
                </w:p>
              </w:tc>
              <w:tc>
                <w:tcPr>
                  <w:tcW w:w="1555" w:type="dxa"/>
                </w:tcPr>
                <w:p w14:paraId="66369D07">
                  <w:pPr>
                    <w:spacing w:line="240" w:lineRule="auto"/>
                    <w:jc w:val="center"/>
                    <w:rPr>
                      <w:kern w:val="0"/>
                      <w:sz w:val="21"/>
                      <w:szCs w:val="21"/>
                      <w:u w:val="single"/>
                    </w:rPr>
                  </w:pPr>
                  <w:r>
                    <w:rPr>
                      <w:kern w:val="0"/>
                      <w:sz w:val="21"/>
                      <w:szCs w:val="21"/>
                      <w:u w:val="single"/>
                    </w:rPr>
                    <w:t>1825m</w:t>
                  </w:r>
                  <w:r>
                    <w:rPr>
                      <w:kern w:val="0"/>
                      <w:sz w:val="21"/>
                      <w:szCs w:val="21"/>
                      <w:u w:val="single"/>
                      <w:vertAlign w:val="superscript"/>
                    </w:rPr>
                    <w:t>3</w:t>
                  </w:r>
                </w:p>
              </w:tc>
              <w:tc>
                <w:tcPr>
                  <w:tcW w:w="1539" w:type="dxa"/>
                </w:tcPr>
                <w:p w14:paraId="583312AC">
                  <w:pPr>
                    <w:spacing w:line="240" w:lineRule="auto"/>
                    <w:jc w:val="center"/>
                    <w:rPr>
                      <w:kern w:val="0"/>
                      <w:sz w:val="21"/>
                      <w:szCs w:val="21"/>
                      <w:u w:val="single"/>
                    </w:rPr>
                  </w:pPr>
                  <w:r>
                    <w:rPr>
                      <w:rFonts w:hint="eastAsia"/>
                      <w:kern w:val="0"/>
                      <w:sz w:val="21"/>
                      <w:szCs w:val="21"/>
                      <w:u w:val="single"/>
                    </w:rPr>
                    <w:t>3</w:t>
                  </w:r>
                  <w:r>
                    <w:rPr>
                      <w:kern w:val="0"/>
                      <w:sz w:val="21"/>
                      <w:szCs w:val="21"/>
                      <w:u w:val="single"/>
                    </w:rPr>
                    <w:t>878.125m</w:t>
                  </w:r>
                  <w:r>
                    <w:rPr>
                      <w:kern w:val="0"/>
                      <w:sz w:val="21"/>
                      <w:szCs w:val="21"/>
                      <w:u w:val="single"/>
                      <w:vertAlign w:val="superscript"/>
                    </w:rPr>
                    <w:t>3</w:t>
                  </w:r>
                </w:p>
              </w:tc>
            </w:tr>
            <w:tr w14:paraId="4AD43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0" w:type="dxa"/>
                </w:tcPr>
                <w:p w14:paraId="1838AD53">
                  <w:pPr>
                    <w:spacing w:line="240" w:lineRule="auto"/>
                    <w:jc w:val="center"/>
                    <w:rPr>
                      <w:kern w:val="0"/>
                      <w:sz w:val="21"/>
                      <w:szCs w:val="21"/>
                      <w:u w:val="single"/>
                    </w:rPr>
                  </w:pPr>
                  <w:r>
                    <w:rPr>
                      <w:rFonts w:hint="eastAsia"/>
                      <w:kern w:val="0"/>
                      <w:sz w:val="21"/>
                      <w:szCs w:val="21"/>
                      <w:u w:val="single"/>
                    </w:rPr>
                    <w:t>1</w:t>
                  </w:r>
                  <w:r>
                    <w:rPr>
                      <w:kern w:val="0"/>
                      <w:sz w:val="21"/>
                      <w:szCs w:val="21"/>
                      <w:u w:val="single"/>
                    </w:rPr>
                    <w:t>2</w:t>
                  </w:r>
                </w:p>
              </w:tc>
              <w:tc>
                <w:tcPr>
                  <w:tcW w:w="3111" w:type="dxa"/>
                  <w:vAlign w:val="center"/>
                </w:tcPr>
                <w:p w14:paraId="515E0804">
                  <w:pPr>
                    <w:spacing w:line="240" w:lineRule="auto"/>
                    <w:jc w:val="center"/>
                    <w:rPr>
                      <w:kern w:val="0"/>
                      <w:sz w:val="21"/>
                      <w:szCs w:val="21"/>
                      <w:u w:val="single"/>
                    </w:rPr>
                  </w:pPr>
                  <w:r>
                    <w:rPr>
                      <w:rFonts w:hint="eastAsia"/>
                      <w:kern w:val="0"/>
                      <w:sz w:val="21"/>
                      <w:szCs w:val="21"/>
                      <w:u w:val="single"/>
                    </w:rPr>
                    <w:t>电</w:t>
                  </w:r>
                </w:p>
              </w:tc>
              <w:tc>
                <w:tcPr>
                  <w:tcW w:w="1414" w:type="dxa"/>
                </w:tcPr>
                <w:p w14:paraId="1F666A81">
                  <w:pPr>
                    <w:spacing w:line="240" w:lineRule="auto"/>
                    <w:jc w:val="center"/>
                    <w:rPr>
                      <w:kern w:val="0"/>
                      <w:sz w:val="21"/>
                      <w:szCs w:val="21"/>
                      <w:u w:val="single"/>
                    </w:rPr>
                  </w:pPr>
                  <w:r>
                    <w:rPr>
                      <w:kern w:val="0"/>
                      <w:sz w:val="21"/>
                      <w:szCs w:val="21"/>
                      <w:u w:val="single"/>
                    </w:rPr>
                    <w:t>1</w:t>
                  </w:r>
                  <w:r>
                    <w:rPr>
                      <w:rFonts w:hint="eastAsia"/>
                      <w:kern w:val="0"/>
                      <w:sz w:val="21"/>
                      <w:szCs w:val="21"/>
                      <w:u w:val="single"/>
                    </w:rPr>
                    <w:t>.</w:t>
                  </w:r>
                  <w:r>
                    <w:rPr>
                      <w:kern w:val="0"/>
                      <w:sz w:val="21"/>
                      <w:szCs w:val="21"/>
                      <w:u w:val="single"/>
                    </w:rPr>
                    <w:t>5</w:t>
                  </w:r>
                  <w:r>
                    <w:rPr>
                      <w:rFonts w:hint="eastAsia"/>
                      <w:kern w:val="0"/>
                      <w:sz w:val="21"/>
                      <w:szCs w:val="21"/>
                      <w:u w:val="single"/>
                    </w:rPr>
                    <w:t>万度</w:t>
                  </w:r>
                </w:p>
              </w:tc>
              <w:tc>
                <w:tcPr>
                  <w:tcW w:w="1555" w:type="dxa"/>
                </w:tcPr>
                <w:p w14:paraId="3710A3AA">
                  <w:pPr>
                    <w:spacing w:line="240" w:lineRule="auto"/>
                    <w:jc w:val="center"/>
                    <w:rPr>
                      <w:kern w:val="0"/>
                      <w:sz w:val="21"/>
                      <w:szCs w:val="21"/>
                      <w:u w:val="single"/>
                    </w:rPr>
                  </w:pPr>
                  <w:r>
                    <w:rPr>
                      <w:rFonts w:hint="eastAsia"/>
                      <w:kern w:val="0"/>
                      <w:sz w:val="21"/>
                      <w:szCs w:val="21"/>
                      <w:u w:val="single"/>
                    </w:rPr>
                    <w:t>1</w:t>
                  </w:r>
                  <w:r>
                    <w:rPr>
                      <w:kern w:val="0"/>
                      <w:sz w:val="21"/>
                      <w:szCs w:val="21"/>
                      <w:u w:val="single"/>
                    </w:rPr>
                    <w:t>.4</w:t>
                  </w:r>
                  <w:r>
                    <w:rPr>
                      <w:rFonts w:hint="eastAsia"/>
                      <w:kern w:val="0"/>
                      <w:sz w:val="21"/>
                      <w:szCs w:val="21"/>
                      <w:u w:val="single"/>
                    </w:rPr>
                    <w:t>万度</w:t>
                  </w:r>
                </w:p>
              </w:tc>
              <w:tc>
                <w:tcPr>
                  <w:tcW w:w="1539" w:type="dxa"/>
                </w:tcPr>
                <w:p w14:paraId="14639191">
                  <w:pPr>
                    <w:spacing w:line="240" w:lineRule="auto"/>
                    <w:jc w:val="center"/>
                    <w:rPr>
                      <w:kern w:val="0"/>
                      <w:sz w:val="21"/>
                      <w:szCs w:val="21"/>
                      <w:u w:val="single"/>
                    </w:rPr>
                  </w:pPr>
                  <w:r>
                    <w:rPr>
                      <w:rFonts w:hint="eastAsia"/>
                      <w:kern w:val="0"/>
                      <w:sz w:val="21"/>
                      <w:szCs w:val="21"/>
                      <w:u w:val="single"/>
                    </w:rPr>
                    <w:t>2</w:t>
                  </w:r>
                  <w:r>
                    <w:rPr>
                      <w:kern w:val="0"/>
                      <w:sz w:val="21"/>
                      <w:szCs w:val="21"/>
                      <w:u w:val="single"/>
                    </w:rPr>
                    <w:t>.9</w:t>
                  </w:r>
                  <w:r>
                    <w:rPr>
                      <w:rFonts w:hint="eastAsia"/>
                      <w:kern w:val="0"/>
                      <w:sz w:val="21"/>
                      <w:szCs w:val="21"/>
                      <w:u w:val="single"/>
                    </w:rPr>
                    <w:t>万度</w:t>
                  </w:r>
                </w:p>
              </w:tc>
            </w:tr>
          </w:tbl>
          <w:p w14:paraId="4A0ACBD6">
            <w:pPr>
              <w:ind w:firstLine="480" w:firstLineChars="200"/>
              <w:jc w:val="both"/>
              <w:rPr>
                <w:bCs/>
                <w:szCs w:val="24"/>
              </w:rPr>
            </w:pPr>
            <w:r>
              <w:rPr>
                <w:rFonts w:hint="eastAsia"/>
                <w:bCs/>
                <w:szCs w:val="24"/>
              </w:rPr>
              <w:t>卫生院不提供中药煎煮服务，由医师开出药方后病人带回家中后自行煎煮。</w:t>
            </w:r>
          </w:p>
          <w:p w14:paraId="1B3A9B73">
            <w:pPr>
              <w:jc w:val="both"/>
              <w:rPr>
                <w:b/>
                <w:szCs w:val="24"/>
              </w:rPr>
            </w:pPr>
            <w:r>
              <w:rPr>
                <w:rFonts w:hint="eastAsia"/>
                <w:b/>
                <w:szCs w:val="24"/>
              </w:rPr>
              <w:t>6、劳动定员及工作制度</w:t>
            </w:r>
          </w:p>
          <w:p w14:paraId="326A41ED">
            <w:pPr>
              <w:ind w:firstLine="480"/>
            </w:pPr>
            <w:r>
              <w:rPr>
                <w:rFonts w:hint="eastAsia"/>
              </w:rPr>
              <w:t>本次改扩建不新增劳动定员，现有劳动定员25人，采用3班制，每班8h工作制，年工作365天，提供食宿。</w:t>
            </w:r>
          </w:p>
          <w:p w14:paraId="316FEEF3">
            <w:pPr>
              <w:jc w:val="both"/>
              <w:rPr>
                <w:b/>
                <w:szCs w:val="24"/>
              </w:rPr>
            </w:pPr>
            <w:r>
              <w:rPr>
                <w:rFonts w:hint="eastAsia"/>
                <w:b/>
                <w:szCs w:val="24"/>
              </w:rPr>
              <w:t>7、公共工程</w:t>
            </w:r>
          </w:p>
          <w:p w14:paraId="2E2EAF8E">
            <w:pPr>
              <w:ind w:firstLine="480" w:firstLineChars="200"/>
              <w:rPr>
                <w:u w:val="single"/>
              </w:rPr>
            </w:pPr>
            <w:r>
              <w:rPr>
                <w:rFonts w:hint="eastAsia"/>
                <w:u w:val="single"/>
              </w:rPr>
              <w:t>（1）给水</w:t>
            </w:r>
          </w:p>
          <w:p w14:paraId="501194CE">
            <w:pPr>
              <w:ind w:firstLine="480" w:firstLineChars="200"/>
              <w:rPr>
                <w:u w:val="single"/>
              </w:rPr>
            </w:pPr>
            <w:r>
              <w:rPr>
                <w:rFonts w:hint="eastAsia"/>
                <w:u w:val="single"/>
              </w:rPr>
              <w:t>根据业主介绍影像科拍片不采用传统的洗片模式，采用数字化摄影系统，无需定显影，不存在含银废水。 检验科日常采样所用的针管、试管等均为一次性，一次检验完成后就作为医疗废物废弃，无需对采样试管等进行清洗。 而且检验科完全采用商品试剂及电子仪器设备代替人工分析检验，所有待检样品均通过仪器加入商品检验试剂后进行分析，不使用含汞、铬、砷、铅、镍等第一类污染物的药品。</w:t>
            </w:r>
          </w:p>
          <w:p w14:paraId="4D8681D8">
            <w:pPr>
              <w:ind w:firstLine="480" w:firstLineChars="200"/>
              <w:rPr>
                <w:u w:val="single"/>
              </w:rPr>
            </w:pPr>
            <w:r>
              <w:rPr>
                <w:rFonts w:hint="eastAsia"/>
                <w:u w:val="single"/>
              </w:rPr>
              <w:t>项目以乡镇自来水作为供给水源，由乡镇供水管网供给。根据《湖南省用水定额》（DB43/T388-2020）、《建筑给水排水设计规范》（GB50015-2019），项目用水情况如下：</w:t>
            </w:r>
          </w:p>
          <w:p w14:paraId="3C302199">
            <w:pPr>
              <w:jc w:val="center"/>
              <w:rPr>
                <w:b/>
                <w:bCs/>
                <w:u w:val="single"/>
              </w:rPr>
            </w:pPr>
            <w:r>
              <w:rPr>
                <w:rFonts w:hint="eastAsia"/>
                <w:b/>
                <w:bCs/>
                <w:u w:val="single"/>
              </w:rPr>
              <w:t>表2</w:t>
            </w:r>
            <w:r>
              <w:rPr>
                <w:b/>
                <w:bCs/>
                <w:u w:val="single"/>
              </w:rPr>
              <w:t xml:space="preserve">-4 </w:t>
            </w:r>
            <w:r>
              <w:rPr>
                <w:rFonts w:hint="eastAsia"/>
                <w:b/>
                <w:bCs/>
                <w:u w:val="single"/>
              </w:rPr>
              <w:t>项目用水量一览表</w:t>
            </w:r>
          </w:p>
          <w:tbl>
            <w:tblPr>
              <w:tblStyle w:val="1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2078"/>
              <w:gridCol w:w="2077"/>
              <w:gridCol w:w="2083"/>
            </w:tblGrid>
            <w:tr w14:paraId="51BA8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6" w:type="dxa"/>
                </w:tcPr>
                <w:p w14:paraId="1D85B42A">
                  <w:pPr>
                    <w:spacing w:line="240" w:lineRule="auto"/>
                    <w:jc w:val="center"/>
                    <w:rPr>
                      <w:kern w:val="0"/>
                      <w:sz w:val="21"/>
                      <w:szCs w:val="21"/>
                      <w:u w:val="single"/>
                    </w:rPr>
                  </w:pPr>
                  <w:r>
                    <w:rPr>
                      <w:rFonts w:hint="eastAsia"/>
                      <w:kern w:val="0"/>
                      <w:sz w:val="21"/>
                      <w:szCs w:val="21"/>
                      <w:u w:val="single"/>
                    </w:rPr>
                    <w:t>项目</w:t>
                  </w:r>
                </w:p>
              </w:tc>
              <w:tc>
                <w:tcPr>
                  <w:tcW w:w="2078" w:type="dxa"/>
                </w:tcPr>
                <w:p w14:paraId="2D5D70F9">
                  <w:pPr>
                    <w:spacing w:line="240" w:lineRule="auto"/>
                    <w:jc w:val="center"/>
                    <w:rPr>
                      <w:kern w:val="0"/>
                      <w:sz w:val="21"/>
                      <w:szCs w:val="21"/>
                      <w:u w:val="single"/>
                    </w:rPr>
                  </w:pPr>
                  <w:r>
                    <w:rPr>
                      <w:rFonts w:hint="eastAsia"/>
                      <w:kern w:val="0"/>
                      <w:sz w:val="21"/>
                      <w:szCs w:val="21"/>
                      <w:u w:val="single"/>
                    </w:rPr>
                    <w:t>用水标准</w:t>
                  </w:r>
                </w:p>
              </w:tc>
              <w:tc>
                <w:tcPr>
                  <w:tcW w:w="2077" w:type="dxa"/>
                </w:tcPr>
                <w:p w14:paraId="74C3BF65">
                  <w:pPr>
                    <w:spacing w:line="240" w:lineRule="auto"/>
                    <w:jc w:val="center"/>
                    <w:rPr>
                      <w:kern w:val="0"/>
                      <w:sz w:val="21"/>
                      <w:szCs w:val="21"/>
                      <w:u w:val="single"/>
                    </w:rPr>
                  </w:pPr>
                  <w:r>
                    <w:rPr>
                      <w:rFonts w:hint="eastAsia"/>
                      <w:kern w:val="0"/>
                      <w:sz w:val="21"/>
                      <w:szCs w:val="21"/>
                      <w:u w:val="single"/>
                    </w:rPr>
                    <w:t>数量</w:t>
                  </w:r>
                </w:p>
              </w:tc>
              <w:tc>
                <w:tcPr>
                  <w:tcW w:w="2083" w:type="dxa"/>
                </w:tcPr>
                <w:p w14:paraId="149275B6">
                  <w:pPr>
                    <w:spacing w:line="240" w:lineRule="auto"/>
                    <w:jc w:val="center"/>
                    <w:rPr>
                      <w:kern w:val="0"/>
                      <w:sz w:val="21"/>
                      <w:szCs w:val="21"/>
                      <w:u w:val="single"/>
                    </w:rPr>
                  </w:pPr>
                  <w:r>
                    <w:rPr>
                      <w:rFonts w:hint="eastAsia"/>
                      <w:kern w:val="0"/>
                      <w:sz w:val="21"/>
                      <w:szCs w:val="21"/>
                      <w:u w:val="single"/>
                    </w:rPr>
                    <w:t>用水量（m</w:t>
                  </w:r>
                  <w:r>
                    <w:rPr>
                      <w:kern w:val="0"/>
                      <w:sz w:val="21"/>
                      <w:szCs w:val="21"/>
                      <w:u w:val="single"/>
                      <w:vertAlign w:val="superscript"/>
                    </w:rPr>
                    <w:t>3</w:t>
                  </w:r>
                  <w:r>
                    <w:rPr>
                      <w:kern w:val="0"/>
                      <w:sz w:val="21"/>
                      <w:szCs w:val="21"/>
                      <w:u w:val="single"/>
                    </w:rPr>
                    <w:t>/d</w:t>
                  </w:r>
                  <w:r>
                    <w:rPr>
                      <w:rFonts w:hint="eastAsia"/>
                      <w:kern w:val="0"/>
                      <w:sz w:val="21"/>
                      <w:szCs w:val="21"/>
                      <w:u w:val="single"/>
                    </w:rPr>
                    <w:t>）</w:t>
                  </w:r>
                </w:p>
              </w:tc>
            </w:tr>
            <w:tr w14:paraId="24129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6" w:type="dxa"/>
                </w:tcPr>
                <w:p w14:paraId="7D2E4629">
                  <w:pPr>
                    <w:spacing w:line="240" w:lineRule="auto"/>
                    <w:jc w:val="center"/>
                    <w:rPr>
                      <w:kern w:val="0"/>
                      <w:sz w:val="21"/>
                      <w:szCs w:val="21"/>
                      <w:u w:val="single"/>
                    </w:rPr>
                  </w:pPr>
                  <w:r>
                    <w:rPr>
                      <w:rFonts w:hint="eastAsia"/>
                      <w:kern w:val="0"/>
                      <w:sz w:val="21"/>
                      <w:szCs w:val="21"/>
                      <w:u w:val="single"/>
                    </w:rPr>
                    <w:t>门诊病人</w:t>
                  </w:r>
                </w:p>
              </w:tc>
              <w:tc>
                <w:tcPr>
                  <w:tcW w:w="2078" w:type="dxa"/>
                </w:tcPr>
                <w:p w14:paraId="73467F2A">
                  <w:pPr>
                    <w:spacing w:line="240" w:lineRule="auto"/>
                    <w:jc w:val="center"/>
                    <w:rPr>
                      <w:kern w:val="0"/>
                      <w:sz w:val="21"/>
                      <w:szCs w:val="21"/>
                      <w:u w:val="single"/>
                    </w:rPr>
                  </w:pPr>
                  <w:r>
                    <w:rPr>
                      <w:rFonts w:hint="eastAsia"/>
                      <w:kern w:val="0"/>
                      <w:sz w:val="21"/>
                      <w:szCs w:val="21"/>
                      <w:u w:val="single"/>
                    </w:rPr>
                    <w:t>1</w:t>
                  </w:r>
                  <w:r>
                    <w:rPr>
                      <w:kern w:val="0"/>
                      <w:sz w:val="21"/>
                      <w:szCs w:val="21"/>
                      <w:u w:val="single"/>
                    </w:rPr>
                    <w:t>5L</w:t>
                  </w:r>
                  <w:r>
                    <w:rPr>
                      <w:rFonts w:hint="eastAsia"/>
                      <w:kern w:val="0"/>
                      <w:sz w:val="21"/>
                      <w:szCs w:val="21"/>
                      <w:u w:val="single"/>
                    </w:rPr>
                    <w:t>/人.次</w:t>
                  </w:r>
                </w:p>
              </w:tc>
              <w:tc>
                <w:tcPr>
                  <w:tcW w:w="2077" w:type="dxa"/>
                </w:tcPr>
                <w:p w14:paraId="72895A3A">
                  <w:pPr>
                    <w:spacing w:line="240" w:lineRule="auto"/>
                    <w:jc w:val="center"/>
                    <w:rPr>
                      <w:kern w:val="0"/>
                      <w:sz w:val="21"/>
                      <w:szCs w:val="21"/>
                      <w:u w:val="single"/>
                    </w:rPr>
                  </w:pPr>
                  <w:r>
                    <w:rPr>
                      <w:kern w:val="0"/>
                      <w:sz w:val="21"/>
                      <w:szCs w:val="21"/>
                      <w:u w:val="single"/>
                    </w:rPr>
                    <w:t>125</w:t>
                  </w:r>
                  <w:r>
                    <w:rPr>
                      <w:rFonts w:hint="eastAsia"/>
                      <w:kern w:val="0"/>
                      <w:sz w:val="21"/>
                      <w:szCs w:val="21"/>
                      <w:u w:val="single"/>
                    </w:rPr>
                    <w:t>人</w:t>
                  </w:r>
                </w:p>
              </w:tc>
              <w:tc>
                <w:tcPr>
                  <w:tcW w:w="2083" w:type="dxa"/>
                  <w:vAlign w:val="center"/>
                </w:tcPr>
                <w:p w14:paraId="1A575989">
                  <w:pPr>
                    <w:spacing w:line="240" w:lineRule="auto"/>
                    <w:jc w:val="center"/>
                    <w:rPr>
                      <w:kern w:val="0"/>
                      <w:sz w:val="21"/>
                      <w:szCs w:val="21"/>
                      <w:u w:val="single"/>
                    </w:rPr>
                  </w:pPr>
                  <w:r>
                    <w:rPr>
                      <w:rFonts w:hint="eastAsia"/>
                      <w:color w:val="000000"/>
                      <w:kern w:val="0"/>
                      <w:sz w:val="22"/>
                      <w:szCs w:val="20"/>
                      <w:u w:val="single"/>
                    </w:rPr>
                    <w:t>1.875</w:t>
                  </w:r>
                </w:p>
              </w:tc>
            </w:tr>
            <w:tr w14:paraId="50889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6" w:type="dxa"/>
                </w:tcPr>
                <w:p w14:paraId="783746EB">
                  <w:pPr>
                    <w:spacing w:line="240" w:lineRule="auto"/>
                    <w:jc w:val="center"/>
                    <w:rPr>
                      <w:kern w:val="0"/>
                      <w:sz w:val="21"/>
                      <w:szCs w:val="21"/>
                      <w:u w:val="single"/>
                    </w:rPr>
                  </w:pPr>
                  <w:r>
                    <w:rPr>
                      <w:rFonts w:hint="eastAsia"/>
                      <w:kern w:val="0"/>
                      <w:sz w:val="21"/>
                      <w:szCs w:val="21"/>
                      <w:u w:val="single"/>
                    </w:rPr>
                    <w:t>住院病人</w:t>
                  </w:r>
                </w:p>
              </w:tc>
              <w:tc>
                <w:tcPr>
                  <w:tcW w:w="2078" w:type="dxa"/>
                </w:tcPr>
                <w:p w14:paraId="7BA88B7F">
                  <w:pPr>
                    <w:spacing w:line="240" w:lineRule="auto"/>
                    <w:jc w:val="center"/>
                    <w:rPr>
                      <w:kern w:val="0"/>
                      <w:sz w:val="21"/>
                      <w:szCs w:val="21"/>
                      <w:u w:val="single"/>
                    </w:rPr>
                  </w:pPr>
                  <w:r>
                    <w:rPr>
                      <w:rFonts w:hint="eastAsia"/>
                      <w:kern w:val="0"/>
                      <w:sz w:val="21"/>
                      <w:szCs w:val="21"/>
                      <w:u w:val="single"/>
                    </w:rPr>
                    <w:t>25</w:t>
                  </w:r>
                  <w:r>
                    <w:rPr>
                      <w:kern w:val="0"/>
                      <w:sz w:val="21"/>
                      <w:szCs w:val="21"/>
                      <w:u w:val="single"/>
                    </w:rPr>
                    <w:t>0L</w:t>
                  </w:r>
                  <w:r>
                    <w:rPr>
                      <w:rFonts w:hint="eastAsia"/>
                      <w:kern w:val="0"/>
                      <w:sz w:val="21"/>
                      <w:szCs w:val="21"/>
                      <w:u w:val="single"/>
                    </w:rPr>
                    <w:t>/床.次</w:t>
                  </w:r>
                </w:p>
              </w:tc>
              <w:tc>
                <w:tcPr>
                  <w:tcW w:w="2077" w:type="dxa"/>
                </w:tcPr>
                <w:p w14:paraId="0BFC7728">
                  <w:pPr>
                    <w:spacing w:line="240" w:lineRule="auto"/>
                    <w:jc w:val="center"/>
                    <w:rPr>
                      <w:kern w:val="0"/>
                      <w:sz w:val="21"/>
                      <w:szCs w:val="21"/>
                      <w:u w:val="single"/>
                    </w:rPr>
                  </w:pPr>
                  <w:r>
                    <w:rPr>
                      <w:kern w:val="0"/>
                      <w:sz w:val="21"/>
                      <w:szCs w:val="21"/>
                      <w:u w:val="single"/>
                    </w:rPr>
                    <w:t>25</w:t>
                  </w:r>
                  <w:r>
                    <w:rPr>
                      <w:rFonts w:hint="eastAsia"/>
                      <w:kern w:val="0"/>
                      <w:sz w:val="21"/>
                      <w:szCs w:val="21"/>
                      <w:u w:val="single"/>
                    </w:rPr>
                    <w:t>人</w:t>
                  </w:r>
                </w:p>
              </w:tc>
              <w:tc>
                <w:tcPr>
                  <w:tcW w:w="2083" w:type="dxa"/>
                  <w:vAlign w:val="center"/>
                </w:tcPr>
                <w:p w14:paraId="6F740249">
                  <w:pPr>
                    <w:spacing w:line="240" w:lineRule="auto"/>
                    <w:jc w:val="center"/>
                    <w:rPr>
                      <w:kern w:val="0"/>
                      <w:sz w:val="21"/>
                      <w:szCs w:val="21"/>
                      <w:u w:val="single"/>
                    </w:rPr>
                  </w:pPr>
                  <w:r>
                    <w:rPr>
                      <w:rFonts w:hint="eastAsia"/>
                      <w:color w:val="000000"/>
                      <w:kern w:val="0"/>
                      <w:sz w:val="22"/>
                      <w:szCs w:val="20"/>
                      <w:u w:val="single"/>
                    </w:rPr>
                    <w:t>6.25</w:t>
                  </w:r>
                </w:p>
              </w:tc>
            </w:tr>
            <w:tr w14:paraId="1107A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6" w:type="dxa"/>
                </w:tcPr>
                <w:p w14:paraId="226F968B">
                  <w:pPr>
                    <w:spacing w:line="240" w:lineRule="auto"/>
                    <w:jc w:val="center"/>
                    <w:rPr>
                      <w:kern w:val="0"/>
                      <w:sz w:val="21"/>
                      <w:szCs w:val="21"/>
                      <w:u w:val="single"/>
                    </w:rPr>
                  </w:pPr>
                  <w:r>
                    <w:rPr>
                      <w:rFonts w:hint="eastAsia"/>
                      <w:kern w:val="0"/>
                      <w:sz w:val="21"/>
                      <w:szCs w:val="21"/>
                      <w:u w:val="single"/>
                    </w:rPr>
                    <w:t>医护人员</w:t>
                  </w:r>
                </w:p>
              </w:tc>
              <w:tc>
                <w:tcPr>
                  <w:tcW w:w="2078" w:type="dxa"/>
                </w:tcPr>
                <w:p w14:paraId="2DEF25F8">
                  <w:pPr>
                    <w:spacing w:line="240" w:lineRule="auto"/>
                    <w:jc w:val="center"/>
                    <w:rPr>
                      <w:kern w:val="0"/>
                      <w:sz w:val="21"/>
                      <w:szCs w:val="21"/>
                      <w:u w:val="single"/>
                    </w:rPr>
                  </w:pPr>
                  <w:r>
                    <w:rPr>
                      <w:rFonts w:hint="eastAsia"/>
                      <w:kern w:val="0"/>
                      <w:sz w:val="21"/>
                      <w:szCs w:val="21"/>
                      <w:u w:val="single"/>
                    </w:rPr>
                    <w:t>10</w:t>
                  </w:r>
                  <w:r>
                    <w:rPr>
                      <w:kern w:val="0"/>
                      <w:sz w:val="21"/>
                      <w:szCs w:val="21"/>
                      <w:u w:val="single"/>
                    </w:rPr>
                    <w:t>0L</w:t>
                  </w:r>
                  <w:r>
                    <w:rPr>
                      <w:rFonts w:hint="eastAsia"/>
                      <w:kern w:val="0"/>
                      <w:sz w:val="21"/>
                      <w:szCs w:val="21"/>
                      <w:u w:val="single"/>
                    </w:rPr>
                    <w:t>/人.日</w:t>
                  </w:r>
                </w:p>
              </w:tc>
              <w:tc>
                <w:tcPr>
                  <w:tcW w:w="2077" w:type="dxa"/>
                </w:tcPr>
                <w:p w14:paraId="4A905BE8">
                  <w:pPr>
                    <w:spacing w:line="240" w:lineRule="auto"/>
                    <w:jc w:val="center"/>
                    <w:rPr>
                      <w:kern w:val="0"/>
                      <w:sz w:val="21"/>
                      <w:szCs w:val="21"/>
                      <w:u w:val="single"/>
                    </w:rPr>
                  </w:pPr>
                  <w:r>
                    <w:rPr>
                      <w:kern w:val="0"/>
                      <w:sz w:val="21"/>
                      <w:szCs w:val="21"/>
                      <w:u w:val="single"/>
                    </w:rPr>
                    <w:t>25</w:t>
                  </w:r>
                  <w:r>
                    <w:rPr>
                      <w:rFonts w:hint="eastAsia"/>
                      <w:kern w:val="0"/>
                      <w:sz w:val="21"/>
                      <w:szCs w:val="21"/>
                      <w:u w:val="single"/>
                    </w:rPr>
                    <w:t>人</w:t>
                  </w:r>
                </w:p>
              </w:tc>
              <w:tc>
                <w:tcPr>
                  <w:tcW w:w="2083" w:type="dxa"/>
                  <w:vAlign w:val="center"/>
                </w:tcPr>
                <w:p w14:paraId="1F22B1B1">
                  <w:pPr>
                    <w:spacing w:line="240" w:lineRule="auto"/>
                    <w:jc w:val="center"/>
                    <w:rPr>
                      <w:kern w:val="0"/>
                      <w:sz w:val="21"/>
                      <w:szCs w:val="21"/>
                      <w:u w:val="single"/>
                    </w:rPr>
                  </w:pPr>
                  <w:r>
                    <w:rPr>
                      <w:rFonts w:hint="eastAsia"/>
                      <w:color w:val="000000"/>
                      <w:kern w:val="0"/>
                      <w:sz w:val="22"/>
                      <w:szCs w:val="20"/>
                      <w:u w:val="single"/>
                    </w:rPr>
                    <w:t>2.5</w:t>
                  </w:r>
                </w:p>
              </w:tc>
            </w:tr>
            <w:tr w14:paraId="2EFE6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31" w:type="dxa"/>
                  <w:gridSpan w:val="3"/>
                </w:tcPr>
                <w:p w14:paraId="6DC6988B">
                  <w:pPr>
                    <w:spacing w:line="240" w:lineRule="auto"/>
                    <w:jc w:val="center"/>
                    <w:rPr>
                      <w:kern w:val="0"/>
                      <w:sz w:val="21"/>
                      <w:szCs w:val="21"/>
                      <w:u w:val="single"/>
                    </w:rPr>
                  </w:pPr>
                  <w:r>
                    <w:rPr>
                      <w:rFonts w:hint="eastAsia"/>
                      <w:kern w:val="0"/>
                      <w:sz w:val="21"/>
                      <w:szCs w:val="21"/>
                      <w:u w:val="single"/>
                    </w:rPr>
                    <w:t>合计</w:t>
                  </w:r>
                </w:p>
              </w:tc>
              <w:tc>
                <w:tcPr>
                  <w:tcW w:w="2083" w:type="dxa"/>
                </w:tcPr>
                <w:p w14:paraId="76D6F192">
                  <w:pPr>
                    <w:spacing w:line="240" w:lineRule="auto"/>
                    <w:jc w:val="center"/>
                    <w:rPr>
                      <w:kern w:val="0"/>
                      <w:sz w:val="21"/>
                      <w:szCs w:val="21"/>
                      <w:u w:val="single"/>
                    </w:rPr>
                  </w:pPr>
                  <w:r>
                    <w:rPr>
                      <w:kern w:val="0"/>
                      <w:sz w:val="21"/>
                      <w:szCs w:val="21"/>
                      <w:u w:val="single"/>
                    </w:rPr>
                    <w:t>10.625</w:t>
                  </w:r>
                </w:p>
              </w:tc>
            </w:tr>
          </w:tbl>
          <w:p w14:paraId="720BCFF1">
            <w:pPr>
              <w:ind w:firstLine="480"/>
              <w:rPr>
                <w:u w:val="single"/>
              </w:rPr>
            </w:pPr>
            <w:r>
              <w:rPr>
                <w:rFonts w:hint="eastAsia"/>
                <w:u w:val="single"/>
              </w:rPr>
              <w:t>注释：根据数据统计，卫生院可实现接诊1</w:t>
            </w:r>
            <w:r>
              <w:rPr>
                <w:u w:val="single"/>
              </w:rPr>
              <w:t>25</w:t>
            </w:r>
            <w:r>
              <w:rPr>
                <w:rFonts w:hint="eastAsia"/>
                <w:u w:val="single"/>
              </w:rPr>
              <w:t>人.次/天</w:t>
            </w:r>
          </w:p>
          <w:p w14:paraId="4A353375">
            <w:pPr>
              <w:ind w:firstLine="480"/>
              <w:rPr>
                <w:u w:val="single"/>
              </w:rPr>
            </w:pPr>
            <w:r>
              <w:rPr>
                <w:rFonts w:hint="eastAsia"/>
                <w:u w:val="single"/>
              </w:rPr>
              <w:t>（2）排水</w:t>
            </w:r>
          </w:p>
          <w:p w14:paraId="7603E059">
            <w:pPr>
              <w:ind w:firstLine="480"/>
              <w:rPr>
                <w:u w:val="single"/>
              </w:rPr>
            </w:pPr>
            <w:r>
              <w:rPr>
                <w:rFonts w:hint="eastAsia"/>
                <w:u w:val="single"/>
              </w:rPr>
              <w:t>根据现有实际情况，目前医院内雨污分流。项目废水排放量按照用水量的 80%计算，排放量为</w:t>
            </w:r>
            <w:r>
              <w:rPr>
                <w:u w:val="single"/>
              </w:rPr>
              <w:t>8.5</w:t>
            </w:r>
            <w:r>
              <w:rPr>
                <w:rFonts w:hint="eastAsia"/>
                <w:u w:val="single"/>
              </w:rPr>
              <w:t>m³/d，</w:t>
            </w:r>
            <w:r>
              <w:rPr>
                <w:u w:val="single"/>
              </w:rPr>
              <w:t>3102.5</w:t>
            </w:r>
            <w:r>
              <w:rPr>
                <w:rFonts w:hint="eastAsia"/>
                <w:u w:val="single"/>
              </w:rPr>
              <w:t>m³/a。</w:t>
            </w:r>
          </w:p>
          <w:p w14:paraId="0DC2B62A">
            <w:pPr>
              <w:ind w:firstLine="480" w:firstLineChars="200"/>
              <w:rPr>
                <w:snapToGrid w:val="0"/>
                <w:kern w:val="0"/>
                <w:szCs w:val="24"/>
                <w:u w:val="single"/>
                <w:lang w:bidi="zh-CN"/>
              </w:rPr>
            </w:pPr>
            <w:r>
              <w:rPr>
                <w:rFonts w:hint="eastAsia"/>
                <w:snapToGrid w:val="0"/>
                <w:kern w:val="0"/>
                <w:szCs w:val="24"/>
                <w:u w:val="single"/>
                <w:lang w:bidi="zh-CN"/>
              </w:rPr>
              <w:t>根据《</w:t>
            </w:r>
            <w:bookmarkStart w:id="44" w:name="OLE_LINK7"/>
            <w:r>
              <w:rPr>
                <w:rFonts w:hint="eastAsia"/>
                <w:snapToGrid w:val="0"/>
                <w:kern w:val="0"/>
                <w:szCs w:val="24"/>
                <w:u w:val="single"/>
                <w:lang w:bidi="zh-CN"/>
              </w:rPr>
              <w:t>排污许可证申请与核发技术规范医疗机构</w:t>
            </w:r>
            <w:bookmarkEnd w:id="44"/>
            <w:r>
              <w:rPr>
                <w:rFonts w:hint="eastAsia"/>
                <w:snapToGrid w:val="0"/>
                <w:kern w:val="0"/>
                <w:szCs w:val="24"/>
                <w:u w:val="single"/>
                <w:lang w:bidi="zh-CN"/>
              </w:rPr>
              <w:t>》（HJ 1105-2020）的解释，医疗污水指：“指医疗机构门诊、病房、手术室、检验室、病理解剖室、放射室等从事诊疗活动的各科室，以及洗衣房、太平间、消毒供应中心、医疗废物暂存间等处排出的诊疗、生活及粪便污水。当医疗机构其他污水与上述污水混合排出时一律视为医疗污水”。故卫生院生活废水和医疗污水混合排放的统一视为医疗污水；同时根据《排污许可证申请与核发技术规范医疗机构》（HJ 1105-2020）的解释本卫生院不涉及</w:t>
            </w:r>
            <w:bookmarkStart w:id="45" w:name="OLE_LINK12"/>
            <w:r>
              <w:rPr>
                <w:rFonts w:hint="eastAsia"/>
                <w:snapToGrid w:val="0"/>
                <w:kern w:val="0"/>
                <w:szCs w:val="24"/>
                <w:u w:val="single"/>
                <w:lang w:bidi="zh-CN"/>
              </w:rPr>
              <w:t>特殊医疗污水产生和排放</w:t>
            </w:r>
            <w:bookmarkEnd w:id="45"/>
            <w:r>
              <w:rPr>
                <w:rFonts w:hint="eastAsia"/>
                <w:snapToGrid w:val="0"/>
                <w:kern w:val="0"/>
                <w:szCs w:val="24"/>
                <w:u w:val="single"/>
                <w:lang w:bidi="zh-CN"/>
              </w:rPr>
              <w:t>。</w:t>
            </w:r>
          </w:p>
          <w:p w14:paraId="01D3183E">
            <w:pPr>
              <w:ind w:firstLine="480"/>
              <w:rPr>
                <w:u w:val="single"/>
              </w:rPr>
            </w:pPr>
            <w:r>
              <w:rPr>
                <w:rFonts w:hint="eastAsia"/>
                <w:u w:val="single"/>
              </w:rPr>
              <w:t>项目计划建设1套地埋式污水处理站，规模为15m³/d。项目医疗废水经过自建污水系统（隔油池+化粪池+沉淀+消毒工艺）处理满足《医疗机构水污染物排放标准》（GB18466-2005）表2中的预处理标准后排入茶林镇污水处理厂处理达到《城镇污水处理厂污染物排放标准》中表1一级A标准后排入小河江。</w:t>
            </w:r>
          </w:p>
          <w:p w14:paraId="1A55B1BB">
            <w:pPr>
              <w:rPr>
                <w:u w:val="single"/>
              </w:rPr>
            </w:pPr>
            <w:r>
              <w:rPr>
                <w:u w:val="single"/>
              </w:rPr>
              <w:object>
                <v:shape id="_x0000_i1025" o:spt="75" type="#_x0000_t75" style="height:147.75pt;width:425.2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14:paraId="6490170B">
            <w:pPr>
              <w:jc w:val="center"/>
              <w:rPr>
                <w:b/>
                <w:bCs/>
                <w:u w:val="single"/>
              </w:rPr>
            </w:pPr>
            <w:r>
              <w:rPr>
                <w:rFonts w:hint="eastAsia"/>
                <w:b/>
                <w:bCs/>
                <w:u w:val="single"/>
              </w:rPr>
              <w:t>图2</w:t>
            </w:r>
            <w:r>
              <w:rPr>
                <w:b/>
                <w:bCs/>
                <w:u w:val="single"/>
              </w:rPr>
              <w:t xml:space="preserve">-1 </w:t>
            </w:r>
            <w:r>
              <w:rPr>
                <w:rFonts w:hint="eastAsia"/>
                <w:b/>
                <w:bCs/>
                <w:u w:val="single"/>
              </w:rPr>
              <w:t>项目水平衡图</w:t>
            </w:r>
          </w:p>
          <w:p w14:paraId="06D0F61D">
            <w:pPr>
              <w:ind w:firstLine="480"/>
            </w:pPr>
            <w:r>
              <w:rPr>
                <w:rFonts w:hint="eastAsia"/>
              </w:rPr>
              <w:t>（3）供电</w:t>
            </w:r>
          </w:p>
          <w:p w14:paraId="197E6658">
            <w:pPr>
              <w:ind w:firstLine="480"/>
            </w:pPr>
            <w:r>
              <w:rPr>
                <w:rFonts w:hint="eastAsia"/>
              </w:rPr>
              <w:t>项目供电依托乡镇供电系统，供电可满足要求。</w:t>
            </w:r>
          </w:p>
        </w:tc>
      </w:tr>
      <w:tr w14:paraId="63E2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4791BEB2">
            <w:pPr>
              <w:spacing w:line="240" w:lineRule="auto"/>
              <w:jc w:val="center"/>
              <w:rPr>
                <w:rFonts w:hint="eastAsia"/>
                <w:kern w:val="0"/>
                <w:szCs w:val="24"/>
              </w:rPr>
            </w:pPr>
            <w:r>
              <w:rPr>
                <w:rFonts w:hint="eastAsia"/>
                <w:kern w:val="0"/>
                <w:szCs w:val="24"/>
              </w:rPr>
              <w:t>艺流程和产排污环节</w:t>
            </w:r>
          </w:p>
        </w:tc>
        <w:tc>
          <w:tcPr>
            <w:tcW w:w="8565" w:type="dxa"/>
          </w:tcPr>
          <w:p w14:paraId="3096DE42">
            <w:pPr>
              <w:jc w:val="both"/>
              <w:rPr>
                <w:rFonts w:hint="eastAsia"/>
                <w:b/>
                <w:szCs w:val="24"/>
              </w:rPr>
            </w:pPr>
            <w:r>
              <w:rPr>
                <w:rFonts w:hint="eastAsia"/>
                <w:b/>
                <w:szCs w:val="24"/>
              </w:rPr>
              <w:t>1、施工期工艺流程</w:t>
            </w:r>
          </w:p>
          <w:p w14:paraId="5B6D4550">
            <w:pPr>
              <w:ind w:firstLine="480"/>
            </w:pPr>
            <w:r>
              <w:rPr>
                <w:rFonts w:hint="eastAsia"/>
              </w:rPr>
              <w:t>本项目拟在卫生院现有空地进行建设，施工过程以机械施工为主，大致分为基础施工、主体施工、装修，不同阶段所采用的设备有所不同，项目建设地内不建设大型的原料场，只设置小面积的临时原料堆场。施工期工艺流程及产污环节见图2-2：</w:t>
            </w:r>
          </w:p>
          <w:p w14:paraId="58F19980">
            <w:r>
              <w:drawing>
                <wp:inline distT="0" distB="0" distL="0" distR="0">
                  <wp:extent cx="5264785" cy="2533650"/>
                  <wp:effectExtent l="0" t="0" r="0" b="0"/>
                  <wp:docPr id="2184310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31022"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89250" cy="2545296"/>
                          </a:xfrm>
                          <a:prstGeom prst="rect">
                            <a:avLst/>
                          </a:prstGeom>
                          <a:noFill/>
                          <a:ln>
                            <a:noFill/>
                          </a:ln>
                        </pic:spPr>
                      </pic:pic>
                    </a:graphicData>
                  </a:graphic>
                </wp:inline>
              </w:drawing>
            </w:r>
          </w:p>
          <w:p w14:paraId="479A99E4">
            <w:pPr>
              <w:jc w:val="center"/>
              <w:rPr>
                <w:b/>
              </w:rPr>
            </w:pPr>
            <w:r>
              <w:rPr>
                <w:rFonts w:hint="eastAsia"/>
                <w:b/>
              </w:rPr>
              <w:t>图2</w:t>
            </w:r>
            <w:r>
              <w:rPr>
                <w:b/>
              </w:rPr>
              <w:t xml:space="preserve">-2 </w:t>
            </w:r>
            <w:r>
              <w:rPr>
                <w:rFonts w:hint="eastAsia"/>
                <w:b/>
              </w:rPr>
              <w:t>建设项目施工期建设工艺流程及产污环节示意图</w:t>
            </w:r>
          </w:p>
          <w:p w14:paraId="5897FFDA">
            <w:pPr>
              <w:rPr>
                <w:b/>
              </w:rPr>
            </w:pPr>
            <w:r>
              <w:rPr>
                <w:b/>
              </w:rPr>
              <w:t>2</w:t>
            </w:r>
            <w:r>
              <w:rPr>
                <w:rFonts w:hint="eastAsia"/>
                <w:b/>
              </w:rPr>
              <w:t>、运营期工艺流程及产污节点</w:t>
            </w:r>
          </w:p>
          <w:p w14:paraId="5A3F299B">
            <w:pPr>
              <w:rPr>
                <w:bCs/>
              </w:rPr>
            </w:pPr>
            <w:r>
              <w:drawing>
                <wp:inline distT="0" distB="0" distL="0" distR="0">
                  <wp:extent cx="5267325" cy="3022600"/>
                  <wp:effectExtent l="0" t="0" r="0" b="6350"/>
                  <wp:docPr id="13611099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0994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2745" cy="3026009"/>
                          </a:xfrm>
                          <a:prstGeom prst="rect">
                            <a:avLst/>
                          </a:prstGeom>
                          <a:noFill/>
                          <a:ln>
                            <a:noFill/>
                          </a:ln>
                        </pic:spPr>
                      </pic:pic>
                    </a:graphicData>
                  </a:graphic>
                </wp:inline>
              </w:drawing>
            </w:r>
            <w:r>
              <w:rPr>
                <w:bCs/>
              </w:rPr>
              <w:t xml:space="preserve"> </w:t>
            </w:r>
          </w:p>
          <w:p w14:paraId="442C103A">
            <w:pPr>
              <w:jc w:val="center"/>
              <w:rPr>
                <w:b/>
              </w:rPr>
            </w:pPr>
            <w:r>
              <w:rPr>
                <w:rFonts w:hint="eastAsia"/>
                <w:b/>
              </w:rPr>
              <w:t>图2</w:t>
            </w:r>
            <w:r>
              <w:rPr>
                <w:b/>
              </w:rPr>
              <w:t xml:space="preserve">-2 </w:t>
            </w:r>
            <w:r>
              <w:rPr>
                <w:rFonts w:hint="eastAsia"/>
                <w:b/>
              </w:rPr>
              <w:t>项目运营期工艺流程及产污节点图</w:t>
            </w:r>
          </w:p>
          <w:p w14:paraId="697750A4">
            <w:pPr>
              <w:ind w:firstLine="480" w:firstLineChars="200"/>
              <w:rPr>
                <w:bCs/>
              </w:rPr>
            </w:pPr>
            <w:r>
              <w:rPr>
                <w:rFonts w:hint="eastAsia"/>
                <w:bCs/>
              </w:rPr>
              <w:t>项目运营期的主要污染因素：</w:t>
            </w:r>
          </w:p>
          <w:p w14:paraId="215DA009">
            <w:pPr>
              <w:ind w:firstLine="480" w:firstLineChars="200"/>
              <w:rPr>
                <w:bCs/>
              </w:rPr>
            </w:pPr>
            <w:r>
              <w:rPr>
                <w:rFonts w:hint="eastAsia"/>
                <w:bCs/>
              </w:rPr>
              <w:t>（1）废水：医疗废水与生活污水，卫生院不进行洗片，无洗片废水产生，卫生院拟采用试剂盒进行检测，无含氰、含铬废水，项目全部废水进入自建的污水处理站处理；医院无传染科，无相关废水产生。</w:t>
            </w:r>
          </w:p>
          <w:p w14:paraId="1FD147CC">
            <w:pPr>
              <w:ind w:firstLine="480" w:firstLineChars="200"/>
              <w:rPr>
                <w:bCs/>
              </w:rPr>
            </w:pPr>
            <w:r>
              <w:rPr>
                <w:rFonts w:hint="eastAsia"/>
                <w:bCs/>
              </w:rPr>
              <w:t>（2）废气：卫生院食堂油烟废气、医疗废物暂存间臭气、污水处理站废气。</w:t>
            </w:r>
          </w:p>
          <w:p w14:paraId="3ABC1E5F">
            <w:pPr>
              <w:ind w:firstLine="480" w:firstLineChars="200"/>
              <w:rPr>
                <w:bCs/>
              </w:rPr>
            </w:pPr>
            <w:r>
              <w:rPr>
                <w:rFonts w:hint="eastAsia"/>
                <w:bCs/>
              </w:rPr>
              <w:t>（3）噪声：设备噪声及车辆等。</w:t>
            </w:r>
          </w:p>
          <w:p w14:paraId="3D4D91E6">
            <w:pPr>
              <w:ind w:firstLine="480" w:firstLineChars="200"/>
              <w:rPr>
                <w:rFonts w:hint="eastAsia"/>
              </w:rPr>
            </w:pPr>
            <w:r>
              <w:rPr>
                <w:rFonts w:hint="eastAsia"/>
                <w:bCs/>
              </w:rPr>
              <w:t>（4）固废：生活垃圾、医疗固废、污水处理站产生的污泥。</w:t>
            </w:r>
          </w:p>
        </w:tc>
      </w:tr>
      <w:tr w14:paraId="0DB2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10D800B5">
            <w:pPr>
              <w:spacing w:line="240" w:lineRule="auto"/>
              <w:jc w:val="center"/>
              <w:rPr>
                <w:rFonts w:hint="eastAsia"/>
                <w:kern w:val="0"/>
                <w:szCs w:val="24"/>
              </w:rPr>
            </w:pPr>
            <w:r>
              <w:rPr>
                <w:rFonts w:hint="eastAsia"/>
                <w:kern w:val="0"/>
                <w:szCs w:val="24"/>
              </w:rPr>
              <w:t>与项</w:t>
            </w:r>
          </w:p>
          <w:p w14:paraId="499FE5D0">
            <w:pPr>
              <w:spacing w:line="240" w:lineRule="auto"/>
              <w:jc w:val="center"/>
              <w:rPr>
                <w:rFonts w:hint="eastAsia"/>
                <w:kern w:val="0"/>
                <w:szCs w:val="24"/>
              </w:rPr>
            </w:pPr>
            <w:r>
              <w:rPr>
                <w:rFonts w:hint="eastAsia"/>
                <w:kern w:val="0"/>
                <w:szCs w:val="24"/>
              </w:rPr>
              <w:t>目有</w:t>
            </w:r>
          </w:p>
          <w:p w14:paraId="16403009">
            <w:pPr>
              <w:spacing w:line="240" w:lineRule="auto"/>
              <w:jc w:val="center"/>
              <w:rPr>
                <w:rFonts w:hint="eastAsia"/>
                <w:kern w:val="0"/>
                <w:szCs w:val="24"/>
              </w:rPr>
            </w:pPr>
            <w:r>
              <w:rPr>
                <w:rFonts w:hint="eastAsia"/>
                <w:kern w:val="0"/>
                <w:szCs w:val="24"/>
              </w:rPr>
              <w:t>关的</w:t>
            </w:r>
          </w:p>
          <w:p w14:paraId="377F8A15">
            <w:pPr>
              <w:spacing w:line="240" w:lineRule="auto"/>
              <w:jc w:val="center"/>
              <w:rPr>
                <w:rFonts w:hint="eastAsia"/>
                <w:kern w:val="0"/>
                <w:szCs w:val="24"/>
              </w:rPr>
            </w:pPr>
            <w:r>
              <w:rPr>
                <w:rFonts w:hint="eastAsia"/>
                <w:kern w:val="0"/>
                <w:szCs w:val="24"/>
              </w:rPr>
              <w:t>原有</w:t>
            </w:r>
          </w:p>
          <w:p w14:paraId="32E1260A">
            <w:pPr>
              <w:spacing w:line="240" w:lineRule="auto"/>
              <w:jc w:val="center"/>
              <w:rPr>
                <w:rFonts w:hint="eastAsia"/>
                <w:kern w:val="0"/>
                <w:szCs w:val="24"/>
              </w:rPr>
            </w:pPr>
            <w:r>
              <w:rPr>
                <w:rFonts w:hint="eastAsia"/>
                <w:kern w:val="0"/>
                <w:szCs w:val="24"/>
              </w:rPr>
              <w:t>环境</w:t>
            </w:r>
          </w:p>
          <w:p w14:paraId="5609F4EA">
            <w:pPr>
              <w:spacing w:line="240" w:lineRule="auto"/>
              <w:jc w:val="center"/>
              <w:rPr>
                <w:rFonts w:hint="eastAsia"/>
                <w:kern w:val="0"/>
                <w:szCs w:val="24"/>
              </w:rPr>
            </w:pPr>
            <w:r>
              <w:rPr>
                <w:rFonts w:hint="eastAsia"/>
                <w:kern w:val="0"/>
                <w:szCs w:val="24"/>
              </w:rPr>
              <w:t>污染问题</w:t>
            </w:r>
          </w:p>
        </w:tc>
        <w:tc>
          <w:tcPr>
            <w:tcW w:w="8565" w:type="dxa"/>
          </w:tcPr>
          <w:p w14:paraId="2419D21B">
            <w:pPr>
              <w:ind w:firstLine="480" w:firstLineChars="200"/>
              <w:rPr>
                <w:szCs w:val="24"/>
              </w:rPr>
            </w:pPr>
            <w:r>
              <w:rPr>
                <w:rFonts w:hint="eastAsia" w:ascii="宋体" w:hAnsi="宋体"/>
                <w:szCs w:val="24"/>
              </w:rPr>
              <w:t>根据《建设项目环境影响报告表编制技术指南（污染影响类）》关于与项目有关的原有环境污染问题章节要求：“改建、扩建及技改项目说明现有工程履行环境影响评价、竣工环境保护验收、排污许可手续等情况，核算现有工程污染物实际排放总量，梳理与该项目有关的主要环境问题并提出整改措施。”</w:t>
            </w:r>
          </w:p>
          <w:p w14:paraId="0D9E0D8F">
            <w:pPr>
              <w:rPr>
                <w:b/>
                <w:bCs/>
                <w:szCs w:val="24"/>
              </w:rPr>
            </w:pPr>
            <w:r>
              <w:rPr>
                <w:rFonts w:hint="eastAsia"/>
                <w:b/>
                <w:bCs/>
                <w:szCs w:val="24"/>
              </w:rPr>
              <w:t>1</w:t>
            </w:r>
            <w:r>
              <w:rPr>
                <w:rFonts w:hint="eastAsia" w:ascii="宋体" w:hAnsi="宋体"/>
                <w:b/>
                <w:bCs/>
                <w:szCs w:val="24"/>
              </w:rPr>
              <w:t>、卫生院现有情况</w:t>
            </w:r>
          </w:p>
          <w:p w14:paraId="037ADFD3">
            <w:pPr>
              <w:ind w:firstLine="480" w:firstLineChars="200"/>
              <w:rPr>
                <w:szCs w:val="24"/>
              </w:rPr>
            </w:pPr>
            <w:r>
              <w:rPr>
                <w:rFonts w:hint="eastAsia" w:ascii="宋体" w:hAnsi="宋体"/>
                <w:szCs w:val="24"/>
              </w:rPr>
              <w:t>卫生院现有床位</w:t>
            </w:r>
            <w:r>
              <w:rPr>
                <w:rFonts w:hint="eastAsia"/>
                <w:szCs w:val="24"/>
              </w:rPr>
              <w:t>5</w:t>
            </w:r>
            <w:r>
              <w:rPr>
                <w:rFonts w:hint="eastAsia" w:ascii="宋体" w:hAnsi="宋体"/>
                <w:szCs w:val="24"/>
              </w:rPr>
              <w:t>张，卫生院设办公室、综合门诊部、住院部、药房、护理部、公卫办、中医科、预防接种，承担着附近群众的基本公共卫生服务和基本医疗服务。卫生院现有建设内容具体情况见表</w:t>
            </w:r>
            <w:r>
              <w:rPr>
                <w:rFonts w:hint="eastAsia"/>
                <w:szCs w:val="24"/>
              </w:rPr>
              <w:t>2</w:t>
            </w:r>
            <w:r>
              <w:rPr>
                <w:szCs w:val="24"/>
              </w:rPr>
              <w:t>-1</w:t>
            </w:r>
            <w:r>
              <w:rPr>
                <w:rFonts w:hint="eastAsia" w:ascii="宋体" w:hAnsi="宋体"/>
                <w:szCs w:val="24"/>
              </w:rPr>
              <w:t>所示。</w:t>
            </w:r>
          </w:p>
          <w:p w14:paraId="1BE94FF6">
            <w:pPr>
              <w:rPr>
                <w:b/>
                <w:bCs/>
                <w:szCs w:val="24"/>
              </w:rPr>
            </w:pPr>
            <w:r>
              <w:rPr>
                <w:b/>
                <w:bCs/>
                <w:szCs w:val="24"/>
              </w:rPr>
              <w:t>2</w:t>
            </w:r>
            <w:r>
              <w:rPr>
                <w:rFonts w:hint="eastAsia" w:ascii="宋体" w:hAnsi="宋体"/>
                <w:b/>
                <w:bCs/>
                <w:szCs w:val="24"/>
              </w:rPr>
              <w:t>、原有环保手续情况</w:t>
            </w:r>
          </w:p>
          <w:p w14:paraId="3DF60B1C">
            <w:pPr>
              <w:ind w:firstLine="480" w:firstLineChars="200"/>
              <w:rPr>
                <w:szCs w:val="24"/>
              </w:rPr>
            </w:pPr>
            <w:r>
              <w:rPr>
                <w:rFonts w:hint="eastAsia" w:ascii="宋体" w:hAnsi="宋体"/>
                <w:szCs w:val="24"/>
              </w:rPr>
              <w:t>双牌县茶林镇中心卫生院位于永州市双牌县茶林镇大河江村，成立于</w:t>
            </w:r>
            <w:r>
              <w:rPr>
                <w:rFonts w:hint="eastAsia"/>
                <w:szCs w:val="24"/>
              </w:rPr>
              <w:t>1991</w:t>
            </w:r>
            <w:r>
              <w:rPr>
                <w:rFonts w:hint="eastAsia" w:ascii="宋体" w:hAnsi="宋体"/>
                <w:szCs w:val="24"/>
              </w:rPr>
              <w:t>年。</w:t>
            </w:r>
            <w:r>
              <w:rPr>
                <w:rFonts w:hint="eastAsia"/>
                <w:szCs w:val="24"/>
              </w:rPr>
              <w:t>由于医院成立早于环保法，根据“原环境保护部印发《关于建设项目“未批先建”违法行为法律适用问题的意见》（环政法函〔2018〕31号），明确未批建设界定为自动工建设到竣工为建设期限，对未批建成二年及以上（自建设行为终了之日起二年内未被发现的）的项目，不予行政处罚。项目建成投产后企业不补办环评审批手续，行政机关也不得要求补办，两年追溯期逾期不再处罚，老企业可以无须报批环评文件，根据现行污染物排放标准配套环境保护设施，运行后达标排放符合环境管理目标要求即可。”故卫生院原来未办理环保手续，且不违反相关法律规定。</w:t>
            </w:r>
          </w:p>
          <w:p w14:paraId="7EDF0F40">
            <w:pPr>
              <w:rPr>
                <w:b/>
                <w:bCs/>
                <w:szCs w:val="24"/>
              </w:rPr>
            </w:pPr>
            <w:r>
              <w:rPr>
                <w:rFonts w:hint="eastAsia"/>
                <w:b/>
                <w:bCs/>
                <w:szCs w:val="24"/>
              </w:rPr>
              <w:t>3</w:t>
            </w:r>
            <w:r>
              <w:rPr>
                <w:rFonts w:hint="eastAsia" w:ascii="宋体" w:hAnsi="宋体"/>
                <w:b/>
                <w:bCs/>
                <w:szCs w:val="24"/>
              </w:rPr>
              <w:t>、核算现有工程污染物实际排放总量</w:t>
            </w:r>
          </w:p>
          <w:p w14:paraId="4E590941">
            <w:pPr>
              <w:ind w:firstLine="480" w:firstLineChars="200"/>
              <w:rPr>
                <w:szCs w:val="24"/>
                <w:u w:val="single"/>
              </w:rPr>
            </w:pPr>
            <w:r>
              <w:rPr>
                <w:rFonts w:hint="eastAsia" w:ascii="宋体" w:hAnsi="宋体"/>
                <w:szCs w:val="24"/>
                <w:u w:val="single"/>
              </w:rPr>
              <w:t>本次项目介入时未收集到卫生院进行过相关自行监测数据，且无竣工环保验收相关数据，故本次核算现有工程污染物实际排放总量根据收集到卫生院现有建设情况进行计算。</w:t>
            </w:r>
          </w:p>
          <w:p w14:paraId="48C4D7F5">
            <w:pPr>
              <w:ind w:firstLine="480" w:firstLineChars="200"/>
              <w:rPr>
                <w:szCs w:val="24"/>
                <w:u w:val="single"/>
              </w:rPr>
            </w:pPr>
            <w:r>
              <w:rPr>
                <w:rFonts w:hint="eastAsia" w:ascii="宋体" w:hAnsi="宋体"/>
                <w:szCs w:val="24"/>
                <w:u w:val="single"/>
              </w:rPr>
              <w:t>（</w:t>
            </w:r>
            <w:r>
              <w:rPr>
                <w:rFonts w:hint="eastAsia"/>
                <w:szCs w:val="24"/>
                <w:u w:val="single"/>
              </w:rPr>
              <w:t>1</w:t>
            </w:r>
            <w:r>
              <w:rPr>
                <w:rFonts w:hint="eastAsia" w:ascii="宋体" w:hAnsi="宋体"/>
                <w:szCs w:val="24"/>
                <w:u w:val="single"/>
              </w:rPr>
              <w:t>）废水污染源强分析</w:t>
            </w:r>
          </w:p>
          <w:p w14:paraId="35327683">
            <w:pPr>
              <w:ind w:firstLine="480" w:firstLineChars="200"/>
              <w:rPr>
                <w:szCs w:val="24"/>
                <w:u w:val="single"/>
              </w:rPr>
            </w:pPr>
            <w:r>
              <w:rPr>
                <w:rFonts w:hint="eastAsia" w:ascii="宋体" w:hAnsi="宋体"/>
                <w:szCs w:val="24"/>
                <w:u w:val="single"/>
              </w:rPr>
              <w:t>项目以乡镇自来水作为供给水源，由乡镇供水管网供给。根据《湖南省用水定额》（</w:t>
            </w:r>
            <w:r>
              <w:rPr>
                <w:rFonts w:hint="eastAsia"/>
                <w:szCs w:val="24"/>
                <w:u w:val="single"/>
              </w:rPr>
              <w:t>DB43/T388-2020</w:t>
            </w:r>
            <w:r>
              <w:rPr>
                <w:rFonts w:hint="eastAsia" w:ascii="宋体" w:hAnsi="宋体"/>
                <w:szCs w:val="24"/>
                <w:u w:val="single"/>
              </w:rPr>
              <w:t>）、《建筑给水排水设计规范》（</w:t>
            </w:r>
            <w:r>
              <w:rPr>
                <w:rFonts w:hint="eastAsia"/>
                <w:szCs w:val="24"/>
                <w:u w:val="single"/>
              </w:rPr>
              <w:t>GB50015-2019</w:t>
            </w:r>
            <w:r>
              <w:rPr>
                <w:rFonts w:hint="eastAsia" w:ascii="宋体" w:hAnsi="宋体"/>
                <w:szCs w:val="24"/>
                <w:u w:val="single"/>
              </w:rPr>
              <w:t>），项目用水情况如下：</w:t>
            </w:r>
          </w:p>
          <w:p w14:paraId="6BF95DB3">
            <w:pPr>
              <w:jc w:val="center"/>
              <w:rPr>
                <w:b/>
                <w:bCs/>
                <w:szCs w:val="24"/>
                <w:u w:val="single"/>
              </w:rPr>
            </w:pPr>
            <w:r>
              <w:rPr>
                <w:rFonts w:hint="eastAsia" w:ascii="宋体" w:hAnsi="宋体"/>
                <w:b/>
                <w:bCs/>
                <w:szCs w:val="24"/>
                <w:u w:val="single"/>
              </w:rPr>
              <w:t>表</w:t>
            </w:r>
            <w:r>
              <w:rPr>
                <w:rFonts w:hint="eastAsia"/>
                <w:b/>
                <w:bCs/>
                <w:szCs w:val="24"/>
                <w:u w:val="single"/>
              </w:rPr>
              <w:t>2</w:t>
            </w:r>
            <w:r>
              <w:rPr>
                <w:b/>
                <w:bCs/>
                <w:szCs w:val="24"/>
                <w:u w:val="single"/>
              </w:rPr>
              <w:t>-5</w:t>
            </w:r>
            <w:r>
              <w:rPr>
                <w:rFonts w:hint="eastAsia" w:ascii="宋体" w:hAnsi="宋体"/>
                <w:b/>
                <w:bCs/>
                <w:szCs w:val="24"/>
                <w:u w:val="single"/>
              </w:rPr>
              <w:t>项目用水量一览表</w:t>
            </w:r>
          </w:p>
          <w:tbl>
            <w:tblPr>
              <w:tblStyle w:val="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119"/>
              <w:gridCol w:w="2114"/>
              <w:gridCol w:w="2131"/>
            </w:tblGrid>
            <w:tr w14:paraId="49B5B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6" w:type="pct"/>
                  <w:tcBorders>
                    <w:top w:val="single" w:color="auto" w:sz="12" w:space="0"/>
                    <w:left w:val="single" w:color="auto" w:sz="12" w:space="0"/>
                    <w:bottom w:val="single" w:color="auto" w:sz="4" w:space="0"/>
                    <w:right w:val="single" w:color="auto" w:sz="4" w:space="0"/>
                  </w:tcBorders>
                </w:tcPr>
                <w:p w14:paraId="588C7B43">
                  <w:pPr>
                    <w:spacing w:line="240" w:lineRule="auto"/>
                    <w:jc w:val="center"/>
                    <w:rPr>
                      <w:kern w:val="0"/>
                      <w:sz w:val="21"/>
                      <w:szCs w:val="21"/>
                      <w:u w:val="single"/>
                    </w:rPr>
                  </w:pPr>
                  <w:r>
                    <w:rPr>
                      <w:rFonts w:hint="eastAsia" w:ascii="宋体" w:hAnsi="宋体"/>
                      <w:kern w:val="0"/>
                      <w:sz w:val="21"/>
                      <w:szCs w:val="21"/>
                      <w:u w:val="single"/>
                    </w:rPr>
                    <w:t>项目</w:t>
                  </w:r>
                </w:p>
              </w:tc>
              <w:tc>
                <w:tcPr>
                  <w:tcW w:w="1250" w:type="pct"/>
                  <w:tcBorders>
                    <w:top w:val="single" w:color="auto" w:sz="12" w:space="0"/>
                    <w:left w:val="single" w:color="auto" w:sz="4" w:space="0"/>
                    <w:bottom w:val="single" w:color="auto" w:sz="4" w:space="0"/>
                    <w:right w:val="single" w:color="auto" w:sz="4" w:space="0"/>
                  </w:tcBorders>
                </w:tcPr>
                <w:p w14:paraId="20618E16">
                  <w:pPr>
                    <w:spacing w:line="240" w:lineRule="auto"/>
                    <w:jc w:val="center"/>
                    <w:rPr>
                      <w:kern w:val="0"/>
                      <w:sz w:val="21"/>
                      <w:szCs w:val="21"/>
                      <w:u w:val="single"/>
                    </w:rPr>
                  </w:pPr>
                  <w:r>
                    <w:rPr>
                      <w:rFonts w:hint="eastAsia" w:ascii="宋体" w:hAnsi="宋体"/>
                      <w:kern w:val="0"/>
                      <w:sz w:val="21"/>
                      <w:szCs w:val="21"/>
                      <w:u w:val="single"/>
                    </w:rPr>
                    <w:t>用水标准</w:t>
                  </w:r>
                </w:p>
              </w:tc>
              <w:tc>
                <w:tcPr>
                  <w:tcW w:w="1247" w:type="pct"/>
                  <w:tcBorders>
                    <w:top w:val="single" w:color="auto" w:sz="12" w:space="0"/>
                    <w:left w:val="single" w:color="auto" w:sz="4" w:space="0"/>
                    <w:bottom w:val="single" w:color="auto" w:sz="4" w:space="0"/>
                    <w:right w:val="single" w:color="auto" w:sz="4" w:space="0"/>
                  </w:tcBorders>
                </w:tcPr>
                <w:p w14:paraId="5994A62D">
                  <w:pPr>
                    <w:spacing w:line="240" w:lineRule="auto"/>
                    <w:jc w:val="center"/>
                    <w:rPr>
                      <w:kern w:val="0"/>
                      <w:sz w:val="21"/>
                      <w:szCs w:val="21"/>
                      <w:u w:val="single"/>
                    </w:rPr>
                  </w:pPr>
                  <w:r>
                    <w:rPr>
                      <w:rFonts w:hint="eastAsia" w:ascii="宋体" w:hAnsi="宋体"/>
                      <w:kern w:val="0"/>
                      <w:sz w:val="21"/>
                      <w:szCs w:val="21"/>
                      <w:u w:val="single"/>
                    </w:rPr>
                    <w:t>数量</w:t>
                  </w:r>
                </w:p>
              </w:tc>
              <w:tc>
                <w:tcPr>
                  <w:tcW w:w="1257" w:type="pct"/>
                  <w:tcBorders>
                    <w:top w:val="single" w:color="auto" w:sz="12" w:space="0"/>
                    <w:left w:val="single" w:color="auto" w:sz="4" w:space="0"/>
                    <w:bottom w:val="single" w:color="auto" w:sz="4" w:space="0"/>
                    <w:right w:val="single" w:color="auto" w:sz="12" w:space="0"/>
                  </w:tcBorders>
                </w:tcPr>
                <w:p w14:paraId="36B7F16D">
                  <w:pPr>
                    <w:spacing w:line="240" w:lineRule="auto"/>
                    <w:jc w:val="center"/>
                    <w:rPr>
                      <w:kern w:val="0"/>
                      <w:sz w:val="21"/>
                      <w:szCs w:val="21"/>
                      <w:u w:val="single"/>
                    </w:rPr>
                  </w:pPr>
                  <w:r>
                    <w:rPr>
                      <w:rFonts w:hint="eastAsia" w:ascii="宋体" w:hAnsi="宋体"/>
                      <w:kern w:val="0"/>
                      <w:sz w:val="21"/>
                      <w:szCs w:val="21"/>
                      <w:u w:val="single"/>
                    </w:rPr>
                    <w:t>用水量（</w:t>
                  </w:r>
                  <w:r>
                    <w:rPr>
                      <w:rFonts w:hint="eastAsia"/>
                      <w:kern w:val="0"/>
                      <w:sz w:val="21"/>
                      <w:szCs w:val="21"/>
                      <w:u w:val="single"/>
                    </w:rPr>
                    <w:t>m</w:t>
                  </w:r>
                  <w:r>
                    <w:rPr>
                      <w:kern w:val="0"/>
                      <w:sz w:val="21"/>
                      <w:szCs w:val="21"/>
                      <w:u w:val="single"/>
                      <w:vertAlign w:val="superscript"/>
                    </w:rPr>
                    <w:t>3</w:t>
                  </w:r>
                  <w:r>
                    <w:rPr>
                      <w:kern w:val="0"/>
                      <w:sz w:val="21"/>
                      <w:szCs w:val="21"/>
                      <w:u w:val="single"/>
                    </w:rPr>
                    <w:t>/d</w:t>
                  </w:r>
                  <w:r>
                    <w:rPr>
                      <w:rFonts w:hint="eastAsia" w:ascii="宋体" w:hAnsi="宋体"/>
                      <w:kern w:val="0"/>
                      <w:sz w:val="21"/>
                      <w:szCs w:val="21"/>
                      <w:u w:val="single"/>
                    </w:rPr>
                    <w:t>）</w:t>
                  </w:r>
                </w:p>
              </w:tc>
            </w:tr>
            <w:tr w14:paraId="63EAF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6" w:type="pct"/>
                  <w:tcBorders>
                    <w:top w:val="single" w:color="auto" w:sz="4" w:space="0"/>
                    <w:left w:val="single" w:color="auto" w:sz="12" w:space="0"/>
                    <w:bottom w:val="single" w:color="auto" w:sz="4" w:space="0"/>
                    <w:right w:val="single" w:color="auto" w:sz="4" w:space="0"/>
                  </w:tcBorders>
                </w:tcPr>
                <w:p w14:paraId="5C3BC429">
                  <w:pPr>
                    <w:spacing w:line="240" w:lineRule="auto"/>
                    <w:jc w:val="center"/>
                    <w:rPr>
                      <w:kern w:val="0"/>
                      <w:sz w:val="21"/>
                      <w:szCs w:val="21"/>
                      <w:u w:val="single"/>
                    </w:rPr>
                  </w:pPr>
                  <w:r>
                    <w:rPr>
                      <w:rFonts w:hint="eastAsia" w:ascii="宋体" w:hAnsi="宋体"/>
                      <w:kern w:val="0"/>
                      <w:sz w:val="21"/>
                      <w:szCs w:val="21"/>
                      <w:u w:val="single"/>
                    </w:rPr>
                    <w:t>门诊病人</w:t>
                  </w:r>
                </w:p>
              </w:tc>
              <w:tc>
                <w:tcPr>
                  <w:tcW w:w="1250" w:type="pct"/>
                  <w:tcBorders>
                    <w:top w:val="single" w:color="auto" w:sz="4" w:space="0"/>
                    <w:left w:val="single" w:color="auto" w:sz="4" w:space="0"/>
                    <w:bottom w:val="single" w:color="auto" w:sz="4" w:space="0"/>
                    <w:right w:val="single" w:color="auto" w:sz="4" w:space="0"/>
                  </w:tcBorders>
                </w:tcPr>
                <w:p w14:paraId="7BE138F3">
                  <w:pPr>
                    <w:spacing w:line="240" w:lineRule="auto"/>
                    <w:jc w:val="center"/>
                    <w:rPr>
                      <w:kern w:val="0"/>
                      <w:sz w:val="21"/>
                      <w:szCs w:val="21"/>
                      <w:u w:val="single"/>
                    </w:rPr>
                  </w:pPr>
                  <w:r>
                    <w:rPr>
                      <w:rFonts w:hint="eastAsia"/>
                      <w:kern w:val="0"/>
                      <w:sz w:val="21"/>
                      <w:szCs w:val="21"/>
                      <w:u w:val="single"/>
                    </w:rPr>
                    <w:t>1</w:t>
                  </w:r>
                  <w:r>
                    <w:rPr>
                      <w:kern w:val="0"/>
                      <w:sz w:val="21"/>
                      <w:szCs w:val="21"/>
                      <w:u w:val="single"/>
                    </w:rPr>
                    <w:t>5L</w:t>
                  </w:r>
                  <w:r>
                    <w:rPr>
                      <w:rFonts w:hint="eastAsia"/>
                      <w:kern w:val="0"/>
                      <w:sz w:val="21"/>
                      <w:szCs w:val="21"/>
                      <w:u w:val="single"/>
                    </w:rPr>
                    <w:t>/</w:t>
                  </w:r>
                  <w:r>
                    <w:rPr>
                      <w:rFonts w:hint="eastAsia" w:ascii="宋体" w:hAnsi="宋体"/>
                      <w:kern w:val="0"/>
                      <w:sz w:val="21"/>
                      <w:szCs w:val="21"/>
                      <w:u w:val="single"/>
                    </w:rPr>
                    <w:t>人</w:t>
                  </w:r>
                  <w:r>
                    <w:rPr>
                      <w:rFonts w:hint="eastAsia"/>
                      <w:kern w:val="0"/>
                      <w:sz w:val="21"/>
                      <w:szCs w:val="21"/>
                      <w:u w:val="single"/>
                    </w:rPr>
                    <w:t>.</w:t>
                  </w:r>
                  <w:r>
                    <w:rPr>
                      <w:rFonts w:hint="eastAsia" w:ascii="宋体" w:hAnsi="宋体"/>
                      <w:kern w:val="0"/>
                      <w:sz w:val="21"/>
                      <w:szCs w:val="21"/>
                      <w:u w:val="single"/>
                    </w:rPr>
                    <w:t>次</w:t>
                  </w:r>
                </w:p>
              </w:tc>
              <w:tc>
                <w:tcPr>
                  <w:tcW w:w="1247" w:type="pct"/>
                  <w:tcBorders>
                    <w:top w:val="single" w:color="auto" w:sz="4" w:space="0"/>
                    <w:left w:val="single" w:color="auto" w:sz="4" w:space="0"/>
                    <w:bottom w:val="single" w:color="auto" w:sz="4" w:space="0"/>
                    <w:right w:val="single" w:color="auto" w:sz="4" w:space="0"/>
                  </w:tcBorders>
                </w:tcPr>
                <w:p w14:paraId="0A52BD3D">
                  <w:pPr>
                    <w:spacing w:line="240" w:lineRule="auto"/>
                    <w:jc w:val="center"/>
                    <w:rPr>
                      <w:kern w:val="0"/>
                      <w:sz w:val="21"/>
                      <w:szCs w:val="21"/>
                      <w:u w:val="single"/>
                    </w:rPr>
                  </w:pPr>
                  <w:r>
                    <w:rPr>
                      <w:kern w:val="0"/>
                      <w:sz w:val="21"/>
                      <w:szCs w:val="21"/>
                      <w:u w:val="single"/>
                    </w:rPr>
                    <w:t>125</w:t>
                  </w:r>
                  <w:r>
                    <w:rPr>
                      <w:rFonts w:hint="eastAsia" w:ascii="宋体" w:hAnsi="宋体"/>
                      <w:kern w:val="0"/>
                      <w:sz w:val="21"/>
                      <w:szCs w:val="21"/>
                      <w:u w:val="single"/>
                    </w:rPr>
                    <w:t>人</w:t>
                  </w:r>
                </w:p>
              </w:tc>
              <w:tc>
                <w:tcPr>
                  <w:tcW w:w="1257" w:type="pct"/>
                  <w:tcBorders>
                    <w:top w:val="single" w:color="auto" w:sz="4" w:space="0"/>
                    <w:left w:val="single" w:color="auto" w:sz="4" w:space="0"/>
                    <w:bottom w:val="single" w:color="auto" w:sz="4" w:space="0"/>
                    <w:right w:val="single" w:color="auto" w:sz="12" w:space="0"/>
                  </w:tcBorders>
                  <w:vAlign w:val="center"/>
                </w:tcPr>
                <w:p w14:paraId="2332837C">
                  <w:pPr>
                    <w:spacing w:line="240" w:lineRule="auto"/>
                    <w:jc w:val="center"/>
                    <w:rPr>
                      <w:kern w:val="0"/>
                      <w:sz w:val="21"/>
                      <w:szCs w:val="21"/>
                      <w:u w:val="single"/>
                    </w:rPr>
                  </w:pPr>
                  <w:r>
                    <w:rPr>
                      <w:rFonts w:hint="eastAsia"/>
                      <w:color w:val="000000"/>
                      <w:kern w:val="0"/>
                      <w:sz w:val="21"/>
                      <w:szCs w:val="21"/>
                      <w:u w:val="single"/>
                    </w:rPr>
                    <w:t>1.875</w:t>
                  </w:r>
                </w:p>
              </w:tc>
            </w:tr>
            <w:tr w14:paraId="22098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6" w:type="pct"/>
                  <w:tcBorders>
                    <w:top w:val="single" w:color="auto" w:sz="4" w:space="0"/>
                    <w:left w:val="single" w:color="auto" w:sz="12" w:space="0"/>
                    <w:bottom w:val="single" w:color="auto" w:sz="4" w:space="0"/>
                    <w:right w:val="single" w:color="auto" w:sz="4" w:space="0"/>
                  </w:tcBorders>
                </w:tcPr>
                <w:p w14:paraId="48849BB3">
                  <w:pPr>
                    <w:spacing w:line="240" w:lineRule="auto"/>
                    <w:jc w:val="center"/>
                    <w:rPr>
                      <w:kern w:val="0"/>
                      <w:sz w:val="21"/>
                      <w:szCs w:val="21"/>
                      <w:u w:val="single"/>
                    </w:rPr>
                  </w:pPr>
                  <w:r>
                    <w:rPr>
                      <w:rFonts w:hint="eastAsia" w:ascii="宋体" w:hAnsi="宋体"/>
                      <w:kern w:val="0"/>
                      <w:sz w:val="21"/>
                      <w:szCs w:val="21"/>
                      <w:u w:val="single"/>
                    </w:rPr>
                    <w:t>住院病人</w:t>
                  </w:r>
                </w:p>
              </w:tc>
              <w:tc>
                <w:tcPr>
                  <w:tcW w:w="1250" w:type="pct"/>
                  <w:tcBorders>
                    <w:top w:val="single" w:color="auto" w:sz="4" w:space="0"/>
                    <w:left w:val="single" w:color="auto" w:sz="4" w:space="0"/>
                    <w:bottom w:val="single" w:color="auto" w:sz="4" w:space="0"/>
                    <w:right w:val="single" w:color="auto" w:sz="4" w:space="0"/>
                  </w:tcBorders>
                </w:tcPr>
                <w:p w14:paraId="2255FE7E">
                  <w:pPr>
                    <w:spacing w:line="240" w:lineRule="auto"/>
                    <w:jc w:val="center"/>
                    <w:rPr>
                      <w:kern w:val="0"/>
                      <w:sz w:val="21"/>
                      <w:szCs w:val="21"/>
                      <w:u w:val="single"/>
                    </w:rPr>
                  </w:pPr>
                  <w:r>
                    <w:rPr>
                      <w:rFonts w:hint="eastAsia"/>
                      <w:kern w:val="0"/>
                      <w:sz w:val="21"/>
                      <w:szCs w:val="21"/>
                      <w:u w:val="single"/>
                    </w:rPr>
                    <w:t>25</w:t>
                  </w:r>
                  <w:r>
                    <w:rPr>
                      <w:kern w:val="0"/>
                      <w:sz w:val="21"/>
                      <w:szCs w:val="21"/>
                      <w:u w:val="single"/>
                    </w:rPr>
                    <w:t>0L</w:t>
                  </w:r>
                  <w:r>
                    <w:rPr>
                      <w:rFonts w:hint="eastAsia"/>
                      <w:kern w:val="0"/>
                      <w:sz w:val="21"/>
                      <w:szCs w:val="21"/>
                      <w:u w:val="single"/>
                    </w:rPr>
                    <w:t>/</w:t>
                  </w:r>
                  <w:r>
                    <w:rPr>
                      <w:rFonts w:hint="eastAsia" w:ascii="宋体" w:hAnsi="宋体"/>
                      <w:kern w:val="0"/>
                      <w:sz w:val="21"/>
                      <w:szCs w:val="21"/>
                      <w:u w:val="single"/>
                    </w:rPr>
                    <w:t>床</w:t>
                  </w:r>
                  <w:r>
                    <w:rPr>
                      <w:rFonts w:hint="eastAsia"/>
                      <w:kern w:val="0"/>
                      <w:sz w:val="21"/>
                      <w:szCs w:val="21"/>
                      <w:u w:val="single"/>
                    </w:rPr>
                    <w:t>.</w:t>
                  </w:r>
                  <w:r>
                    <w:rPr>
                      <w:rFonts w:hint="eastAsia" w:ascii="宋体" w:hAnsi="宋体"/>
                      <w:kern w:val="0"/>
                      <w:sz w:val="21"/>
                      <w:szCs w:val="21"/>
                      <w:u w:val="single"/>
                    </w:rPr>
                    <w:t>次</w:t>
                  </w:r>
                </w:p>
              </w:tc>
              <w:tc>
                <w:tcPr>
                  <w:tcW w:w="1247" w:type="pct"/>
                  <w:tcBorders>
                    <w:top w:val="single" w:color="auto" w:sz="4" w:space="0"/>
                    <w:left w:val="single" w:color="auto" w:sz="4" w:space="0"/>
                    <w:bottom w:val="single" w:color="auto" w:sz="4" w:space="0"/>
                    <w:right w:val="single" w:color="auto" w:sz="4" w:space="0"/>
                  </w:tcBorders>
                </w:tcPr>
                <w:p w14:paraId="5810E0CB">
                  <w:pPr>
                    <w:spacing w:line="240" w:lineRule="auto"/>
                    <w:jc w:val="center"/>
                    <w:rPr>
                      <w:kern w:val="0"/>
                      <w:sz w:val="21"/>
                      <w:szCs w:val="21"/>
                      <w:u w:val="single"/>
                    </w:rPr>
                  </w:pPr>
                  <w:r>
                    <w:rPr>
                      <w:kern w:val="0"/>
                      <w:sz w:val="21"/>
                      <w:szCs w:val="21"/>
                      <w:u w:val="single"/>
                    </w:rPr>
                    <w:t>5</w:t>
                  </w:r>
                  <w:r>
                    <w:rPr>
                      <w:rFonts w:hint="eastAsia" w:ascii="宋体" w:hAnsi="宋体"/>
                      <w:kern w:val="0"/>
                      <w:sz w:val="21"/>
                      <w:szCs w:val="21"/>
                      <w:u w:val="single"/>
                    </w:rPr>
                    <w:t>人</w:t>
                  </w:r>
                </w:p>
              </w:tc>
              <w:tc>
                <w:tcPr>
                  <w:tcW w:w="1257" w:type="pct"/>
                  <w:tcBorders>
                    <w:top w:val="single" w:color="auto" w:sz="4" w:space="0"/>
                    <w:left w:val="single" w:color="auto" w:sz="4" w:space="0"/>
                    <w:bottom w:val="single" w:color="auto" w:sz="4" w:space="0"/>
                    <w:right w:val="single" w:color="auto" w:sz="12" w:space="0"/>
                  </w:tcBorders>
                  <w:vAlign w:val="center"/>
                </w:tcPr>
                <w:p w14:paraId="1A8CAE5B">
                  <w:pPr>
                    <w:spacing w:line="240" w:lineRule="auto"/>
                    <w:jc w:val="center"/>
                    <w:rPr>
                      <w:kern w:val="0"/>
                      <w:sz w:val="21"/>
                      <w:szCs w:val="21"/>
                      <w:u w:val="single"/>
                    </w:rPr>
                  </w:pPr>
                  <w:r>
                    <w:rPr>
                      <w:rFonts w:hint="eastAsia"/>
                      <w:kern w:val="0"/>
                      <w:sz w:val="21"/>
                      <w:szCs w:val="21"/>
                      <w:u w:val="single"/>
                    </w:rPr>
                    <w:t>1</w:t>
                  </w:r>
                  <w:r>
                    <w:rPr>
                      <w:kern w:val="0"/>
                      <w:sz w:val="21"/>
                      <w:szCs w:val="21"/>
                      <w:u w:val="single"/>
                    </w:rPr>
                    <w:t>.25</w:t>
                  </w:r>
                </w:p>
              </w:tc>
            </w:tr>
            <w:tr w14:paraId="5982E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6" w:type="pct"/>
                  <w:tcBorders>
                    <w:top w:val="single" w:color="auto" w:sz="4" w:space="0"/>
                    <w:left w:val="single" w:color="auto" w:sz="12" w:space="0"/>
                    <w:bottom w:val="single" w:color="auto" w:sz="4" w:space="0"/>
                    <w:right w:val="single" w:color="auto" w:sz="4" w:space="0"/>
                  </w:tcBorders>
                </w:tcPr>
                <w:p w14:paraId="639AB2DA">
                  <w:pPr>
                    <w:spacing w:line="240" w:lineRule="auto"/>
                    <w:jc w:val="center"/>
                    <w:rPr>
                      <w:kern w:val="0"/>
                      <w:sz w:val="21"/>
                      <w:szCs w:val="21"/>
                      <w:u w:val="single"/>
                    </w:rPr>
                  </w:pPr>
                  <w:r>
                    <w:rPr>
                      <w:rFonts w:hint="eastAsia" w:ascii="宋体" w:hAnsi="宋体"/>
                      <w:kern w:val="0"/>
                      <w:sz w:val="21"/>
                      <w:szCs w:val="21"/>
                      <w:u w:val="single"/>
                    </w:rPr>
                    <w:t>医护人员</w:t>
                  </w:r>
                </w:p>
              </w:tc>
              <w:tc>
                <w:tcPr>
                  <w:tcW w:w="1250" w:type="pct"/>
                  <w:tcBorders>
                    <w:top w:val="single" w:color="auto" w:sz="4" w:space="0"/>
                    <w:left w:val="single" w:color="auto" w:sz="4" w:space="0"/>
                    <w:bottom w:val="single" w:color="auto" w:sz="4" w:space="0"/>
                    <w:right w:val="single" w:color="auto" w:sz="4" w:space="0"/>
                  </w:tcBorders>
                </w:tcPr>
                <w:p w14:paraId="40CC4F41">
                  <w:pPr>
                    <w:spacing w:line="240" w:lineRule="auto"/>
                    <w:jc w:val="center"/>
                    <w:rPr>
                      <w:kern w:val="0"/>
                      <w:sz w:val="21"/>
                      <w:szCs w:val="21"/>
                      <w:u w:val="single"/>
                    </w:rPr>
                  </w:pPr>
                  <w:r>
                    <w:rPr>
                      <w:rFonts w:hint="eastAsia"/>
                      <w:kern w:val="0"/>
                      <w:sz w:val="21"/>
                      <w:szCs w:val="21"/>
                      <w:u w:val="single"/>
                    </w:rPr>
                    <w:t>10</w:t>
                  </w:r>
                  <w:r>
                    <w:rPr>
                      <w:kern w:val="0"/>
                      <w:sz w:val="21"/>
                      <w:szCs w:val="21"/>
                      <w:u w:val="single"/>
                    </w:rPr>
                    <w:t>0L</w:t>
                  </w:r>
                  <w:r>
                    <w:rPr>
                      <w:rFonts w:hint="eastAsia"/>
                      <w:kern w:val="0"/>
                      <w:sz w:val="21"/>
                      <w:szCs w:val="21"/>
                      <w:u w:val="single"/>
                    </w:rPr>
                    <w:t>/</w:t>
                  </w:r>
                  <w:r>
                    <w:rPr>
                      <w:rFonts w:hint="eastAsia" w:ascii="宋体" w:hAnsi="宋体"/>
                      <w:kern w:val="0"/>
                      <w:sz w:val="21"/>
                      <w:szCs w:val="21"/>
                      <w:u w:val="single"/>
                    </w:rPr>
                    <w:t>人</w:t>
                  </w:r>
                  <w:r>
                    <w:rPr>
                      <w:rFonts w:hint="eastAsia"/>
                      <w:kern w:val="0"/>
                      <w:sz w:val="21"/>
                      <w:szCs w:val="21"/>
                      <w:u w:val="single"/>
                    </w:rPr>
                    <w:t>.</w:t>
                  </w:r>
                  <w:r>
                    <w:rPr>
                      <w:rFonts w:hint="eastAsia" w:ascii="宋体" w:hAnsi="宋体"/>
                      <w:kern w:val="0"/>
                      <w:sz w:val="21"/>
                      <w:szCs w:val="21"/>
                      <w:u w:val="single"/>
                    </w:rPr>
                    <w:t>日</w:t>
                  </w:r>
                </w:p>
              </w:tc>
              <w:tc>
                <w:tcPr>
                  <w:tcW w:w="1247" w:type="pct"/>
                  <w:tcBorders>
                    <w:top w:val="single" w:color="auto" w:sz="4" w:space="0"/>
                    <w:left w:val="single" w:color="auto" w:sz="4" w:space="0"/>
                    <w:bottom w:val="single" w:color="auto" w:sz="4" w:space="0"/>
                    <w:right w:val="single" w:color="auto" w:sz="4" w:space="0"/>
                  </w:tcBorders>
                </w:tcPr>
                <w:p w14:paraId="79094654">
                  <w:pPr>
                    <w:spacing w:line="240" w:lineRule="auto"/>
                    <w:jc w:val="center"/>
                    <w:rPr>
                      <w:kern w:val="0"/>
                      <w:sz w:val="21"/>
                      <w:szCs w:val="21"/>
                      <w:u w:val="single"/>
                    </w:rPr>
                  </w:pPr>
                  <w:r>
                    <w:rPr>
                      <w:kern w:val="0"/>
                      <w:sz w:val="21"/>
                      <w:szCs w:val="21"/>
                      <w:u w:val="single"/>
                    </w:rPr>
                    <w:t>25</w:t>
                  </w:r>
                  <w:r>
                    <w:rPr>
                      <w:rFonts w:hint="eastAsia" w:ascii="宋体" w:hAnsi="宋体"/>
                      <w:kern w:val="0"/>
                      <w:sz w:val="21"/>
                      <w:szCs w:val="21"/>
                      <w:u w:val="single"/>
                    </w:rPr>
                    <w:t>人</w:t>
                  </w:r>
                </w:p>
              </w:tc>
              <w:tc>
                <w:tcPr>
                  <w:tcW w:w="1257" w:type="pct"/>
                  <w:tcBorders>
                    <w:top w:val="single" w:color="auto" w:sz="4" w:space="0"/>
                    <w:left w:val="single" w:color="auto" w:sz="4" w:space="0"/>
                    <w:bottom w:val="single" w:color="auto" w:sz="4" w:space="0"/>
                    <w:right w:val="single" w:color="auto" w:sz="12" w:space="0"/>
                  </w:tcBorders>
                  <w:vAlign w:val="center"/>
                </w:tcPr>
                <w:p w14:paraId="73DBFCEC">
                  <w:pPr>
                    <w:spacing w:line="240" w:lineRule="auto"/>
                    <w:jc w:val="center"/>
                    <w:rPr>
                      <w:kern w:val="0"/>
                      <w:sz w:val="21"/>
                      <w:szCs w:val="21"/>
                      <w:u w:val="single"/>
                    </w:rPr>
                  </w:pPr>
                  <w:r>
                    <w:rPr>
                      <w:rFonts w:hint="eastAsia"/>
                      <w:color w:val="000000"/>
                      <w:kern w:val="0"/>
                      <w:sz w:val="21"/>
                      <w:szCs w:val="21"/>
                      <w:u w:val="single"/>
                    </w:rPr>
                    <w:t>2.5</w:t>
                  </w:r>
                </w:p>
              </w:tc>
            </w:tr>
            <w:tr w14:paraId="30156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43" w:type="pct"/>
                  <w:gridSpan w:val="3"/>
                  <w:tcBorders>
                    <w:top w:val="single" w:color="auto" w:sz="4" w:space="0"/>
                    <w:left w:val="single" w:color="auto" w:sz="12" w:space="0"/>
                    <w:bottom w:val="single" w:color="auto" w:sz="12" w:space="0"/>
                    <w:right w:val="single" w:color="auto" w:sz="4" w:space="0"/>
                  </w:tcBorders>
                </w:tcPr>
                <w:p w14:paraId="0DBFF4AA">
                  <w:pPr>
                    <w:spacing w:line="240" w:lineRule="auto"/>
                    <w:jc w:val="center"/>
                    <w:rPr>
                      <w:kern w:val="0"/>
                      <w:sz w:val="21"/>
                      <w:szCs w:val="21"/>
                      <w:u w:val="single"/>
                    </w:rPr>
                  </w:pPr>
                  <w:r>
                    <w:rPr>
                      <w:rFonts w:hint="eastAsia" w:ascii="宋体" w:hAnsi="宋体"/>
                      <w:kern w:val="0"/>
                      <w:sz w:val="21"/>
                      <w:szCs w:val="21"/>
                      <w:u w:val="single"/>
                    </w:rPr>
                    <w:t>合计</w:t>
                  </w:r>
                </w:p>
              </w:tc>
              <w:tc>
                <w:tcPr>
                  <w:tcW w:w="1257" w:type="pct"/>
                  <w:tcBorders>
                    <w:top w:val="single" w:color="auto" w:sz="4" w:space="0"/>
                    <w:left w:val="single" w:color="auto" w:sz="4" w:space="0"/>
                    <w:bottom w:val="single" w:color="auto" w:sz="12" w:space="0"/>
                    <w:right w:val="single" w:color="auto" w:sz="12" w:space="0"/>
                  </w:tcBorders>
                </w:tcPr>
                <w:p w14:paraId="1819C7DF">
                  <w:pPr>
                    <w:spacing w:line="240" w:lineRule="auto"/>
                    <w:jc w:val="center"/>
                    <w:rPr>
                      <w:kern w:val="0"/>
                      <w:sz w:val="21"/>
                      <w:szCs w:val="21"/>
                      <w:u w:val="single"/>
                    </w:rPr>
                  </w:pPr>
                  <w:r>
                    <w:rPr>
                      <w:kern w:val="0"/>
                      <w:sz w:val="21"/>
                      <w:szCs w:val="21"/>
                      <w:u w:val="single"/>
                    </w:rPr>
                    <w:t>5.625</w:t>
                  </w:r>
                </w:p>
              </w:tc>
            </w:tr>
          </w:tbl>
          <w:p w14:paraId="40F56CA7">
            <w:pPr>
              <w:ind w:firstLine="480"/>
              <w:rPr>
                <w:szCs w:val="24"/>
                <w:u w:val="single"/>
              </w:rPr>
            </w:pPr>
            <w:r>
              <w:rPr>
                <w:rFonts w:hint="eastAsia" w:ascii="宋体" w:hAnsi="宋体"/>
                <w:szCs w:val="24"/>
                <w:u w:val="single"/>
              </w:rPr>
              <w:t>项目废水排放量按照用水量的</w:t>
            </w:r>
            <w:r>
              <w:rPr>
                <w:rFonts w:hint="eastAsia"/>
                <w:szCs w:val="24"/>
                <w:u w:val="single"/>
              </w:rPr>
              <w:t xml:space="preserve"> 80%</w:t>
            </w:r>
            <w:r>
              <w:rPr>
                <w:rFonts w:hint="eastAsia" w:ascii="宋体" w:hAnsi="宋体"/>
                <w:szCs w:val="24"/>
                <w:u w:val="single"/>
              </w:rPr>
              <w:t>计算，排放量为</w:t>
            </w:r>
            <w:r>
              <w:rPr>
                <w:szCs w:val="24"/>
                <w:u w:val="single"/>
              </w:rPr>
              <w:t>4.5</w:t>
            </w:r>
            <w:r>
              <w:rPr>
                <w:rFonts w:hint="eastAsia"/>
                <w:szCs w:val="24"/>
                <w:u w:val="single"/>
              </w:rPr>
              <w:t>m</w:t>
            </w:r>
            <w:r>
              <w:rPr>
                <w:rFonts w:hint="eastAsia" w:ascii="宋体" w:hAnsi="宋体"/>
                <w:szCs w:val="24"/>
                <w:u w:val="single"/>
              </w:rPr>
              <w:t>³</w:t>
            </w:r>
            <w:r>
              <w:rPr>
                <w:rFonts w:hint="eastAsia"/>
                <w:szCs w:val="24"/>
                <w:u w:val="single"/>
              </w:rPr>
              <w:t>/d</w:t>
            </w:r>
            <w:r>
              <w:rPr>
                <w:rFonts w:hint="eastAsia" w:ascii="宋体" w:hAnsi="宋体"/>
                <w:szCs w:val="24"/>
                <w:u w:val="single"/>
              </w:rPr>
              <w:t>，</w:t>
            </w:r>
            <w:r>
              <w:rPr>
                <w:szCs w:val="24"/>
                <w:u w:val="single"/>
              </w:rPr>
              <w:t>1642.5</w:t>
            </w:r>
            <w:r>
              <w:rPr>
                <w:rFonts w:hint="eastAsia"/>
                <w:szCs w:val="24"/>
                <w:u w:val="single"/>
              </w:rPr>
              <w:t>m</w:t>
            </w:r>
            <w:r>
              <w:rPr>
                <w:rFonts w:hint="eastAsia" w:ascii="宋体" w:hAnsi="宋体"/>
                <w:szCs w:val="24"/>
                <w:u w:val="single"/>
              </w:rPr>
              <w:t>³</w:t>
            </w:r>
            <w:r>
              <w:rPr>
                <w:rFonts w:hint="eastAsia"/>
                <w:szCs w:val="24"/>
                <w:u w:val="single"/>
              </w:rPr>
              <w:t>/a</w:t>
            </w:r>
            <w:r>
              <w:rPr>
                <w:rFonts w:hint="eastAsia" w:ascii="宋体" w:hAnsi="宋体"/>
                <w:szCs w:val="24"/>
                <w:u w:val="single"/>
              </w:rPr>
              <w:t>。本项目废水经过隔油池</w:t>
            </w:r>
            <w:r>
              <w:rPr>
                <w:rFonts w:hint="eastAsia"/>
                <w:szCs w:val="24"/>
                <w:u w:val="single"/>
              </w:rPr>
              <w:t>+</w:t>
            </w:r>
            <w:r>
              <w:rPr>
                <w:rFonts w:hint="eastAsia" w:ascii="宋体" w:hAnsi="宋体"/>
                <w:szCs w:val="24"/>
                <w:u w:val="single"/>
              </w:rPr>
              <w:t>化粪池</w:t>
            </w:r>
            <w:r>
              <w:rPr>
                <w:rFonts w:hint="eastAsia"/>
                <w:szCs w:val="24"/>
                <w:u w:val="single"/>
              </w:rPr>
              <w:t>+</w:t>
            </w:r>
            <w:r>
              <w:rPr>
                <w:rFonts w:hint="eastAsia" w:ascii="宋体" w:hAnsi="宋体"/>
                <w:szCs w:val="24"/>
                <w:u w:val="single"/>
              </w:rPr>
              <w:t>沉淀</w:t>
            </w:r>
            <w:r>
              <w:rPr>
                <w:rFonts w:hint="eastAsia"/>
                <w:szCs w:val="24"/>
                <w:u w:val="single"/>
              </w:rPr>
              <w:t>+</w:t>
            </w:r>
            <w:r>
              <w:rPr>
                <w:rFonts w:hint="eastAsia" w:ascii="宋体" w:hAnsi="宋体"/>
                <w:szCs w:val="24"/>
                <w:u w:val="single"/>
              </w:rPr>
              <w:t>消毒工艺处理后排入乡镇污水管网，一般医院综合废水主要污染因子为</w:t>
            </w:r>
            <w:r>
              <w:rPr>
                <w:rFonts w:hint="eastAsia"/>
                <w:szCs w:val="24"/>
                <w:u w:val="single"/>
              </w:rPr>
              <w:t>COD</w:t>
            </w:r>
            <w:r>
              <w:rPr>
                <w:rFonts w:hint="eastAsia" w:ascii="宋体" w:hAnsi="宋体"/>
                <w:szCs w:val="24"/>
                <w:u w:val="single"/>
              </w:rPr>
              <w:t>、</w:t>
            </w:r>
            <w:r>
              <w:rPr>
                <w:rFonts w:hint="eastAsia"/>
                <w:szCs w:val="24"/>
                <w:u w:val="single"/>
              </w:rPr>
              <w:t>BOD</w:t>
            </w:r>
            <w:r>
              <w:rPr>
                <w:rFonts w:hint="eastAsia"/>
                <w:szCs w:val="24"/>
                <w:u w:val="single"/>
                <w:vertAlign w:val="subscript"/>
              </w:rPr>
              <w:t>5</w:t>
            </w:r>
            <w:r>
              <w:rPr>
                <w:rFonts w:hint="eastAsia" w:ascii="宋体" w:hAnsi="宋体"/>
                <w:szCs w:val="24"/>
                <w:u w:val="single"/>
              </w:rPr>
              <w:t>、氨氮、</w:t>
            </w:r>
            <w:r>
              <w:rPr>
                <w:rFonts w:hint="eastAsia"/>
                <w:szCs w:val="24"/>
                <w:u w:val="single"/>
              </w:rPr>
              <w:t>SS</w:t>
            </w:r>
            <w:r>
              <w:rPr>
                <w:rFonts w:hint="eastAsia" w:ascii="宋体" w:hAnsi="宋体"/>
                <w:szCs w:val="24"/>
                <w:u w:val="single"/>
              </w:rPr>
              <w:t>、粪大肠菌等，</w:t>
            </w:r>
            <w:r>
              <w:rPr>
                <w:rFonts w:hint="eastAsia" w:ascii="宋体" w:hAnsi="宋体"/>
                <w:kern w:val="0"/>
                <w:szCs w:val="24"/>
                <w:u w:val="single"/>
              </w:rPr>
              <w:t>医疗废水浓度参照《医院污水处理工程技术规范》（</w:t>
            </w:r>
            <w:r>
              <w:rPr>
                <w:rFonts w:hint="eastAsia"/>
                <w:kern w:val="0"/>
                <w:szCs w:val="24"/>
                <w:u w:val="single"/>
              </w:rPr>
              <w:t>H</w:t>
            </w:r>
            <w:r>
              <w:rPr>
                <w:kern w:val="0"/>
                <w:szCs w:val="24"/>
                <w:u w:val="single"/>
              </w:rPr>
              <w:t>J 2029-2013</w:t>
            </w:r>
            <w:r>
              <w:rPr>
                <w:rFonts w:hint="eastAsia" w:ascii="宋体" w:hAnsi="宋体"/>
                <w:kern w:val="0"/>
                <w:szCs w:val="24"/>
                <w:u w:val="single"/>
              </w:rPr>
              <w:t>）中表</w:t>
            </w:r>
            <w:r>
              <w:rPr>
                <w:rFonts w:hint="eastAsia"/>
                <w:kern w:val="0"/>
                <w:szCs w:val="24"/>
                <w:u w:val="single"/>
              </w:rPr>
              <w:t>1</w:t>
            </w:r>
            <w:r>
              <w:rPr>
                <w:rFonts w:hint="eastAsia" w:ascii="宋体" w:hAnsi="宋体"/>
                <w:kern w:val="0"/>
                <w:szCs w:val="24"/>
                <w:u w:val="single"/>
              </w:rPr>
              <w:t>设计水质参考经验值，</w:t>
            </w:r>
            <w:r>
              <w:rPr>
                <w:rFonts w:hint="eastAsia"/>
                <w:kern w:val="0"/>
                <w:szCs w:val="24"/>
                <w:u w:val="single"/>
              </w:rPr>
              <w:t>C</w:t>
            </w:r>
            <w:r>
              <w:rPr>
                <w:kern w:val="0"/>
                <w:szCs w:val="24"/>
                <w:u w:val="single"/>
              </w:rPr>
              <w:t>ODcr</w:t>
            </w:r>
            <w:r>
              <w:rPr>
                <w:rFonts w:hint="eastAsia" w:ascii="宋体" w:hAnsi="宋体"/>
                <w:kern w:val="0"/>
                <w:szCs w:val="24"/>
                <w:u w:val="single"/>
              </w:rPr>
              <w:t>：</w:t>
            </w:r>
            <w:r>
              <w:rPr>
                <w:rFonts w:hint="eastAsia"/>
                <w:kern w:val="0"/>
                <w:szCs w:val="24"/>
                <w:u w:val="single"/>
              </w:rPr>
              <w:t>1</w:t>
            </w:r>
            <w:r>
              <w:rPr>
                <w:kern w:val="0"/>
                <w:szCs w:val="24"/>
                <w:u w:val="single"/>
              </w:rPr>
              <w:t>50~300mg</w:t>
            </w:r>
            <w:r>
              <w:rPr>
                <w:rFonts w:hint="eastAsia"/>
                <w:kern w:val="0"/>
                <w:szCs w:val="24"/>
                <w:u w:val="single"/>
              </w:rPr>
              <w:t>/</w:t>
            </w:r>
            <w:r>
              <w:rPr>
                <w:kern w:val="0"/>
                <w:szCs w:val="24"/>
                <w:u w:val="single"/>
              </w:rPr>
              <w:t>L</w:t>
            </w:r>
            <w:r>
              <w:rPr>
                <w:rFonts w:hint="eastAsia" w:ascii="宋体" w:hAnsi="宋体"/>
                <w:kern w:val="0"/>
                <w:szCs w:val="24"/>
                <w:u w:val="single"/>
              </w:rPr>
              <w:t>、</w:t>
            </w:r>
            <w:r>
              <w:rPr>
                <w:rFonts w:hint="eastAsia"/>
                <w:kern w:val="0"/>
                <w:szCs w:val="24"/>
                <w:u w:val="single"/>
              </w:rPr>
              <w:t>B</w:t>
            </w:r>
            <w:r>
              <w:rPr>
                <w:kern w:val="0"/>
                <w:szCs w:val="24"/>
                <w:u w:val="single"/>
              </w:rPr>
              <w:t>OD</w:t>
            </w:r>
            <w:r>
              <w:rPr>
                <w:kern w:val="0"/>
                <w:szCs w:val="24"/>
                <w:u w:val="single"/>
                <w:vertAlign w:val="subscript"/>
              </w:rPr>
              <w:t>5</w:t>
            </w:r>
            <w:r>
              <w:rPr>
                <w:rFonts w:hint="eastAsia" w:ascii="宋体" w:hAnsi="宋体"/>
                <w:kern w:val="0"/>
                <w:szCs w:val="24"/>
                <w:u w:val="single"/>
              </w:rPr>
              <w:t>：</w:t>
            </w:r>
            <w:r>
              <w:rPr>
                <w:kern w:val="0"/>
                <w:szCs w:val="24"/>
                <w:u w:val="single"/>
              </w:rPr>
              <w:t>80~150mg</w:t>
            </w:r>
            <w:r>
              <w:rPr>
                <w:rFonts w:hint="eastAsia"/>
                <w:kern w:val="0"/>
                <w:szCs w:val="24"/>
                <w:u w:val="single"/>
              </w:rPr>
              <w:t>/</w:t>
            </w:r>
            <w:r>
              <w:rPr>
                <w:kern w:val="0"/>
                <w:szCs w:val="24"/>
                <w:u w:val="single"/>
              </w:rPr>
              <w:t>L</w:t>
            </w:r>
            <w:r>
              <w:rPr>
                <w:rFonts w:hint="eastAsia" w:ascii="宋体" w:hAnsi="宋体"/>
                <w:kern w:val="0"/>
                <w:szCs w:val="24"/>
                <w:u w:val="single"/>
              </w:rPr>
              <w:t>、</w:t>
            </w:r>
            <w:r>
              <w:rPr>
                <w:rFonts w:hint="eastAsia"/>
                <w:kern w:val="0"/>
                <w:szCs w:val="24"/>
                <w:u w:val="single"/>
              </w:rPr>
              <w:t>S</w:t>
            </w:r>
            <w:r>
              <w:rPr>
                <w:kern w:val="0"/>
                <w:szCs w:val="24"/>
                <w:u w:val="single"/>
              </w:rPr>
              <w:t>S</w:t>
            </w:r>
            <w:r>
              <w:rPr>
                <w:rFonts w:hint="eastAsia" w:ascii="宋体" w:hAnsi="宋体"/>
                <w:kern w:val="0"/>
                <w:szCs w:val="24"/>
                <w:u w:val="single"/>
              </w:rPr>
              <w:t>：</w:t>
            </w:r>
            <w:r>
              <w:rPr>
                <w:kern w:val="0"/>
                <w:szCs w:val="24"/>
                <w:u w:val="single"/>
              </w:rPr>
              <w:t>40~120mg</w:t>
            </w:r>
            <w:r>
              <w:rPr>
                <w:rFonts w:hint="eastAsia"/>
                <w:kern w:val="0"/>
                <w:szCs w:val="24"/>
                <w:u w:val="single"/>
              </w:rPr>
              <w:t>/</w:t>
            </w:r>
            <w:r>
              <w:rPr>
                <w:kern w:val="0"/>
                <w:szCs w:val="24"/>
                <w:u w:val="single"/>
              </w:rPr>
              <w:t>L</w:t>
            </w:r>
            <w:r>
              <w:rPr>
                <w:rFonts w:hint="eastAsia" w:ascii="宋体" w:hAnsi="宋体"/>
                <w:kern w:val="0"/>
                <w:szCs w:val="24"/>
                <w:u w:val="single"/>
              </w:rPr>
              <w:t>、</w:t>
            </w:r>
            <w:r>
              <w:rPr>
                <w:rFonts w:hint="eastAsia"/>
                <w:kern w:val="0"/>
                <w:szCs w:val="24"/>
                <w:u w:val="single"/>
              </w:rPr>
              <w:t>N</w:t>
            </w:r>
            <w:r>
              <w:rPr>
                <w:kern w:val="0"/>
                <w:szCs w:val="24"/>
                <w:u w:val="single"/>
              </w:rPr>
              <w:t>H</w:t>
            </w:r>
            <w:r>
              <w:rPr>
                <w:kern w:val="0"/>
                <w:szCs w:val="24"/>
                <w:u w:val="single"/>
                <w:vertAlign w:val="subscript"/>
              </w:rPr>
              <w:t>3</w:t>
            </w:r>
            <w:r>
              <w:rPr>
                <w:kern w:val="0"/>
                <w:szCs w:val="24"/>
                <w:u w:val="single"/>
              </w:rPr>
              <w:t>-H</w:t>
            </w:r>
            <w:r>
              <w:rPr>
                <w:rFonts w:hint="eastAsia" w:ascii="宋体" w:hAnsi="宋体"/>
                <w:kern w:val="0"/>
                <w:szCs w:val="24"/>
                <w:u w:val="single"/>
              </w:rPr>
              <w:t>：</w:t>
            </w:r>
            <w:r>
              <w:rPr>
                <w:kern w:val="0"/>
                <w:szCs w:val="24"/>
                <w:u w:val="single"/>
              </w:rPr>
              <w:t>10~50mg</w:t>
            </w:r>
            <w:r>
              <w:rPr>
                <w:rFonts w:hint="eastAsia"/>
                <w:kern w:val="0"/>
                <w:szCs w:val="24"/>
                <w:u w:val="single"/>
              </w:rPr>
              <w:t>/</w:t>
            </w:r>
            <w:r>
              <w:rPr>
                <w:kern w:val="0"/>
                <w:szCs w:val="24"/>
                <w:u w:val="single"/>
              </w:rPr>
              <w:t>L</w:t>
            </w:r>
            <w:r>
              <w:rPr>
                <w:rFonts w:hint="eastAsia" w:ascii="宋体" w:hAnsi="宋体"/>
                <w:kern w:val="0"/>
                <w:szCs w:val="24"/>
                <w:u w:val="single"/>
              </w:rPr>
              <w:t>，本次计算产生浓度按照最大值计算，故本项目废水排放情况如下：</w:t>
            </w:r>
          </w:p>
          <w:p w14:paraId="2256086E">
            <w:pPr>
              <w:jc w:val="center"/>
              <w:rPr>
                <w:b/>
                <w:bCs/>
                <w:szCs w:val="24"/>
                <w:u w:val="single"/>
              </w:rPr>
            </w:pPr>
            <w:r>
              <w:rPr>
                <w:rFonts w:hint="eastAsia" w:ascii="宋体" w:hAnsi="宋体"/>
                <w:b/>
                <w:bCs/>
                <w:szCs w:val="24"/>
                <w:u w:val="single"/>
              </w:rPr>
              <w:t>表</w:t>
            </w:r>
            <w:r>
              <w:rPr>
                <w:rFonts w:hint="eastAsia"/>
                <w:b/>
                <w:bCs/>
                <w:szCs w:val="24"/>
                <w:u w:val="single"/>
              </w:rPr>
              <w:t>2</w:t>
            </w:r>
            <w:r>
              <w:rPr>
                <w:b/>
                <w:bCs/>
                <w:szCs w:val="24"/>
                <w:u w:val="single"/>
              </w:rPr>
              <w:t xml:space="preserve">-6 </w:t>
            </w:r>
            <w:r>
              <w:rPr>
                <w:rFonts w:hint="eastAsia" w:ascii="宋体" w:hAnsi="宋体"/>
                <w:b/>
                <w:bCs/>
                <w:szCs w:val="24"/>
                <w:u w:val="single"/>
              </w:rPr>
              <w:t>项目现有废水产排情况一览表</w:t>
            </w:r>
          </w:p>
          <w:tbl>
            <w:tblPr>
              <w:tblStyle w:val="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3398"/>
              <w:gridCol w:w="1063"/>
              <w:gridCol w:w="1239"/>
              <w:gridCol w:w="1081"/>
              <w:gridCol w:w="1694"/>
            </w:tblGrid>
            <w:tr w14:paraId="3BC40E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5000" w:type="pct"/>
                  <w:gridSpan w:val="5"/>
                  <w:tcBorders>
                    <w:top w:val="single" w:color="auto" w:sz="12" w:space="0"/>
                    <w:left w:val="single" w:color="auto" w:sz="12" w:space="0"/>
                    <w:bottom w:val="single" w:color="auto" w:sz="4" w:space="0"/>
                    <w:right w:val="single" w:color="auto" w:sz="12" w:space="0"/>
                  </w:tcBorders>
                </w:tcPr>
                <w:p w14:paraId="598E1B8E">
                  <w:pPr>
                    <w:spacing w:line="240" w:lineRule="auto"/>
                    <w:jc w:val="center"/>
                    <w:rPr>
                      <w:kern w:val="0"/>
                      <w:sz w:val="21"/>
                      <w:szCs w:val="21"/>
                      <w:u w:val="single"/>
                    </w:rPr>
                  </w:pPr>
                  <w:r>
                    <w:rPr>
                      <w:rFonts w:hint="eastAsia" w:ascii="宋体" w:hAnsi="宋体"/>
                      <w:kern w:val="0"/>
                      <w:sz w:val="21"/>
                      <w:szCs w:val="21"/>
                      <w:u w:val="single"/>
                    </w:rPr>
                    <w:t>废水排放总量：</w:t>
                  </w:r>
                  <w:r>
                    <w:rPr>
                      <w:kern w:val="0"/>
                      <w:sz w:val="21"/>
                      <w:szCs w:val="21"/>
                      <w:u w:val="single"/>
                    </w:rPr>
                    <w:t>1642.5m</w:t>
                  </w:r>
                  <w:r>
                    <w:rPr>
                      <w:kern w:val="0"/>
                      <w:sz w:val="21"/>
                      <w:szCs w:val="21"/>
                      <w:u w:val="single"/>
                      <w:vertAlign w:val="superscript"/>
                    </w:rPr>
                    <w:t>3</w:t>
                  </w:r>
                  <w:r>
                    <w:rPr>
                      <w:kern w:val="0"/>
                      <w:sz w:val="21"/>
                      <w:szCs w:val="21"/>
                      <w:u w:val="single"/>
                    </w:rPr>
                    <w:t>/a</w:t>
                  </w:r>
                </w:p>
              </w:tc>
            </w:tr>
            <w:tr w14:paraId="5783E04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6B6363CC">
                  <w:pPr>
                    <w:spacing w:line="240" w:lineRule="auto"/>
                    <w:jc w:val="center"/>
                    <w:rPr>
                      <w:kern w:val="0"/>
                      <w:sz w:val="21"/>
                      <w:szCs w:val="21"/>
                      <w:u w:val="single"/>
                    </w:rPr>
                  </w:pPr>
                  <w:r>
                    <w:rPr>
                      <w:rFonts w:hint="eastAsia" w:ascii="宋体" w:hAnsi="宋体"/>
                      <w:kern w:val="0"/>
                      <w:sz w:val="21"/>
                      <w:szCs w:val="21"/>
                      <w:u w:val="single"/>
                    </w:rPr>
                    <w:t>排放因子</w:t>
                  </w:r>
                </w:p>
              </w:tc>
              <w:tc>
                <w:tcPr>
                  <w:tcW w:w="627" w:type="pct"/>
                  <w:tcBorders>
                    <w:top w:val="single" w:color="auto" w:sz="4" w:space="0"/>
                    <w:left w:val="nil"/>
                    <w:bottom w:val="single" w:color="auto" w:sz="4" w:space="0"/>
                    <w:right w:val="single" w:color="auto" w:sz="4" w:space="0"/>
                  </w:tcBorders>
                </w:tcPr>
                <w:p w14:paraId="5EF86BF0">
                  <w:pPr>
                    <w:spacing w:line="240" w:lineRule="auto"/>
                    <w:jc w:val="center"/>
                    <w:rPr>
                      <w:kern w:val="0"/>
                      <w:sz w:val="21"/>
                      <w:szCs w:val="21"/>
                      <w:u w:val="single"/>
                    </w:rPr>
                  </w:pPr>
                  <w:r>
                    <w:rPr>
                      <w:rFonts w:hint="eastAsia"/>
                      <w:kern w:val="0"/>
                      <w:sz w:val="21"/>
                      <w:szCs w:val="21"/>
                      <w:u w:val="single"/>
                    </w:rPr>
                    <w:t>C</w:t>
                  </w:r>
                  <w:r>
                    <w:rPr>
                      <w:kern w:val="0"/>
                      <w:sz w:val="21"/>
                      <w:szCs w:val="21"/>
                      <w:u w:val="single"/>
                    </w:rPr>
                    <w:t>OD</w:t>
                  </w:r>
                </w:p>
              </w:tc>
              <w:tc>
                <w:tcPr>
                  <w:tcW w:w="731" w:type="pct"/>
                  <w:tcBorders>
                    <w:top w:val="single" w:color="auto" w:sz="4" w:space="0"/>
                    <w:left w:val="nil"/>
                    <w:bottom w:val="single" w:color="auto" w:sz="4" w:space="0"/>
                    <w:right w:val="single" w:color="auto" w:sz="4" w:space="0"/>
                  </w:tcBorders>
                  <w:vAlign w:val="bottom"/>
                </w:tcPr>
                <w:p w14:paraId="7B51C680">
                  <w:pPr>
                    <w:spacing w:line="240" w:lineRule="auto"/>
                    <w:jc w:val="center"/>
                    <w:rPr>
                      <w:kern w:val="0"/>
                      <w:sz w:val="21"/>
                      <w:szCs w:val="21"/>
                      <w:u w:val="single"/>
                    </w:rPr>
                  </w:pPr>
                  <w:r>
                    <w:rPr>
                      <w:rFonts w:hint="eastAsia"/>
                      <w:kern w:val="0"/>
                      <w:sz w:val="21"/>
                      <w:szCs w:val="21"/>
                      <w:u w:val="single"/>
                    </w:rPr>
                    <w:t>BOD</w:t>
                  </w:r>
                  <w:r>
                    <w:rPr>
                      <w:kern w:val="0"/>
                      <w:sz w:val="21"/>
                      <w:szCs w:val="21"/>
                      <w:u w:val="single"/>
                      <w:vertAlign w:val="subscript"/>
                    </w:rPr>
                    <w:t>5</w:t>
                  </w:r>
                </w:p>
              </w:tc>
              <w:tc>
                <w:tcPr>
                  <w:tcW w:w="638" w:type="pct"/>
                  <w:tcBorders>
                    <w:top w:val="single" w:color="auto" w:sz="4" w:space="0"/>
                    <w:left w:val="nil"/>
                    <w:bottom w:val="single" w:color="auto" w:sz="4" w:space="0"/>
                    <w:right w:val="single" w:color="auto" w:sz="4" w:space="0"/>
                  </w:tcBorders>
                  <w:vAlign w:val="bottom"/>
                </w:tcPr>
                <w:p w14:paraId="0B39276C">
                  <w:pPr>
                    <w:spacing w:line="240" w:lineRule="auto"/>
                    <w:jc w:val="center"/>
                    <w:rPr>
                      <w:kern w:val="0"/>
                      <w:sz w:val="21"/>
                      <w:szCs w:val="21"/>
                      <w:u w:val="single"/>
                    </w:rPr>
                  </w:pPr>
                  <w:r>
                    <w:rPr>
                      <w:kern w:val="0"/>
                      <w:sz w:val="21"/>
                      <w:szCs w:val="21"/>
                      <w:u w:val="single"/>
                    </w:rPr>
                    <w:t>SS</w:t>
                  </w:r>
                </w:p>
              </w:tc>
              <w:tc>
                <w:tcPr>
                  <w:tcW w:w="1000" w:type="pct"/>
                  <w:tcBorders>
                    <w:top w:val="single" w:color="auto" w:sz="4" w:space="0"/>
                    <w:left w:val="nil"/>
                    <w:bottom w:val="single" w:color="auto" w:sz="4" w:space="0"/>
                    <w:right w:val="single" w:color="auto" w:sz="12" w:space="0"/>
                  </w:tcBorders>
                  <w:vAlign w:val="bottom"/>
                </w:tcPr>
                <w:p w14:paraId="2AAA04B8">
                  <w:pPr>
                    <w:spacing w:line="240" w:lineRule="auto"/>
                    <w:jc w:val="center"/>
                    <w:rPr>
                      <w:kern w:val="0"/>
                      <w:sz w:val="21"/>
                      <w:szCs w:val="21"/>
                      <w:u w:val="single"/>
                    </w:rPr>
                  </w:pPr>
                  <w:r>
                    <w:rPr>
                      <w:rFonts w:hint="eastAsia"/>
                      <w:kern w:val="0"/>
                      <w:sz w:val="21"/>
                      <w:szCs w:val="21"/>
                      <w:u w:val="single"/>
                    </w:rPr>
                    <w:t>NH</w:t>
                  </w:r>
                  <w:r>
                    <w:rPr>
                      <w:rFonts w:hint="eastAsia"/>
                      <w:kern w:val="0"/>
                      <w:sz w:val="21"/>
                      <w:szCs w:val="21"/>
                      <w:u w:val="single"/>
                      <w:vertAlign w:val="subscript"/>
                    </w:rPr>
                    <w:t>3</w:t>
                  </w:r>
                  <w:r>
                    <w:rPr>
                      <w:rFonts w:hint="eastAsia"/>
                      <w:kern w:val="0"/>
                      <w:sz w:val="21"/>
                      <w:szCs w:val="21"/>
                      <w:u w:val="single"/>
                    </w:rPr>
                    <w:t>-N</w:t>
                  </w:r>
                </w:p>
              </w:tc>
            </w:tr>
            <w:tr w14:paraId="25C5689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79410BE4">
                  <w:pPr>
                    <w:spacing w:line="240" w:lineRule="auto"/>
                    <w:jc w:val="center"/>
                    <w:rPr>
                      <w:kern w:val="0"/>
                      <w:sz w:val="21"/>
                      <w:szCs w:val="21"/>
                      <w:u w:val="single"/>
                    </w:rPr>
                  </w:pPr>
                  <w:r>
                    <w:rPr>
                      <w:rFonts w:hint="eastAsia" w:ascii="宋体" w:hAnsi="宋体"/>
                      <w:kern w:val="0"/>
                      <w:sz w:val="21"/>
                      <w:szCs w:val="21"/>
                      <w:u w:val="single"/>
                    </w:rPr>
                    <w:t>产生浓度（</w:t>
                  </w:r>
                  <w:r>
                    <w:rPr>
                      <w:rFonts w:hint="eastAsia"/>
                      <w:kern w:val="0"/>
                      <w:sz w:val="21"/>
                      <w:szCs w:val="21"/>
                      <w:u w:val="single"/>
                    </w:rPr>
                    <w:t>m</w:t>
                  </w:r>
                  <w:r>
                    <w:rPr>
                      <w:kern w:val="0"/>
                      <w:sz w:val="21"/>
                      <w:szCs w:val="21"/>
                      <w:u w:val="single"/>
                    </w:rPr>
                    <w:t>g/L</w:t>
                  </w:r>
                  <w:r>
                    <w:rPr>
                      <w:rFonts w:hint="eastAsia" w:ascii="宋体" w:hAnsi="宋体"/>
                      <w:kern w:val="0"/>
                      <w:sz w:val="21"/>
                      <w:szCs w:val="21"/>
                      <w:u w:val="single"/>
                    </w:rPr>
                    <w:t>）</w:t>
                  </w:r>
                </w:p>
              </w:tc>
              <w:tc>
                <w:tcPr>
                  <w:tcW w:w="627" w:type="pct"/>
                  <w:tcBorders>
                    <w:top w:val="single" w:color="auto" w:sz="4" w:space="0"/>
                    <w:left w:val="nil"/>
                    <w:bottom w:val="single" w:color="auto" w:sz="4" w:space="0"/>
                    <w:right w:val="single" w:color="auto" w:sz="4" w:space="0"/>
                  </w:tcBorders>
                </w:tcPr>
                <w:p w14:paraId="4F7217D2">
                  <w:pPr>
                    <w:spacing w:line="240" w:lineRule="auto"/>
                    <w:jc w:val="center"/>
                    <w:rPr>
                      <w:kern w:val="0"/>
                      <w:sz w:val="21"/>
                      <w:szCs w:val="21"/>
                      <w:u w:val="single"/>
                    </w:rPr>
                  </w:pPr>
                  <w:r>
                    <w:rPr>
                      <w:rFonts w:hint="eastAsia"/>
                      <w:kern w:val="0"/>
                      <w:sz w:val="21"/>
                      <w:szCs w:val="21"/>
                      <w:u w:val="single"/>
                    </w:rPr>
                    <w:t>3</w:t>
                  </w:r>
                  <w:r>
                    <w:rPr>
                      <w:kern w:val="0"/>
                      <w:sz w:val="21"/>
                      <w:szCs w:val="21"/>
                      <w:u w:val="single"/>
                    </w:rPr>
                    <w:t>00</w:t>
                  </w:r>
                </w:p>
              </w:tc>
              <w:tc>
                <w:tcPr>
                  <w:tcW w:w="731" w:type="pct"/>
                  <w:tcBorders>
                    <w:top w:val="single" w:color="auto" w:sz="4" w:space="0"/>
                    <w:left w:val="nil"/>
                    <w:bottom w:val="single" w:color="auto" w:sz="4" w:space="0"/>
                    <w:right w:val="single" w:color="auto" w:sz="4" w:space="0"/>
                  </w:tcBorders>
                  <w:vAlign w:val="bottom"/>
                </w:tcPr>
                <w:p w14:paraId="6708C601">
                  <w:pPr>
                    <w:spacing w:line="240" w:lineRule="auto"/>
                    <w:jc w:val="center"/>
                    <w:rPr>
                      <w:kern w:val="0"/>
                      <w:sz w:val="21"/>
                      <w:szCs w:val="21"/>
                      <w:u w:val="single"/>
                    </w:rPr>
                  </w:pPr>
                  <w:r>
                    <w:rPr>
                      <w:rFonts w:hint="eastAsia"/>
                      <w:kern w:val="0"/>
                      <w:sz w:val="21"/>
                      <w:szCs w:val="21"/>
                      <w:u w:val="single"/>
                    </w:rPr>
                    <w:t>1</w:t>
                  </w:r>
                  <w:r>
                    <w:rPr>
                      <w:kern w:val="0"/>
                      <w:sz w:val="21"/>
                      <w:szCs w:val="21"/>
                      <w:u w:val="single"/>
                    </w:rPr>
                    <w:t>50</w:t>
                  </w:r>
                </w:p>
              </w:tc>
              <w:tc>
                <w:tcPr>
                  <w:tcW w:w="638" w:type="pct"/>
                  <w:tcBorders>
                    <w:top w:val="single" w:color="auto" w:sz="4" w:space="0"/>
                    <w:left w:val="nil"/>
                    <w:bottom w:val="single" w:color="auto" w:sz="4" w:space="0"/>
                    <w:right w:val="single" w:color="auto" w:sz="4" w:space="0"/>
                  </w:tcBorders>
                  <w:vAlign w:val="bottom"/>
                </w:tcPr>
                <w:p w14:paraId="56A0F1B9">
                  <w:pPr>
                    <w:spacing w:line="240" w:lineRule="auto"/>
                    <w:jc w:val="center"/>
                    <w:rPr>
                      <w:kern w:val="0"/>
                      <w:sz w:val="21"/>
                      <w:szCs w:val="21"/>
                      <w:u w:val="single"/>
                    </w:rPr>
                  </w:pPr>
                  <w:r>
                    <w:rPr>
                      <w:rFonts w:hint="eastAsia"/>
                      <w:kern w:val="0"/>
                      <w:sz w:val="21"/>
                      <w:szCs w:val="21"/>
                      <w:u w:val="single"/>
                    </w:rPr>
                    <w:t>1</w:t>
                  </w:r>
                  <w:r>
                    <w:rPr>
                      <w:kern w:val="0"/>
                      <w:sz w:val="21"/>
                      <w:szCs w:val="21"/>
                      <w:u w:val="single"/>
                    </w:rPr>
                    <w:t>20</w:t>
                  </w:r>
                </w:p>
              </w:tc>
              <w:tc>
                <w:tcPr>
                  <w:tcW w:w="1000" w:type="pct"/>
                  <w:tcBorders>
                    <w:top w:val="single" w:color="auto" w:sz="4" w:space="0"/>
                    <w:left w:val="nil"/>
                    <w:bottom w:val="single" w:color="auto" w:sz="4" w:space="0"/>
                    <w:right w:val="single" w:color="auto" w:sz="12" w:space="0"/>
                  </w:tcBorders>
                  <w:vAlign w:val="bottom"/>
                </w:tcPr>
                <w:p w14:paraId="77662C7B">
                  <w:pPr>
                    <w:spacing w:line="240" w:lineRule="auto"/>
                    <w:jc w:val="center"/>
                    <w:rPr>
                      <w:kern w:val="0"/>
                      <w:sz w:val="21"/>
                      <w:szCs w:val="21"/>
                      <w:u w:val="single"/>
                    </w:rPr>
                  </w:pPr>
                  <w:r>
                    <w:rPr>
                      <w:rFonts w:hint="eastAsia"/>
                      <w:kern w:val="0"/>
                      <w:sz w:val="21"/>
                      <w:szCs w:val="21"/>
                      <w:u w:val="single"/>
                    </w:rPr>
                    <w:t>5</w:t>
                  </w:r>
                  <w:r>
                    <w:rPr>
                      <w:kern w:val="0"/>
                      <w:sz w:val="21"/>
                      <w:szCs w:val="21"/>
                      <w:u w:val="single"/>
                    </w:rPr>
                    <w:t>0</w:t>
                  </w:r>
                </w:p>
              </w:tc>
            </w:tr>
            <w:tr w14:paraId="475EA3A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21493C26">
                  <w:pPr>
                    <w:spacing w:line="240" w:lineRule="auto"/>
                    <w:jc w:val="center"/>
                    <w:rPr>
                      <w:kern w:val="0"/>
                      <w:sz w:val="21"/>
                      <w:szCs w:val="21"/>
                      <w:u w:val="single"/>
                    </w:rPr>
                  </w:pPr>
                  <w:r>
                    <w:rPr>
                      <w:rFonts w:hint="eastAsia" w:ascii="宋体" w:hAnsi="宋体"/>
                      <w:kern w:val="0"/>
                      <w:sz w:val="21"/>
                      <w:szCs w:val="21"/>
                      <w:u w:val="single"/>
                    </w:rPr>
                    <w:t>产生量（</w:t>
                  </w:r>
                  <w:r>
                    <w:rPr>
                      <w:rFonts w:hint="eastAsia"/>
                      <w:kern w:val="0"/>
                      <w:sz w:val="21"/>
                      <w:szCs w:val="21"/>
                      <w:u w:val="single"/>
                    </w:rPr>
                    <w:t>t/a</w:t>
                  </w:r>
                  <w:r>
                    <w:rPr>
                      <w:rFonts w:hint="eastAsia" w:ascii="宋体" w:hAnsi="宋体"/>
                      <w:kern w:val="0"/>
                      <w:sz w:val="21"/>
                      <w:szCs w:val="21"/>
                      <w:u w:val="single"/>
                    </w:rPr>
                    <w:t>）</w:t>
                  </w:r>
                </w:p>
              </w:tc>
              <w:tc>
                <w:tcPr>
                  <w:tcW w:w="627" w:type="pct"/>
                  <w:tcBorders>
                    <w:top w:val="single" w:color="auto" w:sz="4" w:space="0"/>
                    <w:left w:val="nil"/>
                    <w:bottom w:val="single" w:color="auto" w:sz="4" w:space="0"/>
                    <w:right w:val="single" w:color="auto" w:sz="4" w:space="0"/>
                  </w:tcBorders>
                  <w:vAlign w:val="bottom"/>
                </w:tcPr>
                <w:p w14:paraId="11953D7F">
                  <w:pPr>
                    <w:spacing w:line="240" w:lineRule="auto"/>
                    <w:jc w:val="center"/>
                    <w:rPr>
                      <w:kern w:val="0"/>
                      <w:sz w:val="21"/>
                      <w:szCs w:val="21"/>
                      <w:u w:val="single"/>
                    </w:rPr>
                  </w:pPr>
                  <w:r>
                    <w:rPr>
                      <w:rFonts w:hint="eastAsia"/>
                      <w:kern w:val="0"/>
                      <w:sz w:val="21"/>
                      <w:szCs w:val="21"/>
                      <w:u w:val="single"/>
                    </w:rPr>
                    <w:t xml:space="preserve">0.493 </w:t>
                  </w:r>
                </w:p>
              </w:tc>
              <w:tc>
                <w:tcPr>
                  <w:tcW w:w="731" w:type="pct"/>
                  <w:tcBorders>
                    <w:top w:val="single" w:color="auto" w:sz="4" w:space="0"/>
                    <w:left w:val="nil"/>
                    <w:bottom w:val="single" w:color="auto" w:sz="4" w:space="0"/>
                    <w:right w:val="single" w:color="auto" w:sz="4" w:space="0"/>
                  </w:tcBorders>
                  <w:vAlign w:val="bottom"/>
                </w:tcPr>
                <w:p w14:paraId="2564F3C0">
                  <w:pPr>
                    <w:spacing w:line="240" w:lineRule="auto"/>
                    <w:jc w:val="center"/>
                    <w:rPr>
                      <w:kern w:val="0"/>
                      <w:sz w:val="21"/>
                      <w:szCs w:val="21"/>
                      <w:u w:val="single"/>
                    </w:rPr>
                  </w:pPr>
                  <w:r>
                    <w:rPr>
                      <w:rFonts w:hint="eastAsia"/>
                      <w:kern w:val="0"/>
                      <w:sz w:val="21"/>
                      <w:szCs w:val="21"/>
                      <w:u w:val="single"/>
                    </w:rPr>
                    <w:t xml:space="preserve">0.246 </w:t>
                  </w:r>
                </w:p>
              </w:tc>
              <w:tc>
                <w:tcPr>
                  <w:tcW w:w="638" w:type="pct"/>
                  <w:tcBorders>
                    <w:top w:val="single" w:color="auto" w:sz="4" w:space="0"/>
                    <w:left w:val="nil"/>
                    <w:bottom w:val="single" w:color="auto" w:sz="4" w:space="0"/>
                    <w:right w:val="single" w:color="auto" w:sz="4" w:space="0"/>
                  </w:tcBorders>
                  <w:vAlign w:val="bottom"/>
                </w:tcPr>
                <w:p w14:paraId="2CE7D296">
                  <w:pPr>
                    <w:spacing w:line="240" w:lineRule="auto"/>
                    <w:jc w:val="center"/>
                    <w:rPr>
                      <w:kern w:val="0"/>
                      <w:sz w:val="21"/>
                      <w:szCs w:val="21"/>
                      <w:u w:val="single"/>
                    </w:rPr>
                  </w:pPr>
                  <w:r>
                    <w:rPr>
                      <w:rFonts w:hint="eastAsia"/>
                      <w:kern w:val="0"/>
                      <w:sz w:val="21"/>
                      <w:szCs w:val="21"/>
                      <w:u w:val="single"/>
                    </w:rPr>
                    <w:t xml:space="preserve">0.197 </w:t>
                  </w:r>
                </w:p>
              </w:tc>
              <w:tc>
                <w:tcPr>
                  <w:tcW w:w="1000" w:type="pct"/>
                  <w:tcBorders>
                    <w:top w:val="single" w:color="auto" w:sz="4" w:space="0"/>
                    <w:left w:val="nil"/>
                    <w:bottom w:val="single" w:color="auto" w:sz="4" w:space="0"/>
                    <w:right w:val="single" w:color="auto" w:sz="12" w:space="0"/>
                  </w:tcBorders>
                  <w:vAlign w:val="bottom"/>
                </w:tcPr>
                <w:p w14:paraId="5486830E">
                  <w:pPr>
                    <w:spacing w:line="240" w:lineRule="auto"/>
                    <w:jc w:val="center"/>
                    <w:rPr>
                      <w:kern w:val="0"/>
                      <w:sz w:val="21"/>
                      <w:szCs w:val="21"/>
                      <w:u w:val="single"/>
                    </w:rPr>
                  </w:pPr>
                  <w:r>
                    <w:rPr>
                      <w:rFonts w:hint="eastAsia"/>
                      <w:kern w:val="0"/>
                      <w:sz w:val="21"/>
                      <w:szCs w:val="21"/>
                      <w:u w:val="single"/>
                    </w:rPr>
                    <w:t xml:space="preserve">0.082 </w:t>
                  </w:r>
                </w:p>
              </w:tc>
            </w:tr>
            <w:tr w14:paraId="4F53EF4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14B80E6A">
                  <w:pPr>
                    <w:spacing w:line="240" w:lineRule="auto"/>
                    <w:jc w:val="center"/>
                    <w:rPr>
                      <w:kern w:val="0"/>
                      <w:sz w:val="21"/>
                      <w:szCs w:val="21"/>
                      <w:u w:val="single"/>
                    </w:rPr>
                  </w:pPr>
                  <w:r>
                    <w:rPr>
                      <w:rFonts w:hint="eastAsia" w:ascii="宋体" w:hAnsi="宋体"/>
                      <w:kern w:val="0"/>
                      <w:sz w:val="21"/>
                      <w:szCs w:val="21"/>
                      <w:u w:val="single"/>
                    </w:rPr>
                    <w:t>卫生院排放浓度（</w:t>
                  </w:r>
                  <w:r>
                    <w:rPr>
                      <w:rFonts w:hint="eastAsia"/>
                      <w:kern w:val="0"/>
                      <w:sz w:val="21"/>
                      <w:szCs w:val="21"/>
                      <w:u w:val="single"/>
                    </w:rPr>
                    <w:t>m</w:t>
                  </w:r>
                  <w:r>
                    <w:rPr>
                      <w:kern w:val="0"/>
                      <w:sz w:val="21"/>
                      <w:szCs w:val="21"/>
                      <w:u w:val="single"/>
                    </w:rPr>
                    <w:t>g/L</w:t>
                  </w:r>
                  <w:r>
                    <w:rPr>
                      <w:rFonts w:hint="eastAsia" w:ascii="宋体" w:hAnsi="宋体"/>
                      <w:kern w:val="0"/>
                      <w:sz w:val="21"/>
                      <w:szCs w:val="21"/>
                      <w:u w:val="single"/>
                    </w:rPr>
                    <w:t>）</w:t>
                  </w:r>
                </w:p>
              </w:tc>
              <w:tc>
                <w:tcPr>
                  <w:tcW w:w="627" w:type="pct"/>
                  <w:tcBorders>
                    <w:top w:val="single" w:color="auto" w:sz="4" w:space="0"/>
                    <w:left w:val="nil"/>
                    <w:bottom w:val="single" w:color="auto" w:sz="4" w:space="0"/>
                    <w:right w:val="single" w:color="auto" w:sz="4" w:space="0"/>
                  </w:tcBorders>
                  <w:vAlign w:val="center"/>
                </w:tcPr>
                <w:p w14:paraId="740DB173">
                  <w:pPr>
                    <w:spacing w:line="240" w:lineRule="auto"/>
                    <w:jc w:val="center"/>
                    <w:rPr>
                      <w:kern w:val="0"/>
                      <w:sz w:val="21"/>
                      <w:szCs w:val="21"/>
                      <w:u w:val="single"/>
                    </w:rPr>
                  </w:pPr>
                  <w:r>
                    <w:rPr>
                      <w:rFonts w:eastAsia="等线"/>
                      <w:color w:val="000000"/>
                      <w:kern w:val="0"/>
                      <w:sz w:val="21"/>
                      <w:szCs w:val="21"/>
                      <w:u w:val="single"/>
                    </w:rPr>
                    <w:t>250</w:t>
                  </w:r>
                </w:p>
              </w:tc>
              <w:tc>
                <w:tcPr>
                  <w:tcW w:w="731" w:type="pct"/>
                  <w:tcBorders>
                    <w:top w:val="single" w:color="auto" w:sz="4" w:space="0"/>
                    <w:left w:val="nil"/>
                    <w:bottom w:val="single" w:color="auto" w:sz="4" w:space="0"/>
                    <w:right w:val="single" w:color="auto" w:sz="4" w:space="0"/>
                  </w:tcBorders>
                  <w:vAlign w:val="center"/>
                </w:tcPr>
                <w:p w14:paraId="4C5D8AC7">
                  <w:pPr>
                    <w:spacing w:line="240" w:lineRule="auto"/>
                    <w:jc w:val="center"/>
                    <w:rPr>
                      <w:kern w:val="0"/>
                      <w:sz w:val="21"/>
                      <w:szCs w:val="21"/>
                      <w:u w:val="single"/>
                    </w:rPr>
                  </w:pPr>
                  <w:r>
                    <w:rPr>
                      <w:rFonts w:eastAsia="等线"/>
                      <w:color w:val="000000"/>
                      <w:kern w:val="0"/>
                      <w:sz w:val="21"/>
                      <w:szCs w:val="21"/>
                      <w:u w:val="single"/>
                    </w:rPr>
                    <w:t>100</w:t>
                  </w:r>
                </w:p>
              </w:tc>
              <w:tc>
                <w:tcPr>
                  <w:tcW w:w="638" w:type="pct"/>
                  <w:tcBorders>
                    <w:top w:val="single" w:color="auto" w:sz="4" w:space="0"/>
                    <w:left w:val="nil"/>
                    <w:bottom w:val="single" w:color="auto" w:sz="4" w:space="0"/>
                    <w:right w:val="single" w:color="auto" w:sz="4" w:space="0"/>
                  </w:tcBorders>
                  <w:vAlign w:val="center"/>
                </w:tcPr>
                <w:p w14:paraId="3BA1D3D4">
                  <w:pPr>
                    <w:spacing w:line="240" w:lineRule="auto"/>
                    <w:jc w:val="center"/>
                    <w:rPr>
                      <w:kern w:val="0"/>
                      <w:sz w:val="21"/>
                      <w:szCs w:val="21"/>
                      <w:u w:val="single"/>
                    </w:rPr>
                  </w:pPr>
                  <w:r>
                    <w:rPr>
                      <w:rFonts w:eastAsia="等线"/>
                      <w:color w:val="000000"/>
                      <w:kern w:val="0"/>
                      <w:sz w:val="21"/>
                      <w:szCs w:val="21"/>
                      <w:u w:val="single"/>
                    </w:rPr>
                    <w:t>60</w:t>
                  </w:r>
                </w:p>
              </w:tc>
              <w:tc>
                <w:tcPr>
                  <w:tcW w:w="1000" w:type="pct"/>
                  <w:tcBorders>
                    <w:top w:val="single" w:color="auto" w:sz="4" w:space="0"/>
                    <w:left w:val="nil"/>
                    <w:bottom w:val="single" w:color="auto" w:sz="4" w:space="0"/>
                    <w:right w:val="single" w:color="auto" w:sz="12" w:space="0"/>
                  </w:tcBorders>
                  <w:vAlign w:val="center"/>
                </w:tcPr>
                <w:p w14:paraId="4A483632">
                  <w:pPr>
                    <w:spacing w:line="240" w:lineRule="auto"/>
                    <w:jc w:val="center"/>
                    <w:rPr>
                      <w:kern w:val="0"/>
                      <w:sz w:val="21"/>
                      <w:szCs w:val="21"/>
                      <w:u w:val="single"/>
                    </w:rPr>
                  </w:pPr>
                  <w:r>
                    <w:rPr>
                      <w:rFonts w:eastAsia="等线"/>
                      <w:color w:val="000000"/>
                      <w:kern w:val="0"/>
                      <w:sz w:val="21"/>
                      <w:szCs w:val="21"/>
                      <w:u w:val="single"/>
                    </w:rPr>
                    <w:t>/</w:t>
                  </w:r>
                </w:p>
              </w:tc>
            </w:tr>
            <w:tr w14:paraId="7820507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620EA1AC">
                  <w:pPr>
                    <w:spacing w:line="240" w:lineRule="auto"/>
                    <w:jc w:val="center"/>
                    <w:rPr>
                      <w:kern w:val="0"/>
                      <w:sz w:val="21"/>
                      <w:szCs w:val="21"/>
                      <w:u w:val="single"/>
                    </w:rPr>
                  </w:pPr>
                  <w:r>
                    <w:rPr>
                      <w:rFonts w:hint="eastAsia" w:ascii="宋体" w:hAnsi="宋体"/>
                      <w:kern w:val="0"/>
                      <w:sz w:val="21"/>
                      <w:szCs w:val="21"/>
                      <w:u w:val="single"/>
                    </w:rPr>
                    <w:t>卫生院排放量（</w:t>
                  </w:r>
                  <w:r>
                    <w:rPr>
                      <w:rFonts w:hint="eastAsia"/>
                      <w:kern w:val="0"/>
                      <w:sz w:val="21"/>
                      <w:szCs w:val="21"/>
                      <w:u w:val="single"/>
                    </w:rPr>
                    <w:t>t/a</w:t>
                  </w:r>
                  <w:r>
                    <w:rPr>
                      <w:rFonts w:hint="eastAsia" w:ascii="宋体" w:hAnsi="宋体"/>
                      <w:kern w:val="0"/>
                      <w:sz w:val="21"/>
                      <w:szCs w:val="21"/>
                      <w:u w:val="single"/>
                    </w:rPr>
                    <w:t>）</w:t>
                  </w:r>
                </w:p>
              </w:tc>
              <w:tc>
                <w:tcPr>
                  <w:tcW w:w="627" w:type="pct"/>
                  <w:tcBorders>
                    <w:top w:val="single" w:color="auto" w:sz="4" w:space="0"/>
                    <w:left w:val="nil"/>
                    <w:bottom w:val="single" w:color="auto" w:sz="4" w:space="0"/>
                    <w:right w:val="single" w:color="auto" w:sz="4" w:space="0"/>
                  </w:tcBorders>
                  <w:vAlign w:val="bottom"/>
                </w:tcPr>
                <w:p w14:paraId="665D367F">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0.411 </w:t>
                  </w:r>
                </w:p>
              </w:tc>
              <w:tc>
                <w:tcPr>
                  <w:tcW w:w="731" w:type="pct"/>
                  <w:tcBorders>
                    <w:top w:val="single" w:color="auto" w:sz="4" w:space="0"/>
                    <w:left w:val="nil"/>
                    <w:bottom w:val="single" w:color="auto" w:sz="4" w:space="0"/>
                    <w:right w:val="single" w:color="auto" w:sz="4" w:space="0"/>
                  </w:tcBorders>
                  <w:vAlign w:val="bottom"/>
                </w:tcPr>
                <w:p w14:paraId="21009F5F">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0.164 </w:t>
                  </w:r>
                </w:p>
              </w:tc>
              <w:tc>
                <w:tcPr>
                  <w:tcW w:w="638" w:type="pct"/>
                  <w:tcBorders>
                    <w:top w:val="single" w:color="auto" w:sz="4" w:space="0"/>
                    <w:left w:val="nil"/>
                    <w:bottom w:val="single" w:color="auto" w:sz="4" w:space="0"/>
                    <w:right w:val="single" w:color="auto" w:sz="4" w:space="0"/>
                  </w:tcBorders>
                  <w:vAlign w:val="bottom"/>
                </w:tcPr>
                <w:p w14:paraId="2FEED54E">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0.099 </w:t>
                  </w:r>
                </w:p>
              </w:tc>
              <w:tc>
                <w:tcPr>
                  <w:tcW w:w="1000" w:type="pct"/>
                  <w:tcBorders>
                    <w:top w:val="single" w:color="auto" w:sz="4" w:space="0"/>
                    <w:left w:val="nil"/>
                    <w:bottom w:val="single" w:color="auto" w:sz="4" w:space="0"/>
                    <w:right w:val="single" w:color="auto" w:sz="12" w:space="0"/>
                  </w:tcBorders>
                  <w:vAlign w:val="center"/>
                </w:tcPr>
                <w:p w14:paraId="7879EA59">
                  <w:pPr>
                    <w:spacing w:line="240" w:lineRule="auto"/>
                    <w:jc w:val="center"/>
                    <w:rPr>
                      <w:kern w:val="0"/>
                      <w:sz w:val="21"/>
                      <w:szCs w:val="21"/>
                      <w:u w:val="single"/>
                    </w:rPr>
                  </w:pPr>
                  <w:r>
                    <w:rPr>
                      <w:rFonts w:eastAsia="等线"/>
                      <w:color w:val="000000"/>
                      <w:kern w:val="0"/>
                      <w:sz w:val="21"/>
                      <w:szCs w:val="21"/>
                      <w:u w:val="single"/>
                    </w:rPr>
                    <w:t xml:space="preserve">/ </w:t>
                  </w:r>
                </w:p>
              </w:tc>
            </w:tr>
            <w:tr w14:paraId="3C5E07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0ABADF7D">
                  <w:pPr>
                    <w:spacing w:line="240" w:lineRule="auto"/>
                    <w:jc w:val="center"/>
                    <w:rPr>
                      <w:kern w:val="0"/>
                      <w:sz w:val="21"/>
                      <w:szCs w:val="21"/>
                      <w:u w:val="single"/>
                    </w:rPr>
                  </w:pPr>
                  <w:r>
                    <w:rPr>
                      <w:rFonts w:hint="eastAsia" w:ascii="宋体" w:hAnsi="宋体"/>
                      <w:kern w:val="0"/>
                      <w:sz w:val="21"/>
                      <w:szCs w:val="21"/>
                      <w:u w:val="single"/>
                    </w:rPr>
                    <w:t>污水处理厂排放浓度（</w:t>
                  </w:r>
                  <w:r>
                    <w:rPr>
                      <w:rFonts w:hint="eastAsia"/>
                      <w:kern w:val="0"/>
                      <w:sz w:val="21"/>
                      <w:szCs w:val="21"/>
                      <w:u w:val="single"/>
                    </w:rPr>
                    <w:t>m</w:t>
                  </w:r>
                  <w:r>
                    <w:rPr>
                      <w:kern w:val="0"/>
                      <w:sz w:val="21"/>
                      <w:szCs w:val="21"/>
                      <w:u w:val="single"/>
                    </w:rPr>
                    <w:t>g/L</w:t>
                  </w:r>
                  <w:r>
                    <w:rPr>
                      <w:rFonts w:hint="eastAsia" w:ascii="宋体" w:hAnsi="宋体"/>
                      <w:kern w:val="0"/>
                      <w:sz w:val="21"/>
                      <w:szCs w:val="21"/>
                      <w:u w:val="single"/>
                    </w:rPr>
                    <w:t>）</w:t>
                  </w:r>
                </w:p>
              </w:tc>
              <w:tc>
                <w:tcPr>
                  <w:tcW w:w="627" w:type="pct"/>
                  <w:tcBorders>
                    <w:top w:val="single" w:color="auto" w:sz="4" w:space="0"/>
                    <w:left w:val="nil"/>
                    <w:bottom w:val="single" w:color="auto" w:sz="4" w:space="0"/>
                    <w:right w:val="single" w:color="auto" w:sz="4" w:space="0"/>
                  </w:tcBorders>
                  <w:vAlign w:val="center"/>
                </w:tcPr>
                <w:p w14:paraId="3E1C6932">
                  <w:pPr>
                    <w:spacing w:line="240" w:lineRule="auto"/>
                    <w:jc w:val="center"/>
                    <w:rPr>
                      <w:kern w:val="0"/>
                      <w:sz w:val="21"/>
                      <w:szCs w:val="21"/>
                      <w:u w:val="single"/>
                    </w:rPr>
                  </w:pPr>
                  <w:r>
                    <w:rPr>
                      <w:rFonts w:hint="eastAsia"/>
                      <w:kern w:val="0"/>
                      <w:sz w:val="21"/>
                      <w:szCs w:val="21"/>
                      <w:u w:val="single"/>
                    </w:rPr>
                    <w:t>5</w:t>
                  </w:r>
                  <w:r>
                    <w:rPr>
                      <w:kern w:val="0"/>
                      <w:sz w:val="21"/>
                      <w:szCs w:val="21"/>
                      <w:u w:val="single"/>
                    </w:rPr>
                    <w:t>0</w:t>
                  </w:r>
                </w:p>
              </w:tc>
              <w:tc>
                <w:tcPr>
                  <w:tcW w:w="731" w:type="pct"/>
                  <w:tcBorders>
                    <w:top w:val="single" w:color="auto" w:sz="4" w:space="0"/>
                    <w:left w:val="nil"/>
                    <w:bottom w:val="single" w:color="auto" w:sz="4" w:space="0"/>
                    <w:right w:val="single" w:color="auto" w:sz="4" w:space="0"/>
                  </w:tcBorders>
                  <w:vAlign w:val="center"/>
                </w:tcPr>
                <w:p w14:paraId="62FC7223">
                  <w:pPr>
                    <w:spacing w:line="240" w:lineRule="auto"/>
                    <w:jc w:val="center"/>
                    <w:rPr>
                      <w:kern w:val="0"/>
                      <w:sz w:val="21"/>
                      <w:szCs w:val="21"/>
                      <w:u w:val="single"/>
                    </w:rPr>
                  </w:pPr>
                  <w:r>
                    <w:rPr>
                      <w:rFonts w:hint="eastAsia"/>
                      <w:kern w:val="0"/>
                      <w:sz w:val="21"/>
                      <w:szCs w:val="21"/>
                      <w:u w:val="single"/>
                    </w:rPr>
                    <w:t>1</w:t>
                  </w:r>
                  <w:r>
                    <w:rPr>
                      <w:kern w:val="0"/>
                      <w:sz w:val="21"/>
                      <w:szCs w:val="21"/>
                      <w:u w:val="single"/>
                    </w:rPr>
                    <w:t>0</w:t>
                  </w:r>
                </w:p>
              </w:tc>
              <w:tc>
                <w:tcPr>
                  <w:tcW w:w="638" w:type="pct"/>
                  <w:tcBorders>
                    <w:top w:val="single" w:color="auto" w:sz="4" w:space="0"/>
                    <w:left w:val="nil"/>
                    <w:bottom w:val="single" w:color="auto" w:sz="4" w:space="0"/>
                    <w:right w:val="single" w:color="auto" w:sz="4" w:space="0"/>
                  </w:tcBorders>
                  <w:vAlign w:val="center"/>
                </w:tcPr>
                <w:p w14:paraId="09B393CA">
                  <w:pPr>
                    <w:spacing w:line="240" w:lineRule="auto"/>
                    <w:jc w:val="center"/>
                    <w:rPr>
                      <w:kern w:val="0"/>
                      <w:sz w:val="21"/>
                      <w:szCs w:val="21"/>
                      <w:u w:val="single"/>
                    </w:rPr>
                  </w:pPr>
                  <w:r>
                    <w:rPr>
                      <w:rFonts w:hint="eastAsia"/>
                      <w:kern w:val="0"/>
                      <w:sz w:val="21"/>
                      <w:szCs w:val="21"/>
                      <w:u w:val="single"/>
                    </w:rPr>
                    <w:t>1</w:t>
                  </w:r>
                  <w:r>
                    <w:rPr>
                      <w:kern w:val="0"/>
                      <w:sz w:val="21"/>
                      <w:szCs w:val="21"/>
                      <w:u w:val="single"/>
                    </w:rPr>
                    <w:t>0</w:t>
                  </w:r>
                </w:p>
              </w:tc>
              <w:tc>
                <w:tcPr>
                  <w:tcW w:w="1000" w:type="pct"/>
                  <w:tcBorders>
                    <w:top w:val="single" w:color="auto" w:sz="4" w:space="0"/>
                    <w:left w:val="nil"/>
                    <w:bottom w:val="single" w:color="auto" w:sz="4" w:space="0"/>
                    <w:right w:val="single" w:color="auto" w:sz="12" w:space="0"/>
                  </w:tcBorders>
                  <w:vAlign w:val="center"/>
                </w:tcPr>
                <w:p w14:paraId="49397583">
                  <w:pPr>
                    <w:spacing w:line="240" w:lineRule="auto"/>
                    <w:jc w:val="center"/>
                    <w:rPr>
                      <w:kern w:val="0"/>
                      <w:sz w:val="21"/>
                      <w:szCs w:val="21"/>
                      <w:u w:val="single"/>
                    </w:rPr>
                  </w:pPr>
                  <w:r>
                    <w:rPr>
                      <w:rFonts w:hint="eastAsia"/>
                      <w:kern w:val="0"/>
                      <w:sz w:val="21"/>
                      <w:szCs w:val="21"/>
                      <w:u w:val="single"/>
                    </w:rPr>
                    <w:t>5</w:t>
                  </w:r>
                  <w:r>
                    <w:rPr>
                      <w:rFonts w:hint="eastAsia" w:ascii="宋体" w:hAnsi="宋体"/>
                      <w:kern w:val="0"/>
                      <w:sz w:val="21"/>
                      <w:szCs w:val="21"/>
                      <w:u w:val="single"/>
                    </w:rPr>
                    <w:t>（</w:t>
                  </w:r>
                  <w:r>
                    <w:rPr>
                      <w:rFonts w:hint="eastAsia"/>
                      <w:kern w:val="0"/>
                      <w:sz w:val="21"/>
                      <w:szCs w:val="21"/>
                      <w:u w:val="single"/>
                    </w:rPr>
                    <w:t>8</w:t>
                  </w:r>
                  <w:r>
                    <w:rPr>
                      <w:rFonts w:hint="eastAsia" w:ascii="宋体" w:hAnsi="宋体"/>
                      <w:kern w:val="0"/>
                      <w:sz w:val="21"/>
                      <w:szCs w:val="21"/>
                      <w:u w:val="single"/>
                    </w:rPr>
                    <w:t>）</w:t>
                  </w:r>
                </w:p>
              </w:tc>
            </w:tr>
            <w:tr w14:paraId="7A388C6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2005" w:type="pct"/>
                  <w:tcBorders>
                    <w:top w:val="single" w:color="auto" w:sz="4" w:space="0"/>
                    <w:left w:val="single" w:color="auto" w:sz="12" w:space="0"/>
                    <w:bottom w:val="single" w:color="auto" w:sz="4" w:space="0"/>
                    <w:right w:val="single" w:color="auto" w:sz="4" w:space="0"/>
                  </w:tcBorders>
                </w:tcPr>
                <w:p w14:paraId="7E47C702">
                  <w:pPr>
                    <w:spacing w:line="240" w:lineRule="auto"/>
                    <w:jc w:val="center"/>
                    <w:rPr>
                      <w:kern w:val="0"/>
                      <w:sz w:val="21"/>
                      <w:szCs w:val="21"/>
                      <w:u w:val="single"/>
                    </w:rPr>
                  </w:pPr>
                  <w:r>
                    <w:rPr>
                      <w:rFonts w:hint="eastAsia" w:ascii="宋体" w:hAnsi="宋体"/>
                      <w:kern w:val="0"/>
                      <w:sz w:val="21"/>
                      <w:szCs w:val="21"/>
                      <w:u w:val="single"/>
                    </w:rPr>
                    <w:t>污水处理厂排放量（</w:t>
                  </w:r>
                  <w:r>
                    <w:rPr>
                      <w:rFonts w:hint="eastAsia"/>
                      <w:kern w:val="0"/>
                      <w:sz w:val="21"/>
                      <w:szCs w:val="21"/>
                      <w:u w:val="single"/>
                    </w:rPr>
                    <w:t>t/a</w:t>
                  </w:r>
                  <w:r>
                    <w:rPr>
                      <w:rFonts w:hint="eastAsia" w:ascii="宋体" w:hAnsi="宋体"/>
                      <w:kern w:val="0"/>
                      <w:sz w:val="21"/>
                      <w:szCs w:val="21"/>
                      <w:u w:val="single"/>
                    </w:rPr>
                    <w:t>）</w:t>
                  </w:r>
                </w:p>
              </w:tc>
              <w:tc>
                <w:tcPr>
                  <w:tcW w:w="627" w:type="pct"/>
                  <w:tcBorders>
                    <w:top w:val="single" w:color="auto" w:sz="4" w:space="0"/>
                    <w:left w:val="nil"/>
                    <w:bottom w:val="single" w:color="auto" w:sz="4" w:space="0"/>
                    <w:right w:val="single" w:color="auto" w:sz="4" w:space="0"/>
                  </w:tcBorders>
                  <w:vAlign w:val="bottom"/>
                </w:tcPr>
                <w:p w14:paraId="22AA8580">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0.082 </w:t>
                  </w:r>
                </w:p>
              </w:tc>
              <w:tc>
                <w:tcPr>
                  <w:tcW w:w="731" w:type="pct"/>
                  <w:tcBorders>
                    <w:top w:val="single" w:color="auto" w:sz="4" w:space="0"/>
                    <w:left w:val="nil"/>
                    <w:bottom w:val="single" w:color="auto" w:sz="4" w:space="0"/>
                    <w:right w:val="single" w:color="auto" w:sz="4" w:space="0"/>
                  </w:tcBorders>
                  <w:vAlign w:val="bottom"/>
                </w:tcPr>
                <w:p w14:paraId="02D03707">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0.016 </w:t>
                  </w:r>
                </w:p>
              </w:tc>
              <w:tc>
                <w:tcPr>
                  <w:tcW w:w="638" w:type="pct"/>
                  <w:tcBorders>
                    <w:top w:val="single" w:color="auto" w:sz="4" w:space="0"/>
                    <w:left w:val="nil"/>
                    <w:bottom w:val="single" w:color="auto" w:sz="4" w:space="0"/>
                    <w:right w:val="single" w:color="auto" w:sz="4" w:space="0"/>
                  </w:tcBorders>
                  <w:vAlign w:val="bottom"/>
                </w:tcPr>
                <w:p w14:paraId="08DBAB83">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0.016 </w:t>
                  </w:r>
                </w:p>
              </w:tc>
              <w:tc>
                <w:tcPr>
                  <w:tcW w:w="1000" w:type="pct"/>
                  <w:tcBorders>
                    <w:top w:val="single" w:color="auto" w:sz="4" w:space="0"/>
                    <w:left w:val="nil"/>
                    <w:bottom w:val="single" w:color="auto" w:sz="4" w:space="0"/>
                    <w:right w:val="single" w:color="auto" w:sz="12" w:space="0"/>
                  </w:tcBorders>
                  <w:vAlign w:val="center"/>
                </w:tcPr>
                <w:p w14:paraId="6E4F7B42">
                  <w:pPr>
                    <w:spacing w:line="240" w:lineRule="auto"/>
                    <w:jc w:val="center"/>
                    <w:rPr>
                      <w:kern w:val="0"/>
                      <w:sz w:val="21"/>
                      <w:szCs w:val="21"/>
                      <w:u w:val="single"/>
                    </w:rPr>
                  </w:pPr>
                  <w:r>
                    <w:rPr>
                      <w:kern w:val="0"/>
                      <w:sz w:val="21"/>
                      <w:szCs w:val="21"/>
                      <w:u w:val="single"/>
                    </w:rPr>
                    <w:t>0.008</w:t>
                  </w:r>
                </w:p>
              </w:tc>
            </w:tr>
          </w:tbl>
          <w:p w14:paraId="66700D15">
            <w:pPr>
              <w:ind w:firstLine="480" w:firstLineChars="200"/>
              <w:rPr>
                <w:szCs w:val="24"/>
                <w:u w:val="single"/>
              </w:rPr>
            </w:pPr>
            <w:r>
              <w:rPr>
                <w:rFonts w:hint="eastAsia" w:ascii="宋体" w:hAnsi="宋体"/>
                <w:szCs w:val="24"/>
                <w:u w:val="single"/>
              </w:rPr>
              <w:t>（</w:t>
            </w:r>
            <w:r>
              <w:rPr>
                <w:rFonts w:hint="eastAsia"/>
                <w:szCs w:val="24"/>
                <w:u w:val="single"/>
              </w:rPr>
              <w:t>2</w:t>
            </w:r>
            <w:r>
              <w:rPr>
                <w:rFonts w:hint="eastAsia" w:ascii="宋体" w:hAnsi="宋体"/>
                <w:szCs w:val="24"/>
                <w:u w:val="single"/>
              </w:rPr>
              <w:t>）废气污染物排放源强</w:t>
            </w:r>
          </w:p>
          <w:p w14:paraId="73B2D696">
            <w:pPr>
              <w:ind w:firstLine="480" w:firstLineChars="200"/>
              <w:rPr>
                <w:kern w:val="0"/>
                <w:szCs w:val="24"/>
                <w:u w:val="single"/>
              </w:rPr>
            </w:pPr>
            <w:r>
              <w:rPr>
                <w:rFonts w:hint="eastAsia"/>
                <w:kern w:val="0"/>
                <w:szCs w:val="24"/>
                <w:u w:val="single"/>
              </w:rPr>
              <w:t>1</w:t>
            </w:r>
            <w:r>
              <w:rPr>
                <w:rFonts w:hint="eastAsia" w:ascii="宋体" w:hAnsi="宋体"/>
                <w:kern w:val="0"/>
                <w:szCs w:val="24"/>
                <w:u w:val="single"/>
              </w:rPr>
              <w:t>）污水处理站废气</w:t>
            </w:r>
          </w:p>
          <w:p w14:paraId="2EDF3147">
            <w:pPr>
              <w:ind w:firstLine="480" w:firstLineChars="200"/>
              <w:rPr>
                <w:kern w:val="0"/>
                <w:szCs w:val="24"/>
                <w:u w:val="single"/>
              </w:rPr>
            </w:pPr>
            <w:r>
              <w:rPr>
                <w:rFonts w:hint="eastAsia" w:ascii="宋体" w:hAnsi="宋体"/>
                <w:kern w:val="0"/>
                <w:szCs w:val="24"/>
                <w:u w:val="single"/>
              </w:rPr>
              <w:t>医院污水处理站散发的恶臭气体对周围大气环境会产生一定的影响，医院污水处理站产生的恶臭气体的成分主要是</w:t>
            </w:r>
            <w:r>
              <w:rPr>
                <w:rFonts w:hint="eastAsia"/>
                <w:kern w:val="0"/>
                <w:szCs w:val="24"/>
                <w:u w:val="single"/>
              </w:rPr>
              <w:t>NH</w:t>
            </w:r>
            <w:r>
              <w:rPr>
                <w:rFonts w:hint="eastAsia"/>
                <w:kern w:val="0"/>
                <w:szCs w:val="24"/>
                <w:u w:val="single"/>
                <w:vertAlign w:val="subscript"/>
              </w:rPr>
              <w:t>3</w:t>
            </w:r>
            <w:r>
              <w:rPr>
                <w:rFonts w:hint="eastAsia" w:ascii="宋体" w:hAnsi="宋体"/>
                <w:kern w:val="0"/>
                <w:szCs w:val="24"/>
                <w:u w:val="single"/>
              </w:rPr>
              <w:t>和硫化氢，有一定的刺激性。臭气污染源源强采用美国</w:t>
            </w:r>
            <w:r>
              <w:rPr>
                <w:rFonts w:hint="eastAsia"/>
                <w:kern w:val="0"/>
                <w:szCs w:val="24"/>
                <w:u w:val="single"/>
              </w:rPr>
              <w:t>EPA</w:t>
            </w:r>
            <w:r>
              <w:rPr>
                <w:rFonts w:hint="eastAsia" w:ascii="宋体" w:hAnsi="宋体"/>
                <w:kern w:val="0"/>
                <w:szCs w:val="24"/>
                <w:u w:val="single"/>
              </w:rPr>
              <w:t>对城市污水处理厂恶臭污染物产生情况的研究，每处理</w:t>
            </w:r>
            <w:r>
              <w:rPr>
                <w:rFonts w:hint="eastAsia"/>
                <w:kern w:val="0"/>
                <w:szCs w:val="24"/>
                <w:u w:val="single"/>
              </w:rPr>
              <w:t>1g</w:t>
            </w:r>
            <w:r>
              <w:rPr>
                <w:rFonts w:hint="eastAsia" w:ascii="宋体" w:hAnsi="宋体"/>
                <w:kern w:val="0"/>
                <w:szCs w:val="24"/>
                <w:u w:val="single"/>
              </w:rPr>
              <w:t>的</w:t>
            </w:r>
            <w:r>
              <w:rPr>
                <w:rFonts w:hint="eastAsia"/>
                <w:kern w:val="0"/>
                <w:szCs w:val="24"/>
                <w:u w:val="single"/>
              </w:rPr>
              <w:t>BOD</w:t>
            </w:r>
            <w:r>
              <w:rPr>
                <w:kern w:val="0"/>
                <w:szCs w:val="24"/>
                <w:u w:val="single"/>
                <w:vertAlign w:val="subscript"/>
              </w:rPr>
              <w:t>5</w:t>
            </w:r>
            <w:r>
              <w:rPr>
                <w:rFonts w:hint="eastAsia" w:ascii="宋体" w:hAnsi="宋体"/>
                <w:kern w:val="0"/>
                <w:szCs w:val="24"/>
                <w:u w:val="single"/>
              </w:rPr>
              <w:t>，可产生</w:t>
            </w:r>
            <w:r>
              <w:rPr>
                <w:rFonts w:hint="eastAsia"/>
                <w:kern w:val="0"/>
                <w:szCs w:val="24"/>
                <w:u w:val="single"/>
              </w:rPr>
              <w:t>0.0031g</w:t>
            </w:r>
            <w:r>
              <w:rPr>
                <w:rFonts w:hint="eastAsia" w:ascii="宋体" w:hAnsi="宋体"/>
                <w:kern w:val="0"/>
                <w:szCs w:val="24"/>
                <w:u w:val="single"/>
              </w:rPr>
              <w:t>的</w:t>
            </w:r>
            <w:r>
              <w:rPr>
                <w:rFonts w:hint="eastAsia"/>
                <w:kern w:val="0"/>
                <w:szCs w:val="24"/>
                <w:u w:val="single"/>
              </w:rPr>
              <w:t>NH</w:t>
            </w:r>
            <w:r>
              <w:rPr>
                <w:rFonts w:hint="eastAsia"/>
                <w:kern w:val="0"/>
                <w:szCs w:val="24"/>
                <w:u w:val="single"/>
                <w:vertAlign w:val="subscript"/>
              </w:rPr>
              <w:t>3</w:t>
            </w:r>
            <w:r>
              <w:rPr>
                <w:rFonts w:hint="eastAsia" w:ascii="宋体" w:hAnsi="宋体"/>
                <w:kern w:val="0"/>
                <w:szCs w:val="24"/>
                <w:u w:val="single"/>
              </w:rPr>
              <w:t>和</w:t>
            </w:r>
            <w:r>
              <w:rPr>
                <w:rFonts w:hint="eastAsia"/>
                <w:kern w:val="0"/>
                <w:szCs w:val="24"/>
                <w:u w:val="single"/>
              </w:rPr>
              <w:t>0.00012g</w:t>
            </w:r>
            <w:r>
              <w:rPr>
                <w:rFonts w:hint="eastAsia" w:ascii="宋体" w:hAnsi="宋体"/>
                <w:kern w:val="0"/>
                <w:szCs w:val="24"/>
                <w:u w:val="single"/>
              </w:rPr>
              <w:t>的</w:t>
            </w:r>
            <w:r>
              <w:rPr>
                <w:rFonts w:hint="eastAsia"/>
                <w:kern w:val="0"/>
                <w:szCs w:val="24"/>
                <w:u w:val="single"/>
              </w:rPr>
              <w:t>H</w:t>
            </w:r>
            <w:r>
              <w:rPr>
                <w:rFonts w:hint="eastAsia"/>
                <w:kern w:val="0"/>
                <w:szCs w:val="24"/>
                <w:u w:val="single"/>
                <w:vertAlign w:val="subscript"/>
              </w:rPr>
              <w:t>2</w:t>
            </w:r>
            <w:r>
              <w:rPr>
                <w:rFonts w:hint="eastAsia"/>
                <w:kern w:val="0"/>
                <w:szCs w:val="24"/>
                <w:u w:val="single"/>
              </w:rPr>
              <w:t>S</w:t>
            </w:r>
            <w:r>
              <w:rPr>
                <w:rFonts w:hint="eastAsia" w:ascii="宋体" w:hAnsi="宋体"/>
                <w:kern w:val="0"/>
                <w:szCs w:val="24"/>
                <w:u w:val="single"/>
              </w:rPr>
              <w:t>。</w:t>
            </w:r>
          </w:p>
          <w:p w14:paraId="43724324">
            <w:pPr>
              <w:ind w:firstLine="480" w:firstLineChars="200"/>
              <w:rPr>
                <w:szCs w:val="24"/>
                <w:u w:val="single"/>
              </w:rPr>
            </w:pPr>
            <w:r>
              <w:rPr>
                <w:rFonts w:ascii="宋体" w:hAnsi="宋体"/>
                <w:color w:val="000000"/>
                <w:szCs w:val="24"/>
                <w:u w:val="single"/>
              </w:rPr>
              <w:t>根据项目废水产排污情况，</w:t>
            </w:r>
            <w:r>
              <w:rPr>
                <w:color w:val="000000"/>
                <w:szCs w:val="24"/>
                <w:u w:val="single"/>
              </w:rPr>
              <w:t>BOD</w:t>
            </w:r>
            <w:r>
              <w:rPr>
                <w:rFonts w:ascii="宋体" w:hAnsi="宋体"/>
                <w:color w:val="000000"/>
                <w:szCs w:val="24"/>
                <w:u w:val="single"/>
              </w:rPr>
              <w:t>处理量为</w:t>
            </w:r>
            <w:r>
              <w:rPr>
                <w:color w:val="000000"/>
                <w:szCs w:val="24"/>
                <w:u w:val="single"/>
              </w:rPr>
              <w:t>0.082t/a</w:t>
            </w:r>
            <w:r>
              <w:rPr>
                <w:rFonts w:ascii="宋体" w:hAnsi="宋体"/>
                <w:color w:val="000000"/>
                <w:szCs w:val="24"/>
                <w:u w:val="single"/>
              </w:rPr>
              <w:t>，经计算得出，</w:t>
            </w:r>
            <w:r>
              <w:rPr>
                <w:rFonts w:hint="eastAsia" w:ascii="宋体" w:hAnsi="宋体"/>
                <w:szCs w:val="24"/>
                <w:u w:val="single"/>
              </w:rPr>
              <w:t>本项目污水处理站污染物产生量约为</w:t>
            </w:r>
            <w:r>
              <w:rPr>
                <w:rFonts w:hint="eastAsia"/>
                <w:szCs w:val="24"/>
                <w:u w:val="single"/>
              </w:rPr>
              <w:t>NH</w:t>
            </w:r>
            <w:r>
              <w:rPr>
                <w:rFonts w:hint="eastAsia"/>
                <w:szCs w:val="24"/>
                <w:u w:val="single"/>
                <w:vertAlign w:val="subscript"/>
              </w:rPr>
              <w:t>3</w:t>
            </w:r>
            <w:r>
              <w:rPr>
                <w:rFonts w:hint="eastAsia" w:ascii="宋体" w:hAnsi="宋体"/>
                <w:szCs w:val="24"/>
                <w:u w:val="single"/>
              </w:rPr>
              <w:t>：</w:t>
            </w:r>
            <w:r>
              <w:rPr>
                <w:szCs w:val="24"/>
                <w:u w:val="single"/>
              </w:rPr>
              <w:t xml:space="preserve">0.254 </w:t>
            </w:r>
            <w:r>
              <w:rPr>
                <w:rFonts w:hint="eastAsia"/>
                <w:szCs w:val="24"/>
                <w:u w:val="single"/>
              </w:rPr>
              <w:t>kg/a</w:t>
            </w:r>
            <w:r>
              <w:rPr>
                <w:rFonts w:hint="eastAsia" w:ascii="宋体" w:hAnsi="宋体"/>
                <w:szCs w:val="24"/>
                <w:u w:val="single"/>
              </w:rPr>
              <w:t>、</w:t>
            </w:r>
            <w:r>
              <w:rPr>
                <w:rFonts w:hint="eastAsia"/>
                <w:szCs w:val="24"/>
                <w:u w:val="single"/>
              </w:rPr>
              <w:t>H</w:t>
            </w:r>
            <w:r>
              <w:rPr>
                <w:rFonts w:hint="eastAsia"/>
                <w:szCs w:val="24"/>
                <w:u w:val="single"/>
                <w:vertAlign w:val="subscript"/>
              </w:rPr>
              <w:t>2</w:t>
            </w:r>
            <w:r>
              <w:rPr>
                <w:rFonts w:hint="eastAsia"/>
                <w:szCs w:val="24"/>
                <w:u w:val="single"/>
              </w:rPr>
              <w:t>S</w:t>
            </w:r>
            <w:r>
              <w:rPr>
                <w:rFonts w:hint="eastAsia" w:ascii="宋体" w:hAnsi="宋体"/>
                <w:szCs w:val="24"/>
                <w:u w:val="single"/>
              </w:rPr>
              <w:t>：</w:t>
            </w:r>
            <w:r>
              <w:rPr>
                <w:szCs w:val="24"/>
                <w:u w:val="single"/>
              </w:rPr>
              <w:t>0.010</w:t>
            </w:r>
            <w:r>
              <w:rPr>
                <w:rFonts w:hint="eastAsia"/>
                <w:szCs w:val="24"/>
                <w:u w:val="single"/>
              </w:rPr>
              <w:t>kg/a</w:t>
            </w:r>
            <w:r>
              <w:rPr>
                <w:rFonts w:hint="eastAsia" w:ascii="宋体" w:hAnsi="宋体"/>
                <w:szCs w:val="24"/>
                <w:u w:val="single"/>
              </w:rPr>
              <w:t>。恶臭废气本身产生量很少，且根据现场勘查，项目污水处理站采取池体密闭加盖</w:t>
            </w:r>
            <w:r>
              <w:rPr>
                <w:rFonts w:hint="eastAsia"/>
                <w:szCs w:val="24"/>
                <w:u w:val="single"/>
              </w:rPr>
              <w:t>+</w:t>
            </w:r>
            <w:r>
              <w:rPr>
                <w:rFonts w:hint="eastAsia" w:ascii="宋体" w:hAnsi="宋体"/>
                <w:szCs w:val="24"/>
                <w:u w:val="single"/>
              </w:rPr>
              <w:t>投放除臭药剂方式，仅有极少量臭气会散逸出地面，经地表绿化带吸收及周边大气环境稀释后对周边环境影响较小，可达到《医疗机构水污染物排放标准》（</w:t>
            </w:r>
            <w:r>
              <w:rPr>
                <w:rFonts w:hint="eastAsia"/>
                <w:szCs w:val="24"/>
                <w:u w:val="single"/>
              </w:rPr>
              <w:t>GB 18466-200</w:t>
            </w:r>
            <w:r>
              <w:rPr>
                <w:rFonts w:hint="eastAsia" w:ascii="宋体" w:hAnsi="宋体"/>
                <w:szCs w:val="24"/>
                <w:u w:val="single"/>
              </w:rPr>
              <w:t>表</w:t>
            </w:r>
            <w:r>
              <w:rPr>
                <w:rFonts w:hint="eastAsia"/>
                <w:szCs w:val="24"/>
                <w:u w:val="single"/>
              </w:rPr>
              <w:t>3</w:t>
            </w:r>
            <w:r>
              <w:rPr>
                <w:rFonts w:hint="eastAsia" w:ascii="宋体" w:hAnsi="宋体"/>
                <w:szCs w:val="24"/>
                <w:u w:val="single"/>
              </w:rPr>
              <w:t>中标准。</w:t>
            </w:r>
          </w:p>
          <w:p w14:paraId="11868776">
            <w:pPr>
              <w:ind w:firstLine="480" w:firstLineChars="200"/>
              <w:rPr>
                <w:szCs w:val="24"/>
                <w:u w:val="single"/>
              </w:rPr>
            </w:pPr>
            <w:r>
              <w:rPr>
                <w:rFonts w:hint="eastAsia"/>
                <w:szCs w:val="24"/>
                <w:u w:val="single"/>
              </w:rPr>
              <w:t>2</w:t>
            </w:r>
            <w:r>
              <w:rPr>
                <w:rFonts w:hint="eastAsia" w:ascii="宋体" w:hAnsi="宋体"/>
                <w:szCs w:val="24"/>
                <w:u w:val="single"/>
              </w:rPr>
              <w:t>）医疗废物暂存间臭气</w:t>
            </w:r>
          </w:p>
          <w:p w14:paraId="71076300">
            <w:pPr>
              <w:ind w:firstLine="480" w:firstLineChars="200"/>
              <w:rPr>
                <w:szCs w:val="24"/>
                <w:u w:val="single"/>
              </w:rPr>
            </w:pPr>
            <w:r>
              <w:rPr>
                <w:rFonts w:hint="eastAsia" w:ascii="宋体" w:hAnsi="宋体"/>
                <w:szCs w:val="24"/>
                <w:u w:val="single"/>
              </w:rPr>
              <w:t>医疗废物暂存过程中会发酵产生少量的臭气，主要污染物为</w:t>
            </w:r>
            <w:r>
              <w:rPr>
                <w:rFonts w:hint="eastAsia"/>
                <w:szCs w:val="24"/>
                <w:u w:val="single"/>
              </w:rPr>
              <w:t>H</w:t>
            </w:r>
            <w:r>
              <w:rPr>
                <w:rFonts w:hint="eastAsia"/>
                <w:szCs w:val="24"/>
                <w:u w:val="single"/>
                <w:vertAlign w:val="subscript"/>
              </w:rPr>
              <w:t>2</w:t>
            </w:r>
            <w:r>
              <w:rPr>
                <w:rFonts w:hint="eastAsia"/>
                <w:szCs w:val="24"/>
                <w:u w:val="single"/>
              </w:rPr>
              <w:t>S</w:t>
            </w:r>
            <w:r>
              <w:rPr>
                <w:rFonts w:hint="eastAsia" w:ascii="宋体" w:hAnsi="宋体"/>
                <w:szCs w:val="24"/>
                <w:u w:val="single"/>
              </w:rPr>
              <w:t>和</w:t>
            </w:r>
            <w:r>
              <w:rPr>
                <w:rFonts w:hint="eastAsia"/>
                <w:szCs w:val="24"/>
                <w:u w:val="single"/>
              </w:rPr>
              <w:t>NH</w:t>
            </w:r>
            <w:r>
              <w:rPr>
                <w:rFonts w:hint="eastAsia"/>
                <w:szCs w:val="24"/>
                <w:u w:val="single"/>
                <w:vertAlign w:val="subscript"/>
              </w:rPr>
              <w:t>3</w:t>
            </w:r>
            <w:r>
              <w:rPr>
                <w:rFonts w:hint="eastAsia" w:ascii="宋体" w:hAnsi="宋体"/>
                <w:szCs w:val="24"/>
                <w:u w:val="single"/>
              </w:rPr>
              <w:t>等有机气体，由于项目医疗废物均及时交由永州市医疗废物集中处置中心集中处置，医疗废物在暂存间放置时间不长，产生的废气量较小，经加强通风后，对周边环境影响不大。</w:t>
            </w:r>
          </w:p>
          <w:p w14:paraId="436DEC7D">
            <w:pPr>
              <w:ind w:firstLine="480" w:firstLineChars="200"/>
              <w:rPr>
                <w:kern w:val="0"/>
                <w:szCs w:val="24"/>
                <w:u w:val="single"/>
              </w:rPr>
            </w:pPr>
            <w:r>
              <w:rPr>
                <w:rFonts w:hint="eastAsia"/>
                <w:kern w:val="0"/>
                <w:szCs w:val="24"/>
                <w:u w:val="single"/>
              </w:rPr>
              <w:t>3</w:t>
            </w:r>
            <w:r>
              <w:rPr>
                <w:rFonts w:hint="eastAsia" w:ascii="宋体" w:hAnsi="宋体"/>
                <w:kern w:val="0"/>
                <w:szCs w:val="24"/>
                <w:u w:val="single"/>
              </w:rPr>
              <w:t>）食堂油烟</w:t>
            </w:r>
          </w:p>
          <w:p w14:paraId="6B164A0E">
            <w:pPr>
              <w:ind w:firstLine="480" w:firstLineChars="200"/>
              <w:rPr>
                <w:kern w:val="0"/>
                <w:szCs w:val="24"/>
                <w:u w:val="single"/>
              </w:rPr>
            </w:pPr>
            <w:r>
              <w:rPr>
                <w:rFonts w:hint="eastAsia" w:ascii="宋体" w:hAnsi="宋体"/>
                <w:kern w:val="0"/>
                <w:szCs w:val="24"/>
                <w:u w:val="single"/>
              </w:rPr>
              <w:t>本项目配备职工食堂一个，主要是为医护人员提供一日三餐，医护人员数</w:t>
            </w:r>
            <w:r>
              <w:rPr>
                <w:kern w:val="0"/>
                <w:szCs w:val="24"/>
                <w:u w:val="single"/>
              </w:rPr>
              <w:t>25</w:t>
            </w:r>
            <w:r>
              <w:rPr>
                <w:rFonts w:hint="eastAsia" w:ascii="宋体" w:hAnsi="宋体"/>
                <w:kern w:val="0"/>
                <w:szCs w:val="24"/>
                <w:u w:val="single"/>
              </w:rPr>
              <w:t>人（按满员计算），员工人均日食用油用量约</w:t>
            </w:r>
            <w:r>
              <w:rPr>
                <w:rFonts w:hint="eastAsia"/>
                <w:kern w:val="0"/>
                <w:szCs w:val="24"/>
                <w:u w:val="single"/>
              </w:rPr>
              <w:t>30g/</w:t>
            </w:r>
            <w:r>
              <w:rPr>
                <w:rFonts w:hint="eastAsia" w:ascii="宋体" w:hAnsi="宋体"/>
                <w:kern w:val="0"/>
                <w:szCs w:val="24"/>
                <w:u w:val="single"/>
              </w:rPr>
              <w:t>餐，则一天的食用油用量为</w:t>
            </w:r>
            <w:r>
              <w:rPr>
                <w:kern w:val="0"/>
                <w:szCs w:val="24"/>
                <w:u w:val="single"/>
              </w:rPr>
              <w:t>3.15</w:t>
            </w:r>
            <w:r>
              <w:rPr>
                <w:rFonts w:hint="eastAsia"/>
                <w:kern w:val="0"/>
                <w:szCs w:val="24"/>
                <w:u w:val="single"/>
              </w:rPr>
              <w:t>kg</w:t>
            </w:r>
            <w:r>
              <w:rPr>
                <w:rFonts w:hint="eastAsia" w:ascii="宋体" w:hAnsi="宋体"/>
                <w:kern w:val="0"/>
                <w:szCs w:val="24"/>
                <w:u w:val="single"/>
              </w:rPr>
              <w:t>，根据有关统计资料，一般油烟挥发量占总耗油量的</w:t>
            </w:r>
            <w:r>
              <w:rPr>
                <w:rFonts w:hint="eastAsia"/>
                <w:kern w:val="0"/>
                <w:szCs w:val="24"/>
                <w:u w:val="single"/>
              </w:rPr>
              <w:t>2-3%</w:t>
            </w:r>
            <w:r>
              <w:rPr>
                <w:rFonts w:hint="eastAsia" w:ascii="宋体" w:hAnsi="宋体"/>
                <w:kern w:val="0"/>
                <w:szCs w:val="24"/>
                <w:u w:val="single"/>
              </w:rPr>
              <w:t>，本项目取</w:t>
            </w:r>
            <w:r>
              <w:rPr>
                <w:rFonts w:hint="eastAsia"/>
                <w:kern w:val="0"/>
                <w:szCs w:val="24"/>
                <w:u w:val="single"/>
              </w:rPr>
              <w:t>2.5%</w:t>
            </w:r>
            <w:r>
              <w:rPr>
                <w:rFonts w:hint="eastAsia" w:ascii="宋体" w:hAnsi="宋体"/>
                <w:kern w:val="0"/>
                <w:szCs w:val="24"/>
                <w:u w:val="single"/>
              </w:rPr>
              <w:t>。厂区的食堂共设置</w:t>
            </w:r>
            <w:r>
              <w:rPr>
                <w:rFonts w:hint="eastAsia"/>
                <w:kern w:val="0"/>
                <w:szCs w:val="24"/>
                <w:u w:val="single"/>
              </w:rPr>
              <w:t>1</w:t>
            </w:r>
            <w:r>
              <w:rPr>
                <w:rFonts w:hint="eastAsia" w:ascii="宋体" w:hAnsi="宋体"/>
                <w:kern w:val="0"/>
                <w:szCs w:val="24"/>
                <w:u w:val="single"/>
              </w:rPr>
              <w:t>个基准灶头，油烟净化器风机风量为</w:t>
            </w:r>
            <w:r>
              <w:rPr>
                <w:kern w:val="0"/>
                <w:szCs w:val="24"/>
                <w:u w:val="single"/>
              </w:rPr>
              <w:t>20</w:t>
            </w:r>
            <w:r>
              <w:rPr>
                <w:rFonts w:hint="eastAsia"/>
                <w:kern w:val="0"/>
                <w:szCs w:val="24"/>
                <w:u w:val="single"/>
              </w:rPr>
              <w:t>00m</w:t>
            </w:r>
            <w:r>
              <w:rPr>
                <w:rFonts w:hint="eastAsia"/>
                <w:kern w:val="0"/>
                <w:szCs w:val="24"/>
                <w:u w:val="single"/>
                <w:vertAlign w:val="superscript"/>
              </w:rPr>
              <w:t>3</w:t>
            </w:r>
            <w:r>
              <w:rPr>
                <w:rFonts w:hint="eastAsia"/>
                <w:kern w:val="0"/>
                <w:szCs w:val="24"/>
                <w:u w:val="single"/>
              </w:rPr>
              <w:t>/h</w:t>
            </w:r>
            <w:r>
              <w:rPr>
                <w:rFonts w:hint="eastAsia" w:ascii="宋体" w:hAnsi="宋体"/>
                <w:kern w:val="0"/>
                <w:szCs w:val="24"/>
                <w:u w:val="single"/>
              </w:rPr>
              <w:t>，日烹饪时间平均为</w:t>
            </w:r>
            <w:r>
              <w:rPr>
                <w:rFonts w:hint="eastAsia"/>
                <w:kern w:val="0"/>
                <w:szCs w:val="24"/>
                <w:u w:val="single"/>
              </w:rPr>
              <w:t>4h</w:t>
            </w:r>
            <w:r>
              <w:rPr>
                <w:rFonts w:hint="eastAsia" w:ascii="宋体" w:hAnsi="宋体"/>
                <w:kern w:val="0"/>
                <w:szCs w:val="24"/>
                <w:u w:val="single"/>
              </w:rPr>
              <w:t>。则油烟产生量</w:t>
            </w:r>
            <w:r>
              <w:rPr>
                <w:kern w:val="0"/>
                <w:szCs w:val="24"/>
                <w:u w:val="single"/>
              </w:rPr>
              <w:t>28.744</w:t>
            </w:r>
            <w:r>
              <w:rPr>
                <w:rFonts w:hint="eastAsia"/>
                <w:kern w:val="0"/>
                <w:szCs w:val="24"/>
                <w:u w:val="single"/>
              </w:rPr>
              <w:t>kg/a</w:t>
            </w:r>
            <w:r>
              <w:rPr>
                <w:rFonts w:hint="eastAsia" w:ascii="宋体" w:hAnsi="宋体"/>
                <w:kern w:val="0"/>
                <w:szCs w:val="24"/>
                <w:u w:val="single"/>
              </w:rPr>
              <w:t>（年工作日按</w:t>
            </w:r>
            <w:r>
              <w:rPr>
                <w:rFonts w:hint="eastAsia"/>
                <w:kern w:val="0"/>
                <w:szCs w:val="24"/>
                <w:u w:val="single"/>
              </w:rPr>
              <w:t>365</w:t>
            </w:r>
            <w:r>
              <w:rPr>
                <w:rFonts w:hint="eastAsia" w:ascii="宋体" w:hAnsi="宋体"/>
                <w:kern w:val="0"/>
                <w:szCs w:val="24"/>
                <w:u w:val="single"/>
              </w:rPr>
              <w:t>天计），产生效率为</w:t>
            </w:r>
            <w:r>
              <w:rPr>
                <w:rFonts w:hint="eastAsia"/>
                <w:kern w:val="0"/>
                <w:szCs w:val="24"/>
                <w:u w:val="single"/>
              </w:rPr>
              <w:t>0.0</w:t>
            </w:r>
            <w:r>
              <w:rPr>
                <w:kern w:val="0"/>
                <w:szCs w:val="24"/>
                <w:u w:val="single"/>
              </w:rPr>
              <w:t>2</w:t>
            </w:r>
            <w:r>
              <w:rPr>
                <w:rFonts w:hint="eastAsia"/>
                <w:kern w:val="0"/>
                <w:szCs w:val="24"/>
                <w:u w:val="single"/>
              </w:rPr>
              <w:t>kg/h</w:t>
            </w:r>
            <w:r>
              <w:rPr>
                <w:rFonts w:hint="eastAsia" w:ascii="宋体" w:hAnsi="宋体"/>
                <w:kern w:val="0"/>
                <w:szCs w:val="24"/>
                <w:u w:val="single"/>
              </w:rPr>
              <w:t>，产生浓度为</w:t>
            </w:r>
            <w:r>
              <w:rPr>
                <w:kern w:val="0"/>
                <w:szCs w:val="24"/>
                <w:u w:val="single"/>
              </w:rPr>
              <w:t>9.844</w:t>
            </w:r>
            <w:r>
              <w:rPr>
                <w:rFonts w:hint="eastAsia"/>
                <w:kern w:val="0"/>
                <w:szCs w:val="24"/>
                <w:u w:val="single"/>
              </w:rPr>
              <w:t>mg/m</w:t>
            </w:r>
            <w:r>
              <w:rPr>
                <w:rFonts w:hint="eastAsia"/>
                <w:kern w:val="0"/>
                <w:szCs w:val="24"/>
                <w:u w:val="single"/>
                <w:vertAlign w:val="superscript"/>
              </w:rPr>
              <w:t>3</w:t>
            </w:r>
            <w:r>
              <w:rPr>
                <w:rFonts w:hint="eastAsia" w:ascii="宋体" w:hAnsi="宋体"/>
                <w:kern w:val="0"/>
                <w:szCs w:val="24"/>
                <w:u w:val="single"/>
              </w:rPr>
              <w:t>。食堂安装油烟净化器，油烟净化器的净化效率按</w:t>
            </w:r>
            <w:r>
              <w:rPr>
                <w:rFonts w:hint="eastAsia"/>
                <w:kern w:val="0"/>
                <w:szCs w:val="24"/>
                <w:u w:val="single"/>
              </w:rPr>
              <w:t>85%</w:t>
            </w:r>
            <w:r>
              <w:rPr>
                <w:rFonts w:hint="eastAsia" w:ascii="宋体" w:hAnsi="宋体"/>
                <w:kern w:val="0"/>
                <w:szCs w:val="24"/>
                <w:u w:val="single"/>
              </w:rPr>
              <w:t>计算，经过净化处理后，净化后油烟排放量为</w:t>
            </w:r>
            <w:r>
              <w:rPr>
                <w:rFonts w:hint="eastAsia"/>
                <w:kern w:val="0"/>
                <w:szCs w:val="24"/>
                <w:u w:val="single"/>
              </w:rPr>
              <w:t>4</w:t>
            </w:r>
            <w:r>
              <w:rPr>
                <w:kern w:val="0"/>
                <w:szCs w:val="24"/>
                <w:u w:val="single"/>
              </w:rPr>
              <w:t>.312</w:t>
            </w:r>
            <w:r>
              <w:rPr>
                <w:rFonts w:hint="eastAsia"/>
                <w:kern w:val="0"/>
                <w:szCs w:val="24"/>
                <w:u w:val="single"/>
              </w:rPr>
              <w:t>kg/a</w:t>
            </w:r>
            <w:r>
              <w:rPr>
                <w:rFonts w:hint="eastAsia" w:ascii="宋体" w:hAnsi="宋体"/>
                <w:kern w:val="0"/>
                <w:szCs w:val="24"/>
                <w:u w:val="single"/>
              </w:rPr>
              <w:t>，排放效率为</w:t>
            </w:r>
            <w:r>
              <w:rPr>
                <w:kern w:val="0"/>
                <w:szCs w:val="24"/>
                <w:u w:val="single"/>
              </w:rPr>
              <w:t>0.003</w:t>
            </w:r>
            <w:r>
              <w:rPr>
                <w:rFonts w:hint="eastAsia"/>
                <w:kern w:val="0"/>
                <w:szCs w:val="24"/>
                <w:u w:val="single"/>
              </w:rPr>
              <w:t>kg/h</w:t>
            </w:r>
            <w:r>
              <w:rPr>
                <w:rFonts w:hint="eastAsia" w:ascii="宋体" w:hAnsi="宋体"/>
                <w:kern w:val="0"/>
                <w:szCs w:val="24"/>
                <w:u w:val="single"/>
              </w:rPr>
              <w:t>，排放浓度为</w:t>
            </w:r>
            <w:r>
              <w:rPr>
                <w:kern w:val="0"/>
                <w:szCs w:val="24"/>
                <w:u w:val="single"/>
              </w:rPr>
              <w:t>1.477</w:t>
            </w:r>
            <w:r>
              <w:rPr>
                <w:rFonts w:hint="eastAsia"/>
                <w:kern w:val="0"/>
                <w:szCs w:val="24"/>
                <w:u w:val="single"/>
              </w:rPr>
              <w:t>mg/m</w:t>
            </w:r>
            <w:r>
              <w:rPr>
                <w:rFonts w:hint="eastAsia"/>
                <w:kern w:val="0"/>
                <w:szCs w:val="24"/>
                <w:u w:val="single"/>
                <w:vertAlign w:val="superscript"/>
              </w:rPr>
              <w:t>3</w:t>
            </w:r>
            <w:r>
              <w:rPr>
                <w:rFonts w:hint="eastAsia" w:ascii="宋体" w:hAnsi="宋体"/>
                <w:kern w:val="0"/>
                <w:szCs w:val="24"/>
                <w:u w:val="single"/>
              </w:rPr>
              <w:t>，达到《饮食业油烟排放标准》（试行）（</w:t>
            </w:r>
            <w:r>
              <w:rPr>
                <w:rFonts w:hint="eastAsia"/>
                <w:kern w:val="0"/>
                <w:szCs w:val="24"/>
                <w:u w:val="single"/>
              </w:rPr>
              <w:t>GB18483-2001</w:t>
            </w:r>
            <w:r>
              <w:rPr>
                <w:rFonts w:hint="eastAsia" w:ascii="宋体" w:hAnsi="宋体"/>
                <w:kern w:val="0"/>
                <w:szCs w:val="24"/>
                <w:u w:val="single"/>
              </w:rPr>
              <w:t>）中油烟的最高允许排放浓度</w:t>
            </w:r>
            <w:r>
              <w:rPr>
                <w:rFonts w:hint="eastAsia"/>
                <w:kern w:val="0"/>
                <w:szCs w:val="24"/>
                <w:u w:val="single"/>
              </w:rPr>
              <w:t>2.0mg/m</w:t>
            </w:r>
            <w:r>
              <w:rPr>
                <w:rFonts w:hint="eastAsia"/>
                <w:kern w:val="0"/>
                <w:szCs w:val="24"/>
                <w:u w:val="single"/>
                <w:vertAlign w:val="superscript"/>
              </w:rPr>
              <w:t>3</w:t>
            </w:r>
            <w:r>
              <w:rPr>
                <w:rFonts w:hint="eastAsia" w:ascii="宋体" w:hAnsi="宋体"/>
                <w:kern w:val="0"/>
                <w:szCs w:val="24"/>
                <w:u w:val="single"/>
              </w:rPr>
              <w:t>的标准限值要求。</w:t>
            </w:r>
          </w:p>
          <w:p w14:paraId="5123E256">
            <w:pPr>
              <w:ind w:firstLine="480" w:firstLineChars="200"/>
              <w:rPr>
                <w:szCs w:val="24"/>
                <w:u w:val="single"/>
              </w:rPr>
            </w:pPr>
            <w:r>
              <w:rPr>
                <w:rFonts w:hint="eastAsia" w:ascii="宋体" w:hAnsi="宋体"/>
                <w:szCs w:val="24"/>
                <w:u w:val="single"/>
              </w:rPr>
              <w:t>（</w:t>
            </w:r>
            <w:r>
              <w:rPr>
                <w:rFonts w:hint="eastAsia"/>
                <w:szCs w:val="24"/>
                <w:u w:val="single"/>
              </w:rPr>
              <w:t>3</w:t>
            </w:r>
            <w:r>
              <w:rPr>
                <w:rFonts w:hint="eastAsia" w:ascii="宋体" w:hAnsi="宋体"/>
                <w:szCs w:val="24"/>
                <w:u w:val="single"/>
              </w:rPr>
              <w:t>）固体废物</w:t>
            </w:r>
          </w:p>
          <w:p w14:paraId="68AEE2C5">
            <w:pPr>
              <w:ind w:firstLine="480" w:firstLineChars="200"/>
              <w:rPr>
                <w:szCs w:val="24"/>
                <w:u w:val="single"/>
              </w:rPr>
            </w:pPr>
            <w:r>
              <w:rPr>
                <w:rFonts w:hint="eastAsia" w:ascii="宋体" w:hAnsi="宋体"/>
                <w:szCs w:val="24"/>
                <w:u w:val="single"/>
              </w:rPr>
              <w:t>项目产生的固废包括生活垃圾、医疗固废、污水处理站产生的污泥等。医疗废物来源广泛、成分复杂，如化学试剂、过期药品、一次性医用器具及手术产生的病理废物等；废物包括金属、玻璃、塑料、纸类、纱布等，往往含有大量病毒、细菌，具有较强的感染性。</w:t>
            </w:r>
          </w:p>
          <w:p w14:paraId="183E7E21">
            <w:pPr>
              <w:ind w:firstLine="480" w:firstLineChars="200"/>
              <w:rPr>
                <w:szCs w:val="24"/>
                <w:u w:val="single"/>
              </w:rPr>
            </w:pPr>
            <w:r>
              <w:rPr>
                <w:rFonts w:hint="eastAsia"/>
                <w:szCs w:val="24"/>
                <w:u w:val="single"/>
              </w:rPr>
              <w:t>1</w:t>
            </w:r>
            <w:r>
              <w:rPr>
                <w:rFonts w:hint="eastAsia" w:ascii="宋体" w:hAnsi="宋体"/>
                <w:szCs w:val="24"/>
                <w:u w:val="single"/>
              </w:rPr>
              <w:t>）生活垃圾</w:t>
            </w:r>
          </w:p>
          <w:p w14:paraId="3079744F">
            <w:pPr>
              <w:ind w:firstLine="480" w:firstLineChars="200"/>
              <w:rPr>
                <w:szCs w:val="24"/>
                <w:u w:val="single"/>
              </w:rPr>
            </w:pPr>
            <w:r>
              <w:rPr>
                <w:rFonts w:hint="eastAsia" w:ascii="宋体" w:hAnsi="宋体"/>
                <w:szCs w:val="24"/>
                <w:u w:val="single"/>
              </w:rPr>
              <w:t>项目劳动定员</w:t>
            </w:r>
            <w:r>
              <w:rPr>
                <w:szCs w:val="24"/>
                <w:u w:val="single"/>
              </w:rPr>
              <w:t>25</w:t>
            </w:r>
            <w:r>
              <w:rPr>
                <w:rFonts w:hint="eastAsia" w:ascii="宋体" w:hAnsi="宋体"/>
                <w:szCs w:val="24"/>
                <w:u w:val="single"/>
              </w:rPr>
              <w:t>人，设置病床</w:t>
            </w:r>
            <w:r>
              <w:rPr>
                <w:szCs w:val="24"/>
                <w:u w:val="single"/>
              </w:rPr>
              <w:t>5</w:t>
            </w:r>
            <w:r>
              <w:rPr>
                <w:rFonts w:hint="eastAsia" w:ascii="宋体" w:hAnsi="宋体"/>
                <w:szCs w:val="24"/>
                <w:u w:val="single"/>
              </w:rPr>
              <w:t>位，生活垃圾产生量按</w:t>
            </w:r>
            <w:r>
              <w:rPr>
                <w:rFonts w:hint="eastAsia"/>
                <w:szCs w:val="24"/>
                <w:u w:val="single"/>
              </w:rPr>
              <w:t>0.5kg/</w:t>
            </w:r>
            <w:r>
              <w:rPr>
                <w:rFonts w:hint="eastAsia" w:ascii="宋体" w:hAnsi="宋体"/>
                <w:szCs w:val="24"/>
                <w:u w:val="single"/>
              </w:rPr>
              <w:t>人•</w:t>
            </w:r>
            <w:r>
              <w:rPr>
                <w:rFonts w:hint="eastAsia"/>
                <w:szCs w:val="24"/>
                <w:u w:val="single"/>
              </w:rPr>
              <w:t>d</w:t>
            </w:r>
            <w:r>
              <w:rPr>
                <w:rFonts w:hint="eastAsia" w:ascii="宋体" w:hAnsi="宋体"/>
                <w:szCs w:val="24"/>
                <w:u w:val="single"/>
              </w:rPr>
              <w:t>计，则本项目共产生生活垃圾</w:t>
            </w:r>
            <w:r>
              <w:rPr>
                <w:szCs w:val="24"/>
                <w:u w:val="single"/>
              </w:rPr>
              <w:t>15</w:t>
            </w:r>
            <w:r>
              <w:rPr>
                <w:rFonts w:hint="eastAsia"/>
                <w:szCs w:val="24"/>
                <w:u w:val="single"/>
              </w:rPr>
              <w:t>kg/d</w:t>
            </w:r>
            <w:r>
              <w:rPr>
                <w:rFonts w:hint="eastAsia" w:ascii="宋体" w:hAnsi="宋体"/>
                <w:szCs w:val="24"/>
                <w:u w:val="single"/>
              </w:rPr>
              <w:t>；</w:t>
            </w:r>
            <w:r>
              <w:rPr>
                <w:szCs w:val="24"/>
                <w:u w:val="single"/>
              </w:rPr>
              <w:t>5.475</w:t>
            </w:r>
            <w:r>
              <w:rPr>
                <w:rFonts w:hint="eastAsia"/>
                <w:szCs w:val="24"/>
                <w:u w:val="single"/>
              </w:rPr>
              <w:t>t/a</w:t>
            </w:r>
            <w:r>
              <w:rPr>
                <w:rFonts w:hint="eastAsia" w:ascii="宋体" w:hAnsi="宋体"/>
                <w:szCs w:val="24"/>
                <w:u w:val="single"/>
              </w:rPr>
              <w:t>。生活垃圾经垃圾桶收集后由当地环卫部门统一清运。</w:t>
            </w:r>
          </w:p>
          <w:p w14:paraId="3E6FB6A4">
            <w:pPr>
              <w:ind w:firstLine="480" w:firstLineChars="200"/>
              <w:rPr>
                <w:szCs w:val="24"/>
                <w:u w:val="single"/>
              </w:rPr>
            </w:pPr>
            <w:r>
              <w:rPr>
                <w:rFonts w:hint="eastAsia"/>
                <w:szCs w:val="24"/>
                <w:u w:val="single"/>
              </w:rPr>
              <w:t>2</w:t>
            </w:r>
            <w:r>
              <w:rPr>
                <w:rFonts w:hint="eastAsia" w:ascii="宋体" w:hAnsi="宋体"/>
                <w:szCs w:val="24"/>
                <w:u w:val="single"/>
              </w:rPr>
              <w:t>）医疗废物</w:t>
            </w:r>
          </w:p>
          <w:p w14:paraId="5EBE9767">
            <w:pPr>
              <w:ind w:firstLine="480" w:firstLineChars="200"/>
              <w:rPr>
                <w:szCs w:val="24"/>
                <w:u w:val="single"/>
              </w:rPr>
            </w:pPr>
            <w:r>
              <w:rPr>
                <w:rFonts w:hint="eastAsia" w:ascii="宋体" w:hAnsi="宋体"/>
                <w:szCs w:val="24"/>
                <w:u w:val="single"/>
              </w:rPr>
              <w:t>本项目的医疗废物一般可分为感染性废物、损伤性废物、药物性废物、化学性废物等；</w:t>
            </w:r>
          </w:p>
          <w:p w14:paraId="50C344DA">
            <w:pPr>
              <w:ind w:firstLine="480"/>
              <w:rPr>
                <w:szCs w:val="24"/>
                <w:u w:val="single"/>
              </w:rPr>
            </w:pPr>
            <w:r>
              <w:rPr>
                <w:rFonts w:hint="eastAsia" w:ascii="宋体" w:hAnsi="宋体"/>
                <w:szCs w:val="24"/>
                <w:u w:val="single"/>
              </w:rPr>
              <w:t>本项目参照“第一次全国污染源普查城镇生活源产排污系数手册第四分册：医院污染物产生、排放系数中相关系数” 本项目医疗废物产生系数取</w:t>
            </w:r>
            <w:bookmarkStart w:id="46" w:name="OLE_LINK16"/>
            <w:r>
              <w:rPr>
                <w:rFonts w:hint="eastAsia"/>
                <w:szCs w:val="24"/>
                <w:u w:val="single"/>
              </w:rPr>
              <w:t>0.42 kg/</w:t>
            </w:r>
            <w:r>
              <w:rPr>
                <w:rFonts w:hint="eastAsia" w:ascii="宋体" w:hAnsi="宋体"/>
                <w:szCs w:val="24"/>
                <w:u w:val="single"/>
              </w:rPr>
              <w:t>床·</w:t>
            </w:r>
            <w:r>
              <w:rPr>
                <w:rFonts w:hint="eastAsia"/>
                <w:szCs w:val="24"/>
                <w:u w:val="single"/>
              </w:rPr>
              <w:t>d</w:t>
            </w:r>
            <w:r>
              <w:rPr>
                <w:rFonts w:hint="eastAsia" w:ascii="宋体" w:hAnsi="宋体"/>
                <w:szCs w:val="24"/>
                <w:u w:val="single"/>
              </w:rPr>
              <w:t xml:space="preserve">计算，则项目医疗废物产生量共计 </w:t>
            </w:r>
            <w:r>
              <w:rPr>
                <w:rFonts w:hint="eastAsia"/>
                <w:szCs w:val="24"/>
                <w:u w:val="single"/>
              </w:rPr>
              <w:t>0.767t/a</w:t>
            </w:r>
            <w:bookmarkEnd w:id="46"/>
            <w:r>
              <w:rPr>
                <w:rFonts w:hint="eastAsia" w:ascii="宋体" w:hAnsi="宋体"/>
                <w:szCs w:val="24"/>
                <w:u w:val="single"/>
              </w:rPr>
              <w:t>。</w:t>
            </w:r>
          </w:p>
          <w:p w14:paraId="6E353164">
            <w:pPr>
              <w:ind w:firstLine="480"/>
              <w:rPr>
                <w:szCs w:val="24"/>
                <w:u w:val="single"/>
              </w:rPr>
            </w:pPr>
            <w:r>
              <w:rPr>
                <w:rFonts w:hint="eastAsia"/>
                <w:szCs w:val="24"/>
                <w:u w:val="single"/>
              </w:rPr>
              <w:t>3</w:t>
            </w:r>
            <w:r>
              <w:rPr>
                <w:rFonts w:hint="eastAsia" w:ascii="宋体" w:hAnsi="宋体"/>
                <w:szCs w:val="24"/>
                <w:u w:val="single"/>
              </w:rPr>
              <w:t>）污水处理污泥</w:t>
            </w:r>
          </w:p>
          <w:p w14:paraId="09B4AD23">
            <w:pPr>
              <w:ind w:firstLine="480" w:firstLineChars="200"/>
              <w:rPr>
                <w:szCs w:val="24"/>
                <w:u w:val="single"/>
              </w:rPr>
            </w:pPr>
            <w:r>
              <w:rPr>
                <w:rFonts w:hint="eastAsia" w:ascii="宋体" w:hAnsi="宋体"/>
                <w:szCs w:val="24"/>
                <w:u w:val="single"/>
              </w:rPr>
              <w:t>污水处理站污泥产生量参考</w:t>
            </w:r>
            <w:bookmarkStart w:id="47" w:name="OLE_LINK6"/>
            <w:r>
              <w:rPr>
                <w:rFonts w:hint="eastAsia" w:ascii="宋体" w:hAnsi="宋体"/>
                <w:szCs w:val="24"/>
                <w:u w:val="single"/>
              </w:rPr>
              <w:t>《</w:t>
            </w:r>
            <w:bookmarkStart w:id="48" w:name="OLE_LINK5"/>
            <w:r>
              <w:rPr>
                <w:rFonts w:hint="eastAsia" w:ascii="宋体" w:hAnsi="宋体"/>
                <w:szCs w:val="24"/>
                <w:u w:val="single"/>
              </w:rPr>
              <w:t>医院污水处理技术指南</w:t>
            </w:r>
            <w:bookmarkEnd w:id="48"/>
            <w:r>
              <w:rPr>
                <w:rFonts w:hint="eastAsia" w:ascii="宋体" w:hAnsi="宋体"/>
                <w:szCs w:val="24"/>
                <w:u w:val="single"/>
              </w:rPr>
              <w:t>》（环发〔</w:t>
            </w:r>
            <w:r>
              <w:rPr>
                <w:rFonts w:hint="eastAsia"/>
                <w:szCs w:val="24"/>
                <w:u w:val="single"/>
              </w:rPr>
              <w:t>2</w:t>
            </w:r>
            <w:r>
              <w:rPr>
                <w:szCs w:val="24"/>
                <w:u w:val="single"/>
              </w:rPr>
              <w:t>003</w:t>
            </w:r>
            <w:r>
              <w:rPr>
                <w:rFonts w:hint="eastAsia" w:ascii="宋体" w:hAnsi="宋体"/>
                <w:szCs w:val="24"/>
                <w:u w:val="single"/>
              </w:rPr>
              <w:t>〕</w:t>
            </w:r>
            <w:r>
              <w:rPr>
                <w:rFonts w:hint="eastAsia"/>
                <w:szCs w:val="24"/>
                <w:u w:val="single"/>
              </w:rPr>
              <w:t>1</w:t>
            </w:r>
            <w:r>
              <w:rPr>
                <w:szCs w:val="24"/>
                <w:u w:val="single"/>
              </w:rPr>
              <w:t>97</w:t>
            </w:r>
            <w:r>
              <w:rPr>
                <w:rFonts w:hint="eastAsia" w:ascii="宋体" w:hAnsi="宋体"/>
                <w:szCs w:val="24"/>
                <w:u w:val="single"/>
              </w:rPr>
              <w:t>号）</w:t>
            </w:r>
            <w:bookmarkEnd w:id="47"/>
            <w:r>
              <w:rPr>
                <w:rFonts w:hint="eastAsia" w:ascii="宋体" w:hAnsi="宋体"/>
                <w:szCs w:val="24"/>
                <w:u w:val="single"/>
              </w:rPr>
              <w:t xml:space="preserve">中“污水处理系统污泥产生量按 </w:t>
            </w:r>
            <w:r>
              <w:rPr>
                <w:rFonts w:hint="eastAsia"/>
                <w:szCs w:val="24"/>
                <w:u w:val="single"/>
              </w:rPr>
              <w:t>54g/</w:t>
            </w:r>
            <w:r>
              <w:rPr>
                <w:rFonts w:hint="eastAsia" w:ascii="宋体" w:hAnsi="宋体"/>
                <w:szCs w:val="24"/>
                <w:u w:val="single"/>
              </w:rPr>
              <w:t>人·</w:t>
            </w:r>
            <w:r>
              <w:rPr>
                <w:rFonts w:hint="eastAsia"/>
                <w:szCs w:val="24"/>
                <w:u w:val="single"/>
              </w:rPr>
              <w:t xml:space="preserve">d </w:t>
            </w:r>
            <w:r>
              <w:rPr>
                <w:rFonts w:hint="eastAsia" w:ascii="宋体" w:hAnsi="宋体"/>
                <w:szCs w:val="24"/>
                <w:u w:val="single"/>
              </w:rPr>
              <w:t>计”，则运营期污泥产生量为</w:t>
            </w:r>
            <w:r>
              <w:rPr>
                <w:rFonts w:hint="eastAsia"/>
                <w:szCs w:val="24"/>
                <w:u w:val="single"/>
              </w:rPr>
              <w:t>2.562</w:t>
            </w:r>
            <w:r>
              <w:rPr>
                <w:szCs w:val="24"/>
                <w:u w:val="single"/>
              </w:rPr>
              <w:t>t/a</w:t>
            </w:r>
            <w:r>
              <w:rPr>
                <w:rFonts w:hint="eastAsia" w:ascii="宋体" w:hAnsi="宋体"/>
                <w:szCs w:val="24"/>
                <w:u w:val="single"/>
              </w:rPr>
              <w:t>。</w:t>
            </w:r>
          </w:p>
          <w:p w14:paraId="7362C917">
            <w:pPr>
              <w:ind w:firstLine="480" w:firstLineChars="200"/>
              <w:rPr>
                <w:szCs w:val="24"/>
                <w:u w:val="single"/>
              </w:rPr>
            </w:pPr>
            <w:r>
              <w:rPr>
                <w:rFonts w:hint="eastAsia" w:ascii="宋体" w:hAnsi="宋体"/>
                <w:szCs w:val="24"/>
                <w:u w:val="single"/>
              </w:rPr>
              <w:t>综上所述，现有卫生院三废产排污情况一览表如下：</w:t>
            </w:r>
          </w:p>
          <w:p w14:paraId="2FC96C18">
            <w:pPr>
              <w:jc w:val="center"/>
              <w:rPr>
                <w:b/>
                <w:bCs/>
                <w:szCs w:val="24"/>
                <w:u w:val="single"/>
              </w:rPr>
            </w:pPr>
            <w:r>
              <w:rPr>
                <w:rFonts w:hint="eastAsia" w:ascii="宋体" w:hAnsi="宋体"/>
                <w:b/>
                <w:bCs/>
                <w:szCs w:val="24"/>
                <w:u w:val="single"/>
              </w:rPr>
              <w:t>表</w:t>
            </w:r>
            <w:r>
              <w:rPr>
                <w:rFonts w:hint="eastAsia"/>
                <w:b/>
                <w:bCs/>
                <w:szCs w:val="24"/>
                <w:u w:val="single"/>
              </w:rPr>
              <w:t>2</w:t>
            </w:r>
            <w:r>
              <w:rPr>
                <w:b/>
                <w:bCs/>
                <w:szCs w:val="24"/>
                <w:u w:val="single"/>
              </w:rPr>
              <w:t xml:space="preserve">-7 </w:t>
            </w:r>
            <w:r>
              <w:rPr>
                <w:rFonts w:hint="eastAsia" w:ascii="宋体" w:hAnsi="宋体"/>
                <w:b/>
                <w:bCs/>
                <w:szCs w:val="24"/>
                <w:u w:val="single"/>
              </w:rPr>
              <w:t>卫生院现有“三废”产排污情况统计表</w:t>
            </w:r>
          </w:p>
          <w:tbl>
            <w:tblPr>
              <w:tblStyle w:val="7"/>
              <w:tblW w:w="0" w:type="auto"/>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085"/>
              <w:gridCol w:w="2085"/>
              <w:gridCol w:w="2085"/>
            </w:tblGrid>
            <w:tr w14:paraId="536AC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84" w:type="dxa"/>
                  <w:tcBorders>
                    <w:top w:val="single" w:color="auto" w:sz="12" w:space="0"/>
                    <w:left w:val="single" w:color="auto" w:sz="12" w:space="0"/>
                    <w:bottom w:val="single" w:color="auto" w:sz="4" w:space="0"/>
                    <w:right w:val="single" w:color="auto" w:sz="4" w:space="0"/>
                  </w:tcBorders>
                </w:tcPr>
                <w:p w14:paraId="390A61F0">
                  <w:pPr>
                    <w:spacing w:line="240" w:lineRule="auto"/>
                    <w:jc w:val="center"/>
                    <w:rPr>
                      <w:sz w:val="21"/>
                      <w:szCs w:val="21"/>
                      <w:u w:val="single"/>
                    </w:rPr>
                  </w:pPr>
                  <w:r>
                    <w:rPr>
                      <w:rFonts w:hint="eastAsia" w:ascii="宋体" w:hAnsi="宋体"/>
                      <w:sz w:val="21"/>
                      <w:szCs w:val="21"/>
                      <w:u w:val="single"/>
                    </w:rPr>
                    <w:t>类别</w:t>
                  </w:r>
                </w:p>
              </w:tc>
              <w:tc>
                <w:tcPr>
                  <w:tcW w:w="2085" w:type="dxa"/>
                  <w:tcBorders>
                    <w:top w:val="single" w:color="auto" w:sz="12" w:space="0"/>
                    <w:left w:val="single" w:color="auto" w:sz="4" w:space="0"/>
                    <w:bottom w:val="single" w:color="auto" w:sz="4" w:space="0"/>
                    <w:right w:val="single" w:color="auto" w:sz="4" w:space="0"/>
                  </w:tcBorders>
                </w:tcPr>
                <w:p w14:paraId="5E5BF5D3">
                  <w:pPr>
                    <w:spacing w:line="240" w:lineRule="auto"/>
                    <w:jc w:val="center"/>
                    <w:rPr>
                      <w:sz w:val="21"/>
                      <w:szCs w:val="21"/>
                      <w:u w:val="single"/>
                    </w:rPr>
                  </w:pPr>
                  <w:r>
                    <w:rPr>
                      <w:rFonts w:hint="eastAsia" w:ascii="宋体" w:hAnsi="宋体"/>
                      <w:sz w:val="21"/>
                      <w:szCs w:val="21"/>
                      <w:u w:val="single"/>
                    </w:rPr>
                    <w:t>污染物</w:t>
                  </w:r>
                </w:p>
              </w:tc>
              <w:tc>
                <w:tcPr>
                  <w:tcW w:w="2085" w:type="dxa"/>
                  <w:tcBorders>
                    <w:top w:val="single" w:color="auto" w:sz="12" w:space="0"/>
                    <w:left w:val="single" w:color="auto" w:sz="4" w:space="0"/>
                    <w:bottom w:val="single" w:color="auto" w:sz="4" w:space="0"/>
                    <w:right w:val="single" w:color="auto" w:sz="4" w:space="0"/>
                  </w:tcBorders>
                </w:tcPr>
                <w:p w14:paraId="08F27DFE">
                  <w:pPr>
                    <w:spacing w:line="240" w:lineRule="auto"/>
                    <w:jc w:val="center"/>
                    <w:rPr>
                      <w:sz w:val="21"/>
                      <w:szCs w:val="21"/>
                      <w:u w:val="single"/>
                    </w:rPr>
                  </w:pPr>
                  <w:r>
                    <w:rPr>
                      <w:rFonts w:hint="eastAsia" w:ascii="宋体" w:hAnsi="宋体"/>
                      <w:sz w:val="21"/>
                      <w:szCs w:val="21"/>
                      <w:u w:val="single"/>
                    </w:rPr>
                    <w:t>产生量（</w:t>
                  </w:r>
                  <w:r>
                    <w:rPr>
                      <w:rFonts w:hint="eastAsia"/>
                      <w:sz w:val="21"/>
                      <w:szCs w:val="21"/>
                      <w:u w:val="single"/>
                    </w:rPr>
                    <w:t>t/a</w:t>
                  </w:r>
                  <w:r>
                    <w:rPr>
                      <w:rFonts w:hint="eastAsia" w:ascii="宋体" w:hAnsi="宋体"/>
                      <w:sz w:val="21"/>
                      <w:szCs w:val="21"/>
                      <w:u w:val="single"/>
                    </w:rPr>
                    <w:t>）</w:t>
                  </w:r>
                </w:p>
              </w:tc>
              <w:tc>
                <w:tcPr>
                  <w:tcW w:w="2085" w:type="dxa"/>
                  <w:tcBorders>
                    <w:top w:val="single" w:color="auto" w:sz="12" w:space="0"/>
                    <w:left w:val="single" w:color="auto" w:sz="4" w:space="0"/>
                    <w:bottom w:val="single" w:color="auto" w:sz="4" w:space="0"/>
                    <w:right w:val="single" w:color="auto" w:sz="12" w:space="0"/>
                  </w:tcBorders>
                </w:tcPr>
                <w:p w14:paraId="59D820AF">
                  <w:pPr>
                    <w:spacing w:line="240" w:lineRule="auto"/>
                    <w:jc w:val="center"/>
                    <w:rPr>
                      <w:sz w:val="21"/>
                      <w:szCs w:val="21"/>
                      <w:u w:val="single"/>
                    </w:rPr>
                  </w:pPr>
                  <w:r>
                    <w:rPr>
                      <w:rFonts w:hint="eastAsia" w:ascii="宋体" w:hAnsi="宋体"/>
                      <w:sz w:val="21"/>
                      <w:szCs w:val="21"/>
                      <w:u w:val="single"/>
                    </w:rPr>
                    <w:t>排放量（</w:t>
                  </w:r>
                  <w:r>
                    <w:rPr>
                      <w:rFonts w:hint="eastAsia"/>
                      <w:sz w:val="21"/>
                      <w:szCs w:val="21"/>
                      <w:u w:val="single"/>
                    </w:rPr>
                    <w:t>t/a</w:t>
                  </w:r>
                  <w:r>
                    <w:rPr>
                      <w:rFonts w:hint="eastAsia" w:ascii="宋体" w:hAnsi="宋体"/>
                      <w:sz w:val="21"/>
                      <w:szCs w:val="21"/>
                      <w:u w:val="single"/>
                    </w:rPr>
                    <w:t>）</w:t>
                  </w:r>
                </w:p>
              </w:tc>
            </w:tr>
            <w:tr w14:paraId="6DFE8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84" w:type="dxa"/>
                  <w:vMerge w:val="restart"/>
                  <w:tcBorders>
                    <w:top w:val="single" w:color="auto" w:sz="4" w:space="0"/>
                    <w:left w:val="single" w:color="auto" w:sz="12" w:space="0"/>
                    <w:bottom w:val="single" w:color="auto" w:sz="4" w:space="0"/>
                    <w:right w:val="single" w:color="auto" w:sz="4" w:space="0"/>
                  </w:tcBorders>
                  <w:vAlign w:val="center"/>
                </w:tcPr>
                <w:p w14:paraId="4290D73A">
                  <w:pPr>
                    <w:spacing w:line="240" w:lineRule="auto"/>
                    <w:jc w:val="center"/>
                    <w:rPr>
                      <w:sz w:val="21"/>
                      <w:szCs w:val="21"/>
                      <w:u w:val="single"/>
                    </w:rPr>
                  </w:pPr>
                  <w:r>
                    <w:rPr>
                      <w:rFonts w:hint="eastAsia" w:ascii="宋体" w:hAnsi="宋体"/>
                      <w:sz w:val="21"/>
                      <w:szCs w:val="21"/>
                      <w:u w:val="single"/>
                    </w:rPr>
                    <w:t>废水</w:t>
                  </w:r>
                </w:p>
              </w:tc>
              <w:tc>
                <w:tcPr>
                  <w:tcW w:w="2085" w:type="dxa"/>
                  <w:tcBorders>
                    <w:top w:val="single" w:color="auto" w:sz="4" w:space="0"/>
                    <w:left w:val="single" w:color="auto" w:sz="4" w:space="0"/>
                    <w:bottom w:val="single" w:color="auto" w:sz="4" w:space="0"/>
                    <w:right w:val="single" w:color="auto" w:sz="4" w:space="0"/>
                  </w:tcBorders>
                </w:tcPr>
                <w:p w14:paraId="499DAAB4">
                  <w:pPr>
                    <w:spacing w:line="240" w:lineRule="auto"/>
                    <w:jc w:val="center"/>
                    <w:rPr>
                      <w:sz w:val="21"/>
                      <w:szCs w:val="21"/>
                      <w:u w:val="single"/>
                    </w:rPr>
                  </w:pPr>
                  <w:r>
                    <w:rPr>
                      <w:rFonts w:hint="eastAsia"/>
                      <w:kern w:val="0"/>
                      <w:sz w:val="21"/>
                      <w:szCs w:val="21"/>
                      <w:u w:val="single"/>
                    </w:rPr>
                    <w:t>C</w:t>
                  </w:r>
                  <w:r>
                    <w:rPr>
                      <w:kern w:val="0"/>
                      <w:sz w:val="21"/>
                      <w:szCs w:val="21"/>
                      <w:u w:val="single"/>
                    </w:rPr>
                    <w:t>OD</w:t>
                  </w:r>
                </w:p>
              </w:tc>
              <w:tc>
                <w:tcPr>
                  <w:tcW w:w="2085" w:type="dxa"/>
                  <w:tcBorders>
                    <w:top w:val="single" w:color="auto" w:sz="4" w:space="0"/>
                    <w:left w:val="single" w:color="auto" w:sz="4" w:space="0"/>
                    <w:bottom w:val="single" w:color="auto" w:sz="4" w:space="0"/>
                    <w:right w:val="single" w:color="auto" w:sz="4" w:space="0"/>
                  </w:tcBorders>
                </w:tcPr>
                <w:p w14:paraId="40AAA50A">
                  <w:pPr>
                    <w:spacing w:line="240" w:lineRule="auto"/>
                    <w:jc w:val="center"/>
                    <w:rPr>
                      <w:sz w:val="21"/>
                      <w:szCs w:val="21"/>
                      <w:u w:val="single"/>
                    </w:rPr>
                  </w:pPr>
                  <w:r>
                    <w:rPr>
                      <w:rFonts w:hint="eastAsia"/>
                      <w:kern w:val="0"/>
                      <w:sz w:val="21"/>
                      <w:szCs w:val="21"/>
                      <w:u w:val="single"/>
                    </w:rPr>
                    <w:t>0.493</w:t>
                  </w:r>
                </w:p>
              </w:tc>
              <w:tc>
                <w:tcPr>
                  <w:tcW w:w="2085" w:type="dxa"/>
                  <w:tcBorders>
                    <w:top w:val="single" w:color="auto" w:sz="4" w:space="0"/>
                    <w:left w:val="single" w:color="auto" w:sz="4" w:space="0"/>
                    <w:bottom w:val="single" w:color="auto" w:sz="4" w:space="0"/>
                    <w:right w:val="single" w:color="auto" w:sz="12" w:space="0"/>
                  </w:tcBorders>
                </w:tcPr>
                <w:p w14:paraId="6D8A4ED1">
                  <w:pPr>
                    <w:spacing w:line="240" w:lineRule="auto"/>
                    <w:jc w:val="center"/>
                    <w:rPr>
                      <w:sz w:val="21"/>
                      <w:szCs w:val="21"/>
                      <w:u w:val="single"/>
                    </w:rPr>
                  </w:pPr>
                  <w:r>
                    <w:rPr>
                      <w:rFonts w:hint="eastAsia" w:eastAsia="等线"/>
                      <w:color w:val="000000"/>
                      <w:kern w:val="0"/>
                      <w:sz w:val="21"/>
                      <w:szCs w:val="21"/>
                      <w:u w:val="single"/>
                    </w:rPr>
                    <w:t>0.082</w:t>
                  </w:r>
                </w:p>
              </w:tc>
            </w:tr>
            <w:tr w14:paraId="3DB37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599F5889">
                  <w:pPr>
                    <w:widowControl/>
                    <w:spacing w:line="240" w:lineRule="auto"/>
                    <w:rPr>
                      <w:sz w:val="21"/>
                      <w:szCs w:val="21"/>
                      <w:u w:val="single"/>
                    </w:rPr>
                  </w:pPr>
                </w:p>
              </w:tc>
              <w:tc>
                <w:tcPr>
                  <w:tcW w:w="2085" w:type="dxa"/>
                  <w:tcBorders>
                    <w:top w:val="single" w:color="auto" w:sz="4" w:space="0"/>
                    <w:left w:val="single" w:color="auto" w:sz="4" w:space="0"/>
                    <w:bottom w:val="single" w:color="auto" w:sz="4" w:space="0"/>
                    <w:right w:val="single" w:color="auto" w:sz="4" w:space="0"/>
                  </w:tcBorders>
                </w:tcPr>
                <w:p w14:paraId="511463CC">
                  <w:pPr>
                    <w:spacing w:line="240" w:lineRule="auto"/>
                    <w:jc w:val="center"/>
                    <w:rPr>
                      <w:sz w:val="21"/>
                      <w:szCs w:val="21"/>
                      <w:u w:val="single"/>
                    </w:rPr>
                  </w:pPr>
                  <w:r>
                    <w:rPr>
                      <w:rFonts w:hint="eastAsia"/>
                      <w:kern w:val="0"/>
                      <w:sz w:val="21"/>
                      <w:szCs w:val="21"/>
                      <w:u w:val="single"/>
                    </w:rPr>
                    <w:t>BOD</w:t>
                  </w:r>
                  <w:r>
                    <w:rPr>
                      <w:kern w:val="0"/>
                      <w:sz w:val="21"/>
                      <w:szCs w:val="21"/>
                      <w:u w:val="single"/>
                      <w:vertAlign w:val="subscript"/>
                    </w:rPr>
                    <w:t>5</w:t>
                  </w:r>
                </w:p>
              </w:tc>
              <w:tc>
                <w:tcPr>
                  <w:tcW w:w="2085" w:type="dxa"/>
                  <w:tcBorders>
                    <w:top w:val="single" w:color="auto" w:sz="4" w:space="0"/>
                    <w:left w:val="single" w:color="auto" w:sz="4" w:space="0"/>
                    <w:bottom w:val="single" w:color="auto" w:sz="4" w:space="0"/>
                    <w:right w:val="single" w:color="auto" w:sz="4" w:space="0"/>
                  </w:tcBorders>
                </w:tcPr>
                <w:p w14:paraId="164575C2">
                  <w:pPr>
                    <w:spacing w:line="240" w:lineRule="auto"/>
                    <w:jc w:val="center"/>
                    <w:rPr>
                      <w:sz w:val="21"/>
                      <w:szCs w:val="21"/>
                      <w:u w:val="single"/>
                    </w:rPr>
                  </w:pPr>
                  <w:r>
                    <w:rPr>
                      <w:rFonts w:hint="eastAsia"/>
                      <w:kern w:val="0"/>
                      <w:sz w:val="21"/>
                      <w:szCs w:val="21"/>
                      <w:u w:val="single"/>
                    </w:rPr>
                    <w:t>0.246</w:t>
                  </w:r>
                </w:p>
              </w:tc>
              <w:tc>
                <w:tcPr>
                  <w:tcW w:w="2085" w:type="dxa"/>
                  <w:tcBorders>
                    <w:top w:val="single" w:color="auto" w:sz="4" w:space="0"/>
                    <w:left w:val="single" w:color="auto" w:sz="4" w:space="0"/>
                    <w:bottom w:val="single" w:color="auto" w:sz="4" w:space="0"/>
                    <w:right w:val="single" w:color="auto" w:sz="12" w:space="0"/>
                  </w:tcBorders>
                </w:tcPr>
                <w:p w14:paraId="01C3557E">
                  <w:pPr>
                    <w:spacing w:line="240" w:lineRule="auto"/>
                    <w:jc w:val="center"/>
                    <w:rPr>
                      <w:sz w:val="21"/>
                      <w:szCs w:val="21"/>
                      <w:u w:val="single"/>
                    </w:rPr>
                  </w:pPr>
                  <w:r>
                    <w:rPr>
                      <w:rFonts w:hint="eastAsia" w:eastAsia="等线"/>
                      <w:color w:val="000000"/>
                      <w:kern w:val="0"/>
                      <w:sz w:val="21"/>
                      <w:szCs w:val="21"/>
                      <w:u w:val="single"/>
                    </w:rPr>
                    <w:t>0.016</w:t>
                  </w:r>
                </w:p>
              </w:tc>
            </w:tr>
            <w:tr w14:paraId="088D0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28F1A53F">
                  <w:pPr>
                    <w:widowControl/>
                    <w:spacing w:line="240" w:lineRule="auto"/>
                    <w:rPr>
                      <w:sz w:val="21"/>
                      <w:szCs w:val="21"/>
                      <w:u w:val="single"/>
                    </w:rPr>
                  </w:pPr>
                </w:p>
              </w:tc>
              <w:tc>
                <w:tcPr>
                  <w:tcW w:w="2085" w:type="dxa"/>
                  <w:tcBorders>
                    <w:top w:val="single" w:color="auto" w:sz="4" w:space="0"/>
                    <w:left w:val="single" w:color="auto" w:sz="4" w:space="0"/>
                    <w:bottom w:val="single" w:color="auto" w:sz="4" w:space="0"/>
                    <w:right w:val="single" w:color="auto" w:sz="4" w:space="0"/>
                  </w:tcBorders>
                </w:tcPr>
                <w:p w14:paraId="595D1CB4">
                  <w:pPr>
                    <w:spacing w:line="240" w:lineRule="auto"/>
                    <w:jc w:val="center"/>
                    <w:rPr>
                      <w:sz w:val="21"/>
                      <w:szCs w:val="21"/>
                      <w:u w:val="single"/>
                    </w:rPr>
                  </w:pPr>
                  <w:r>
                    <w:rPr>
                      <w:kern w:val="0"/>
                      <w:sz w:val="21"/>
                      <w:szCs w:val="21"/>
                      <w:u w:val="single"/>
                    </w:rPr>
                    <w:t>SS</w:t>
                  </w:r>
                </w:p>
              </w:tc>
              <w:tc>
                <w:tcPr>
                  <w:tcW w:w="2085" w:type="dxa"/>
                  <w:tcBorders>
                    <w:top w:val="single" w:color="auto" w:sz="4" w:space="0"/>
                    <w:left w:val="single" w:color="auto" w:sz="4" w:space="0"/>
                    <w:bottom w:val="single" w:color="auto" w:sz="4" w:space="0"/>
                    <w:right w:val="single" w:color="auto" w:sz="4" w:space="0"/>
                  </w:tcBorders>
                </w:tcPr>
                <w:p w14:paraId="642315C8">
                  <w:pPr>
                    <w:spacing w:line="240" w:lineRule="auto"/>
                    <w:jc w:val="center"/>
                    <w:rPr>
                      <w:sz w:val="21"/>
                      <w:szCs w:val="21"/>
                      <w:u w:val="single"/>
                    </w:rPr>
                  </w:pPr>
                  <w:r>
                    <w:rPr>
                      <w:rFonts w:hint="eastAsia"/>
                      <w:kern w:val="0"/>
                      <w:sz w:val="21"/>
                      <w:szCs w:val="21"/>
                      <w:u w:val="single"/>
                    </w:rPr>
                    <w:t>0.197</w:t>
                  </w:r>
                </w:p>
              </w:tc>
              <w:tc>
                <w:tcPr>
                  <w:tcW w:w="2085" w:type="dxa"/>
                  <w:tcBorders>
                    <w:top w:val="single" w:color="auto" w:sz="4" w:space="0"/>
                    <w:left w:val="single" w:color="auto" w:sz="4" w:space="0"/>
                    <w:bottom w:val="single" w:color="auto" w:sz="4" w:space="0"/>
                    <w:right w:val="single" w:color="auto" w:sz="12" w:space="0"/>
                  </w:tcBorders>
                </w:tcPr>
                <w:p w14:paraId="3107852E">
                  <w:pPr>
                    <w:spacing w:line="240" w:lineRule="auto"/>
                    <w:jc w:val="center"/>
                    <w:rPr>
                      <w:sz w:val="21"/>
                      <w:szCs w:val="21"/>
                      <w:u w:val="single"/>
                    </w:rPr>
                  </w:pPr>
                  <w:r>
                    <w:rPr>
                      <w:rFonts w:hint="eastAsia" w:eastAsia="等线"/>
                      <w:color w:val="000000"/>
                      <w:kern w:val="0"/>
                      <w:sz w:val="21"/>
                      <w:szCs w:val="21"/>
                      <w:u w:val="single"/>
                    </w:rPr>
                    <w:t>0.016</w:t>
                  </w:r>
                </w:p>
              </w:tc>
            </w:tr>
            <w:tr w14:paraId="2F80A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249D9CCA">
                  <w:pPr>
                    <w:widowControl/>
                    <w:spacing w:line="240" w:lineRule="auto"/>
                    <w:rPr>
                      <w:sz w:val="21"/>
                      <w:szCs w:val="21"/>
                      <w:u w:val="single"/>
                    </w:rPr>
                  </w:pPr>
                </w:p>
              </w:tc>
              <w:tc>
                <w:tcPr>
                  <w:tcW w:w="2085" w:type="dxa"/>
                  <w:tcBorders>
                    <w:top w:val="single" w:color="auto" w:sz="4" w:space="0"/>
                    <w:left w:val="single" w:color="auto" w:sz="4" w:space="0"/>
                    <w:bottom w:val="single" w:color="auto" w:sz="4" w:space="0"/>
                    <w:right w:val="single" w:color="auto" w:sz="4" w:space="0"/>
                  </w:tcBorders>
                </w:tcPr>
                <w:p w14:paraId="4D94A4EF">
                  <w:pPr>
                    <w:spacing w:line="240" w:lineRule="auto"/>
                    <w:jc w:val="center"/>
                    <w:rPr>
                      <w:sz w:val="21"/>
                      <w:szCs w:val="21"/>
                      <w:u w:val="single"/>
                    </w:rPr>
                  </w:pPr>
                  <w:r>
                    <w:rPr>
                      <w:rFonts w:hint="eastAsia"/>
                      <w:kern w:val="0"/>
                      <w:sz w:val="21"/>
                      <w:szCs w:val="21"/>
                      <w:u w:val="single"/>
                    </w:rPr>
                    <w:t>NH</w:t>
                  </w:r>
                  <w:r>
                    <w:rPr>
                      <w:rFonts w:hint="eastAsia"/>
                      <w:kern w:val="0"/>
                      <w:sz w:val="21"/>
                      <w:szCs w:val="21"/>
                      <w:u w:val="single"/>
                      <w:vertAlign w:val="subscript"/>
                    </w:rPr>
                    <w:t>3</w:t>
                  </w:r>
                  <w:r>
                    <w:rPr>
                      <w:rFonts w:hint="eastAsia"/>
                      <w:kern w:val="0"/>
                      <w:sz w:val="21"/>
                      <w:szCs w:val="21"/>
                      <w:u w:val="single"/>
                    </w:rPr>
                    <w:t>-N</w:t>
                  </w:r>
                </w:p>
              </w:tc>
              <w:tc>
                <w:tcPr>
                  <w:tcW w:w="2085" w:type="dxa"/>
                  <w:tcBorders>
                    <w:top w:val="single" w:color="auto" w:sz="4" w:space="0"/>
                    <w:left w:val="single" w:color="auto" w:sz="4" w:space="0"/>
                    <w:bottom w:val="single" w:color="auto" w:sz="4" w:space="0"/>
                    <w:right w:val="single" w:color="auto" w:sz="4" w:space="0"/>
                  </w:tcBorders>
                </w:tcPr>
                <w:p w14:paraId="5A883D77">
                  <w:pPr>
                    <w:spacing w:line="240" w:lineRule="auto"/>
                    <w:jc w:val="center"/>
                    <w:rPr>
                      <w:sz w:val="21"/>
                      <w:szCs w:val="21"/>
                      <w:u w:val="single"/>
                    </w:rPr>
                  </w:pPr>
                  <w:r>
                    <w:rPr>
                      <w:rFonts w:hint="eastAsia"/>
                      <w:kern w:val="0"/>
                      <w:sz w:val="21"/>
                      <w:szCs w:val="21"/>
                      <w:u w:val="single"/>
                    </w:rPr>
                    <w:t>0.082</w:t>
                  </w:r>
                </w:p>
              </w:tc>
              <w:tc>
                <w:tcPr>
                  <w:tcW w:w="2085" w:type="dxa"/>
                  <w:tcBorders>
                    <w:top w:val="single" w:color="auto" w:sz="4" w:space="0"/>
                    <w:left w:val="single" w:color="auto" w:sz="4" w:space="0"/>
                    <w:bottom w:val="single" w:color="auto" w:sz="4" w:space="0"/>
                    <w:right w:val="single" w:color="auto" w:sz="12" w:space="0"/>
                  </w:tcBorders>
                </w:tcPr>
                <w:p w14:paraId="37AAD380">
                  <w:pPr>
                    <w:spacing w:line="240" w:lineRule="auto"/>
                    <w:jc w:val="center"/>
                    <w:rPr>
                      <w:sz w:val="21"/>
                      <w:szCs w:val="21"/>
                      <w:u w:val="single"/>
                    </w:rPr>
                  </w:pPr>
                  <w:r>
                    <w:rPr>
                      <w:kern w:val="0"/>
                      <w:sz w:val="21"/>
                      <w:szCs w:val="21"/>
                      <w:u w:val="single"/>
                    </w:rPr>
                    <w:t>0.008</w:t>
                  </w:r>
                </w:p>
              </w:tc>
            </w:tr>
            <w:tr w14:paraId="1EBF6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84" w:type="dxa"/>
                  <w:vMerge w:val="restart"/>
                  <w:tcBorders>
                    <w:top w:val="single" w:color="auto" w:sz="4" w:space="0"/>
                    <w:left w:val="single" w:color="auto" w:sz="12" w:space="0"/>
                    <w:bottom w:val="single" w:color="auto" w:sz="4" w:space="0"/>
                    <w:right w:val="single" w:color="auto" w:sz="4" w:space="0"/>
                  </w:tcBorders>
                  <w:vAlign w:val="center"/>
                </w:tcPr>
                <w:p w14:paraId="752441AC">
                  <w:pPr>
                    <w:spacing w:line="240" w:lineRule="auto"/>
                    <w:jc w:val="center"/>
                    <w:rPr>
                      <w:sz w:val="21"/>
                      <w:szCs w:val="21"/>
                      <w:u w:val="single"/>
                    </w:rPr>
                  </w:pPr>
                  <w:r>
                    <w:rPr>
                      <w:rFonts w:hint="eastAsia" w:ascii="宋体" w:hAnsi="宋体"/>
                      <w:sz w:val="21"/>
                      <w:szCs w:val="21"/>
                      <w:u w:val="single"/>
                    </w:rPr>
                    <w:t>固废（产生量）</w:t>
                  </w:r>
                </w:p>
              </w:tc>
              <w:tc>
                <w:tcPr>
                  <w:tcW w:w="2085" w:type="dxa"/>
                  <w:tcBorders>
                    <w:top w:val="single" w:color="auto" w:sz="4" w:space="0"/>
                    <w:left w:val="single" w:color="auto" w:sz="4" w:space="0"/>
                    <w:bottom w:val="single" w:color="auto" w:sz="4" w:space="0"/>
                    <w:right w:val="single" w:color="auto" w:sz="4" w:space="0"/>
                  </w:tcBorders>
                </w:tcPr>
                <w:p w14:paraId="0AF86796">
                  <w:pPr>
                    <w:spacing w:line="240" w:lineRule="auto"/>
                    <w:jc w:val="center"/>
                    <w:rPr>
                      <w:kern w:val="0"/>
                      <w:sz w:val="21"/>
                      <w:szCs w:val="21"/>
                      <w:u w:val="single"/>
                    </w:rPr>
                  </w:pPr>
                  <w:r>
                    <w:rPr>
                      <w:rFonts w:hint="eastAsia" w:ascii="宋体" w:hAnsi="宋体"/>
                      <w:kern w:val="0"/>
                      <w:sz w:val="21"/>
                      <w:szCs w:val="21"/>
                      <w:u w:val="single"/>
                    </w:rPr>
                    <w:t>生活垃圾</w:t>
                  </w:r>
                </w:p>
              </w:tc>
              <w:tc>
                <w:tcPr>
                  <w:tcW w:w="2085" w:type="dxa"/>
                  <w:tcBorders>
                    <w:top w:val="single" w:color="auto" w:sz="4" w:space="0"/>
                    <w:left w:val="single" w:color="auto" w:sz="4" w:space="0"/>
                    <w:bottom w:val="single" w:color="auto" w:sz="4" w:space="0"/>
                    <w:right w:val="single" w:color="auto" w:sz="4" w:space="0"/>
                  </w:tcBorders>
                </w:tcPr>
                <w:p w14:paraId="76AAA1F5">
                  <w:pPr>
                    <w:spacing w:line="240" w:lineRule="auto"/>
                    <w:jc w:val="center"/>
                    <w:rPr>
                      <w:kern w:val="0"/>
                      <w:sz w:val="21"/>
                      <w:szCs w:val="21"/>
                      <w:u w:val="single"/>
                    </w:rPr>
                  </w:pPr>
                  <w:r>
                    <w:rPr>
                      <w:kern w:val="0"/>
                      <w:sz w:val="21"/>
                      <w:szCs w:val="21"/>
                      <w:u w:val="single"/>
                    </w:rPr>
                    <w:t>5.475</w:t>
                  </w:r>
                </w:p>
              </w:tc>
              <w:tc>
                <w:tcPr>
                  <w:tcW w:w="2085" w:type="dxa"/>
                  <w:tcBorders>
                    <w:top w:val="single" w:color="auto" w:sz="4" w:space="0"/>
                    <w:left w:val="single" w:color="auto" w:sz="4" w:space="0"/>
                    <w:bottom w:val="single" w:color="auto" w:sz="4" w:space="0"/>
                    <w:right w:val="single" w:color="auto" w:sz="12" w:space="0"/>
                  </w:tcBorders>
                </w:tcPr>
                <w:p w14:paraId="0B142440">
                  <w:pPr>
                    <w:spacing w:line="240" w:lineRule="auto"/>
                    <w:jc w:val="center"/>
                    <w:rPr>
                      <w:kern w:val="0"/>
                      <w:sz w:val="21"/>
                      <w:szCs w:val="21"/>
                      <w:u w:val="single"/>
                    </w:rPr>
                  </w:pPr>
                  <w:r>
                    <w:rPr>
                      <w:rFonts w:hint="eastAsia"/>
                      <w:kern w:val="0"/>
                      <w:sz w:val="21"/>
                      <w:szCs w:val="21"/>
                      <w:u w:val="single"/>
                    </w:rPr>
                    <w:t>/</w:t>
                  </w:r>
                </w:p>
              </w:tc>
            </w:tr>
            <w:tr w14:paraId="2F48D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2F375085">
                  <w:pPr>
                    <w:widowControl/>
                    <w:spacing w:line="240" w:lineRule="auto"/>
                    <w:rPr>
                      <w:sz w:val="21"/>
                      <w:szCs w:val="21"/>
                      <w:u w:val="single"/>
                    </w:rPr>
                  </w:pPr>
                </w:p>
              </w:tc>
              <w:tc>
                <w:tcPr>
                  <w:tcW w:w="2085" w:type="dxa"/>
                  <w:tcBorders>
                    <w:top w:val="single" w:color="auto" w:sz="4" w:space="0"/>
                    <w:left w:val="single" w:color="auto" w:sz="4" w:space="0"/>
                    <w:bottom w:val="single" w:color="auto" w:sz="4" w:space="0"/>
                    <w:right w:val="single" w:color="auto" w:sz="4" w:space="0"/>
                  </w:tcBorders>
                </w:tcPr>
                <w:p w14:paraId="7818C139">
                  <w:pPr>
                    <w:spacing w:line="240" w:lineRule="auto"/>
                    <w:jc w:val="center"/>
                    <w:rPr>
                      <w:kern w:val="0"/>
                      <w:sz w:val="21"/>
                      <w:szCs w:val="21"/>
                      <w:u w:val="single"/>
                    </w:rPr>
                  </w:pPr>
                  <w:r>
                    <w:rPr>
                      <w:rFonts w:hint="eastAsia" w:ascii="宋体" w:hAnsi="宋体"/>
                      <w:kern w:val="0"/>
                      <w:sz w:val="21"/>
                      <w:szCs w:val="21"/>
                      <w:u w:val="single"/>
                    </w:rPr>
                    <w:t>医疗废物</w:t>
                  </w:r>
                </w:p>
              </w:tc>
              <w:tc>
                <w:tcPr>
                  <w:tcW w:w="2085" w:type="dxa"/>
                  <w:tcBorders>
                    <w:top w:val="single" w:color="auto" w:sz="4" w:space="0"/>
                    <w:left w:val="single" w:color="auto" w:sz="4" w:space="0"/>
                    <w:bottom w:val="single" w:color="auto" w:sz="4" w:space="0"/>
                    <w:right w:val="single" w:color="auto" w:sz="4" w:space="0"/>
                  </w:tcBorders>
                </w:tcPr>
                <w:p w14:paraId="68B9AFC6">
                  <w:pPr>
                    <w:spacing w:line="240" w:lineRule="auto"/>
                    <w:jc w:val="center"/>
                    <w:rPr>
                      <w:rFonts w:hint="eastAsia"/>
                      <w:kern w:val="0"/>
                      <w:sz w:val="21"/>
                      <w:szCs w:val="21"/>
                      <w:u w:val="single"/>
                    </w:rPr>
                  </w:pPr>
                  <w:r>
                    <w:rPr>
                      <w:rFonts w:hint="eastAsia"/>
                      <w:kern w:val="0"/>
                      <w:sz w:val="21"/>
                      <w:szCs w:val="21"/>
                      <w:u w:val="single"/>
                    </w:rPr>
                    <w:t>0.767</w:t>
                  </w:r>
                </w:p>
              </w:tc>
              <w:tc>
                <w:tcPr>
                  <w:tcW w:w="2085" w:type="dxa"/>
                  <w:tcBorders>
                    <w:top w:val="single" w:color="auto" w:sz="4" w:space="0"/>
                    <w:left w:val="single" w:color="auto" w:sz="4" w:space="0"/>
                    <w:bottom w:val="single" w:color="auto" w:sz="4" w:space="0"/>
                    <w:right w:val="single" w:color="auto" w:sz="12" w:space="0"/>
                  </w:tcBorders>
                </w:tcPr>
                <w:p w14:paraId="369939BD">
                  <w:pPr>
                    <w:spacing w:line="240" w:lineRule="auto"/>
                    <w:jc w:val="center"/>
                    <w:rPr>
                      <w:kern w:val="0"/>
                      <w:sz w:val="21"/>
                      <w:szCs w:val="21"/>
                      <w:u w:val="single"/>
                    </w:rPr>
                  </w:pPr>
                  <w:r>
                    <w:rPr>
                      <w:rFonts w:hint="eastAsia"/>
                      <w:kern w:val="0"/>
                      <w:sz w:val="21"/>
                      <w:szCs w:val="21"/>
                      <w:u w:val="single"/>
                    </w:rPr>
                    <w:t>/</w:t>
                  </w:r>
                </w:p>
              </w:tc>
            </w:tr>
            <w:tr w14:paraId="4AE9C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12" w:space="0"/>
                    <w:bottom w:val="single" w:color="auto" w:sz="4" w:space="0"/>
                    <w:right w:val="single" w:color="auto" w:sz="4" w:space="0"/>
                  </w:tcBorders>
                  <w:vAlign w:val="center"/>
                </w:tcPr>
                <w:p w14:paraId="18537072">
                  <w:pPr>
                    <w:widowControl/>
                    <w:spacing w:line="240" w:lineRule="auto"/>
                    <w:rPr>
                      <w:sz w:val="21"/>
                      <w:szCs w:val="21"/>
                      <w:u w:val="single"/>
                    </w:rPr>
                  </w:pPr>
                </w:p>
              </w:tc>
              <w:tc>
                <w:tcPr>
                  <w:tcW w:w="2085" w:type="dxa"/>
                  <w:tcBorders>
                    <w:top w:val="single" w:color="auto" w:sz="4" w:space="0"/>
                    <w:left w:val="single" w:color="auto" w:sz="4" w:space="0"/>
                    <w:bottom w:val="single" w:color="auto" w:sz="12" w:space="0"/>
                    <w:right w:val="single" w:color="auto" w:sz="4" w:space="0"/>
                  </w:tcBorders>
                </w:tcPr>
                <w:p w14:paraId="540D78AA">
                  <w:pPr>
                    <w:spacing w:line="240" w:lineRule="auto"/>
                    <w:jc w:val="center"/>
                    <w:rPr>
                      <w:kern w:val="0"/>
                      <w:sz w:val="21"/>
                      <w:szCs w:val="21"/>
                      <w:u w:val="single"/>
                    </w:rPr>
                  </w:pPr>
                  <w:r>
                    <w:rPr>
                      <w:rFonts w:hint="eastAsia" w:ascii="宋体" w:hAnsi="宋体"/>
                      <w:kern w:val="0"/>
                      <w:sz w:val="21"/>
                      <w:szCs w:val="21"/>
                      <w:u w:val="single"/>
                    </w:rPr>
                    <w:t>污水处理污泥</w:t>
                  </w:r>
                </w:p>
              </w:tc>
              <w:tc>
                <w:tcPr>
                  <w:tcW w:w="2085" w:type="dxa"/>
                  <w:tcBorders>
                    <w:top w:val="single" w:color="auto" w:sz="4" w:space="0"/>
                    <w:left w:val="single" w:color="auto" w:sz="4" w:space="0"/>
                    <w:bottom w:val="single" w:color="auto" w:sz="12" w:space="0"/>
                    <w:right w:val="single" w:color="auto" w:sz="4" w:space="0"/>
                  </w:tcBorders>
                </w:tcPr>
                <w:p w14:paraId="23DAF4E4">
                  <w:pPr>
                    <w:spacing w:line="240" w:lineRule="auto"/>
                    <w:jc w:val="center"/>
                    <w:rPr>
                      <w:kern w:val="0"/>
                      <w:sz w:val="21"/>
                      <w:szCs w:val="21"/>
                      <w:u w:val="single"/>
                    </w:rPr>
                  </w:pPr>
                  <w:r>
                    <w:rPr>
                      <w:kern w:val="0"/>
                      <w:sz w:val="21"/>
                      <w:szCs w:val="21"/>
                      <w:u w:val="single"/>
                    </w:rPr>
                    <w:t>2.562</w:t>
                  </w:r>
                </w:p>
              </w:tc>
              <w:tc>
                <w:tcPr>
                  <w:tcW w:w="2085" w:type="dxa"/>
                  <w:tcBorders>
                    <w:top w:val="single" w:color="auto" w:sz="4" w:space="0"/>
                    <w:left w:val="single" w:color="auto" w:sz="4" w:space="0"/>
                    <w:bottom w:val="single" w:color="auto" w:sz="12" w:space="0"/>
                    <w:right w:val="single" w:color="auto" w:sz="12" w:space="0"/>
                  </w:tcBorders>
                </w:tcPr>
                <w:p w14:paraId="21F18E38">
                  <w:pPr>
                    <w:spacing w:line="240" w:lineRule="auto"/>
                    <w:jc w:val="center"/>
                    <w:rPr>
                      <w:kern w:val="0"/>
                      <w:sz w:val="21"/>
                      <w:szCs w:val="21"/>
                      <w:u w:val="single"/>
                    </w:rPr>
                  </w:pPr>
                  <w:r>
                    <w:rPr>
                      <w:rFonts w:hint="eastAsia"/>
                      <w:kern w:val="0"/>
                      <w:sz w:val="21"/>
                      <w:szCs w:val="21"/>
                      <w:u w:val="single"/>
                    </w:rPr>
                    <w:t>/</w:t>
                  </w:r>
                </w:p>
              </w:tc>
            </w:tr>
          </w:tbl>
          <w:p w14:paraId="55ACB69B">
            <w:pPr>
              <w:rPr>
                <w:b/>
                <w:bCs/>
                <w:szCs w:val="24"/>
              </w:rPr>
            </w:pPr>
            <w:r>
              <w:rPr>
                <w:rFonts w:hint="eastAsia"/>
                <w:b/>
                <w:bCs/>
                <w:szCs w:val="24"/>
              </w:rPr>
              <w:t>4</w:t>
            </w:r>
            <w:r>
              <w:rPr>
                <w:rFonts w:hint="eastAsia" w:ascii="宋体" w:hAnsi="宋体"/>
                <w:b/>
                <w:bCs/>
                <w:szCs w:val="24"/>
              </w:rPr>
              <w:t>、现有项目存在的问题及改进措施</w:t>
            </w:r>
          </w:p>
          <w:p w14:paraId="5DE62B07">
            <w:pPr>
              <w:ind w:firstLine="480" w:firstLineChars="200"/>
              <w:rPr>
                <w:szCs w:val="24"/>
                <w:u w:val="single"/>
              </w:rPr>
            </w:pPr>
            <w:r>
              <w:rPr>
                <w:rFonts w:hint="eastAsia" w:ascii="宋体" w:hAnsi="宋体"/>
                <w:szCs w:val="24"/>
                <w:u w:val="single"/>
              </w:rPr>
              <w:t>（</w:t>
            </w:r>
            <w:r>
              <w:rPr>
                <w:rFonts w:hint="eastAsia"/>
                <w:szCs w:val="24"/>
                <w:u w:val="single"/>
              </w:rPr>
              <w:t>1</w:t>
            </w:r>
            <w:r>
              <w:rPr>
                <w:rFonts w:hint="eastAsia" w:ascii="宋体" w:hAnsi="宋体"/>
                <w:szCs w:val="24"/>
                <w:u w:val="single"/>
              </w:rPr>
              <w:t>）现有项目存在的问题</w:t>
            </w:r>
          </w:p>
          <w:p w14:paraId="620D99C3">
            <w:pPr>
              <w:ind w:firstLine="480" w:firstLineChars="200"/>
              <w:rPr>
                <w:szCs w:val="24"/>
                <w:u w:val="single"/>
              </w:rPr>
            </w:pPr>
            <w:r>
              <w:rPr>
                <w:rFonts w:hint="eastAsia" w:ascii="宋体" w:hAnsi="宋体"/>
                <w:szCs w:val="24"/>
                <w:u w:val="single"/>
              </w:rPr>
              <w:t>根据现场踏勘，项目配套的各项主要环保设施已基本建设到位，目前卫生院还存在以下问题：</w:t>
            </w:r>
          </w:p>
          <w:p w14:paraId="3ED0AF19">
            <w:pPr>
              <w:ind w:firstLine="480" w:firstLineChars="200"/>
              <w:rPr>
                <w:szCs w:val="24"/>
                <w:u w:val="single"/>
              </w:rPr>
            </w:pPr>
            <w:r>
              <w:rPr>
                <w:rFonts w:hint="eastAsia"/>
                <w:szCs w:val="24"/>
                <w:u w:val="single"/>
              </w:rPr>
              <w:t>1</w:t>
            </w:r>
            <w:r>
              <w:rPr>
                <w:rFonts w:hint="eastAsia" w:ascii="宋体" w:hAnsi="宋体"/>
                <w:szCs w:val="24"/>
                <w:u w:val="single"/>
              </w:rPr>
              <w:t>）环境管理未安排专人负责，未制定规范的环境管理制度；</w:t>
            </w:r>
          </w:p>
          <w:p w14:paraId="66DA2314">
            <w:pPr>
              <w:ind w:firstLine="480" w:firstLineChars="200"/>
              <w:rPr>
                <w:rFonts w:ascii="宋体" w:hAnsi="宋体"/>
                <w:szCs w:val="24"/>
                <w:u w:val="single"/>
              </w:rPr>
            </w:pPr>
            <w:r>
              <w:rPr>
                <w:rFonts w:hint="eastAsia"/>
                <w:szCs w:val="24"/>
                <w:u w:val="single"/>
              </w:rPr>
              <w:t>2</w:t>
            </w:r>
            <w:r>
              <w:rPr>
                <w:rFonts w:hint="eastAsia" w:ascii="宋体" w:hAnsi="宋体"/>
                <w:szCs w:val="24"/>
                <w:u w:val="single"/>
              </w:rPr>
              <w:t>）卫生院未按照相关规范定期进行自行监测；</w:t>
            </w:r>
          </w:p>
          <w:p w14:paraId="3C17ECAC">
            <w:pPr>
              <w:ind w:firstLine="480" w:firstLineChars="200"/>
              <w:rPr>
                <w:rFonts w:hint="eastAsia"/>
                <w:szCs w:val="24"/>
                <w:u w:val="single"/>
              </w:rPr>
            </w:pPr>
            <w:r>
              <w:rPr>
                <w:rFonts w:hint="eastAsia"/>
                <w:szCs w:val="24"/>
                <w:u w:val="single"/>
              </w:rPr>
              <w:t>3</w:t>
            </w:r>
            <w:r>
              <w:rPr>
                <w:szCs w:val="24"/>
                <w:u w:val="single"/>
              </w:rPr>
              <w:t>）卫生院危废暂存间和废水处理站无定期巡检台账。</w:t>
            </w:r>
          </w:p>
          <w:p w14:paraId="59809DAA">
            <w:pPr>
              <w:ind w:firstLine="480" w:firstLineChars="200"/>
              <w:rPr>
                <w:szCs w:val="24"/>
                <w:u w:val="single"/>
              </w:rPr>
            </w:pPr>
            <w:r>
              <w:rPr>
                <w:rFonts w:hint="eastAsia" w:ascii="宋体" w:hAnsi="宋体"/>
                <w:szCs w:val="24"/>
                <w:u w:val="single"/>
              </w:rPr>
              <w:t>（</w:t>
            </w:r>
            <w:r>
              <w:rPr>
                <w:rFonts w:hint="eastAsia"/>
                <w:szCs w:val="24"/>
                <w:u w:val="single"/>
              </w:rPr>
              <w:t>2</w:t>
            </w:r>
            <w:r>
              <w:rPr>
                <w:rFonts w:hint="eastAsia" w:ascii="宋体" w:hAnsi="宋体"/>
                <w:szCs w:val="24"/>
                <w:u w:val="single"/>
              </w:rPr>
              <w:t>）改进措施</w:t>
            </w:r>
          </w:p>
          <w:p w14:paraId="362D7613">
            <w:pPr>
              <w:ind w:firstLine="480" w:firstLineChars="200"/>
              <w:rPr>
                <w:szCs w:val="24"/>
                <w:u w:val="single"/>
              </w:rPr>
            </w:pPr>
            <w:r>
              <w:rPr>
                <w:rFonts w:hint="eastAsia"/>
                <w:szCs w:val="24"/>
                <w:u w:val="single"/>
              </w:rPr>
              <w:t>1</w:t>
            </w:r>
            <w:r>
              <w:rPr>
                <w:rFonts w:hint="eastAsia" w:ascii="宋体" w:hAnsi="宋体"/>
                <w:szCs w:val="24"/>
                <w:u w:val="single"/>
              </w:rPr>
              <w:t>）对环境管理制度进一步修改完善，明确责任；加强对污染治理的全过程管理，杜绝乱排乱弃事件发生。要求建设单位完善相关规章制度，加强环境管理；</w:t>
            </w:r>
          </w:p>
          <w:p w14:paraId="09177F49">
            <w:pPr>
              <w:ind w:firstLine="480" w:firstLineChars="200"/>
              <w:rPr>
                <w:szCs w:val="24"/>
                <w:u w:val="single"/>
              </w:rPr>
            </w:pPr>
            <w:r>
              <w:rPr>
                <w:rFonts w:hint="eastAsia"/>
                <w:szCs w:val="24"/>
                <w:u w:val="single"/>
              </w:rPr>
              <w:t>2）按照本次环评要求定期进行自行监测；</w:t>
            </w:r>
          </w:p>
          <w:p w14:paraId="57059F08">
            <w:pPr>
              <w:ind w:firstLine="480" w:firstLineChars="200"/>
              <w:rPr>
                <w:rFonts w:hint="eastAsia"/>
                <w:szCs w:val="24"/>
                <w:u w:val="single"/>
              </w:rPr>
            </w:pPr>
            <w:r>
              <w:rPr>
                <w:rFonts w:hint="eastAsia"/>
                <w:szCs w:val="24"/>
                <w:u w:val="single"/>
              </w:rPr>
              <w:t>3</w:t>
            </w:r>
            <w:r>
              <w:rPr>
                <w:szCs w:val="24"/>
                <w:u w:val="single"/>
              </w:rPr>
              <w:t>）定期对危废暂存间进行巡检，并且台账管理。</w:t>
            </w:r>
          </w:p>
        </w:tc>
      </w:tr>
    </w:tbl>
    <w:p w14:paraId="71B381D4">
      <w:pPr>
        <w:sectPr>
          <w:pgSz w:w="11906" w:h="16838"/>
          <w:pgMar w:top="1440" w:right="1440" w:bottom="1440" w:left="1440" w:header="851" w:footer="992" w:gutter="0"/>
          <w:pgNumType w:fmt="numberInDash"/>
          <w:cols w:space="425" w:num="1"/>
          <w:docGrid w:type="lines" w:linePitch="312" w:charSpace="0"/>
        </w:sectPr>
      </w:pPr>
    </w:p>
    <w:p w14:paraId="0F0FB9C8">
      <w:pPr>
        <w:tabs>
          <w:tab w:val="left" w:pos="993"/>
        </w:tabs>
        <w:jc w:val="center"/>
        <w:outlineLvl w:val="0"/>
        <w:rPr>
          <w:b/>
          <w:bCs/>
          <w:color w:val="000000"/>
          <w:kern w:val="44"/>
          <w:sz w:val="30"/>
          <w:szCs w:val="30"/>
        </w:rPr>
      </w:pPr>
      <w:bookmarkStart w:id="49" w:name="_Toc199260719"/>
      <w:r>
        <w:rPr>
          <w:rFonts w:hint="eastAsia" w:ascii="宋体" w:hAnsi="宋体"/>
          <w:b/>
          <w:bCs/>
          <w:color w:val="000000"/>
          <w:kern w:val="44"/>
          <w:sz w:val="30"/>
          <w:szCs w:val="30"/>
        </w:rPr>
        <w:t>三、区域环境质量现状、环境保护目标及评价标准</w:t>
      </w:r>
      <w:bookmarkEnd w:id="4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8495"/>
      </w:tblGrid>
      <w:tr w14:paraId="6727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Borders>
              <w:top w:val="single" w:color="auto" w:sz="4" w:space="0"/>
              <w:left w:val="single" w:color="auto" w:sz="4" w:space="0"/>
              <w:bottom w:val="single" w:color="auto" w:sz="4" w:space="0"/>
              <w:right w:val="single" w:color="auto" w:sz="4" w:space="0"/>
            </w:tcBorders>
            <w:vAlign w:val="center"/>
          </w:tcPr>
          <w:p w14:paraId="6956EB8B">
            <w:pPr>
              <w:jc w:val="center"/>
              <w:rPr>
                <w:sz w:val="30"/>
                <w:szCs w:val="30"/>
              </w:rPr>
            </w:pPr>
            <w:r>
              <w:rPr>
                <w:rFonts w:hint="eastAsia" w:ascii="宋体" w:hAnsi="宋体"/>
                <w:kern w:val="0"/>
                <w:szCs w:val="24"/>
              </w:rPr>
              <w:t>区域环境质量现状</w:t>
            </w:r>
          </w:p>
        </w:tc>
        <w:tc>
          <w:tcPr>
            <w:tcW w:w="8495" w:type="dxa"/>
            <w:tcBorders>
              <w:top w:val="single" w:color="auto" w:sz="4" w:space="0"/>
              <w:left w:val="single" w:color="auto" w:sz="4" w:space="0"/>
              <w:bottom w:val="single" w:color="auto" w:sz="4" w:space="0"/>
              <w:right w:val="single" w:color="auto" w:sz="4" w:space="0"/>
            </w:tcBorders>
          </w:tcPr>
          <w:p w14:paraId="4697350C">
            <w:pPr>
              <w:jc w:val="both"/>
              <w:rPr>
                <w:b/>
                <w:szCs w:val="24"/>
              </w:rPr>
            </w:pPr>
            <w:r>
              <w:rPr>
                <w:rFonts w:hint="eastAsia"/>
                <w:b/>
                <w:szCs w:val="24"/>
              </w:rPr>
              <w:t>1</w:t>
            </w:r>
            <w:r>
              <w:rPr>
                <w:rFonts w:hint="eastAsia" w:ascii="宋体" w:hAnsi="宋体"/>
                <w:b/>
                <w:szCs w:val="24"/>
              </w:rPr>
              <w:t>、环境空气质量现状</w:t>
            </w:r>
          </w:p>
          <w:p w14:paraId="31DAE95F">
            <w:pPr>
              <w:wordWrap w:val="0"/>
              <w:ind w:firstLine="480" w:firstLineChars="200"/>
              <w:rPr>
                <w:bCs/>
                <w:kern w:val="0"/>
                <w:szCs w:val="24"/>
                <w:u w:val="single"/>
              </w:rPr>
            </w:pPr>
            <w:r>
              <w:rPr>
                <w:rFonts w:hint="eastAsia" w:ascii="宋体" w:hAnsi="宋体"/>
                <w:bCs/>
                <w:kern w:val="0"/>
                <w:szCs w:val="24"/>
                <w:u w:val="single"/>
              </w:rPr>
              <w:t>（</w:t>
            </w:r>
            <w:r>
              <w:rPr>
                <w:rFonts w:hint="eastAsia"/>
                <w:bCs/>
                <w:kern w:val="0"/>
                <w:szCs w:val="24"/>
                <w:u w:val="single"/>
              </w:rPr>
              <w:t>1</w:t>
            </w:r>
            <w:r>
              <w:rPr>
                <w:rFonts w:hint="eastAsia" w:ascii="宋体" w:hAnsi="宋体"/>
                <w:bCs/>
                <w:kern w:val="0"/>
                <w:szCs w:val="24"/>
                <w:u w:val="single"/>
              </w:rPr>
              <w:t>）环境质量公报</w:t>
            </w:r>
          </w:p>
          <w:p w14:paraId="3637BD73">
            <w:pPr>
              <w:wordWrap w:val="0"/>
              <w:ind w:firstLine="480" w:firstLineChars="200"/>
              <w:rPr>
                <w:bCs/>
                <w:kern w:val="0"/>
                <w:szCs w:val="24"/>
                <w:u w:val="single"/>
              </w:rPr>
            </w:pPr>
            <w:r>
              <w:rPr>
                <w:rFonts w:hint="eastAsia" w:ascii="宋体" w:hAnsi="宋体"/>
                <w:bCs/>
                <w:kern w:val="0"/>
                <w:szCs w:val="24"/>
                <w:u w:val="single"/>
              </w:rPr>
              <w:t>根据《环境空气质量标准》（</w:t>
            </w:r>
            <w:r>
              <w:rPr>
                <w:bCs/>
                <w:kern w:val="0"/>
                <w:szCs w:val="24"/>
                <w:u w:val="single"/>
              </w:rPr>
              <w:t>GB3095-2012</w:t>
            </w:r>
            <w:r>
              <w:rPr>
                <w:rFonts w:ascii="宋体" w:hAnsi="宋体"/>
                <w:bCs/>
                <w:kern w:val="0"/>
                <w:szCs w:val="24"/>
                <w:u w:val="single"/>
              </w:rPr>
              <w:t>）中</w:t>
            </w:r>
            <w:r>
              <w:rPr>
                <w:bCs/>
                <w:kern w:val="0"/>
                <w:szCs w:val="24"/>
                <w:u w:val="single"/>
              </w:rPr>
              <w:t>4.1</w:t>
            </w:r>
            <w:r>
              <w:rPr>
                <w:rFonts w:ascii="宋体" w:hAnsi="宋体"/>
                <w:bCs/>
                <w:kern w:val="0"/>
                <w:szCs w:val="24"/>
                <w:u w:val="single"/>
              </w:rPr>
              <w:t>环境空气功能区分类可知，本项目所在区域属于环境空气二类区，执行《环境空气质量标准》（</w:t>
            </w:r>
            <w:r>
              <w:rPr>
                <w:bCs/>
                <w:kern w:val="0"/>
                <w:szCs w:val="24"/>
                <w:u w:val="single"/>
              </w:rPr>
              <w:t>GB3095-2012</w:t>
            </w:r>
            <w:r>
              <w:rPr>
                <w:rFonts w:ascii="宋体" w:hAnsi="宋体"/>
                <w:bCs/>
                <w:kern w:val="0"/>
                <w:szCs w:val="24"/>
                <w:u w:val="single"/>
              </w:rPr>
              <w:t>）及其修改单中的二级标准。</w:t>
            </w:r>
          </w:p>
          <w:p w14:paraId="136BB9C0">
            <w:pPr>
              <w:wordWrap w:val="0"/>
              <w:ind w:firstLine="480" w:firstLineChars="200"/>
              <w:rPr>
                <w:bCs/>
                <w:kern w:val="0"/>
                <w:szCs w:val="24"/>
                <w:u w:val="single"/>
              </w:rPr>
            </w:pPr>
            <w:r>
              <w:rPr>
                <w:rFonts w:hint="eastAsia"/>
                <w:bCs/>
                <w:kern w:val="0"/>
                <w:szCs w:val="24"/>
                <w:u w:val="single"/>
              </w:rPr>
              <w:t>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w:t>
            </w:r>
            <w:r>
              <w:rPr>
                <w:bCs/>
                <w:kern w:val="0"/>
                <w:szCs w:val="24"/>
                <w:u w:val="single"/>
              </w:rPr>
              <w:t>。本次评价收集了</w:t>
            </w:r>
            <w:r>
              <w:rPr>
                <w:rFonts w:hint="eastAsia"/>
                <w:bCs/>
                <w:kern w:val="0"/>
                <w:szCs w:val="24"/>
                <w:u w:val="single"/>
              </w:rPr>
              <w:t>双牌县</w:t>
            </w:r>
            <w:r>
              <w:rPr>
                <w:bCs/>
                <w:kern w:val="0"/>
                <w:szCs w:val="24"/>
                <w:u w:val="single"/>
              </w:rPr>
              <w:t>常规监测点-</w:t>
            </w:r>
            <w:r>
              <w:rPr>
                <w:rFonts w:hint="eastAsia"/>
                <w:bCs/>
                <w:kern w:val="0"/>
                <w:szCs w:val="24"/>
                <w:u w:val="single"/>
              </w:rPr>
              <w:t>永州</w:t>
            </w:r>
            <w:r>
              <w:rPr>
                <w:bCs/>
                <w:kern w:val="0"/>
                <w:szCs w:val="24"/>
                <w:u w:val="single"/>
              </w:rPr>
              <w:t>市环境局</w:t>
            </w:r>
            <w:r>
              <w:rPr>
                <w:rFonts w:hint="eastAsia"/>
                <w:bCs/>
                <w:kern w:val="0"/>
                <w:szCs w:val="24"/>
                <w:u w:val="single"/>
              </w:rPr>
              <w:t>双牌</w:t>
            </w:r>
            <w:r>
              <w:rPr>
                <w:bCs/>
                <w:kern w:val="0"/>
                <w:szCs w:val="24"/>
                <w:u w:val="single"/>
              </w:rPr>
              <w:t>分局2023年1月-12月环境空气质量数据，</w:t>
            </w:r>
            <w:r>
              <w:rPr>
                <w:rFonts w:hint="eastAsia"/>
                <w:bCs/>
                <w:kern w:val="0"/>
                <w:szCs w:val="24"/>
                <w:u w:val="single"/>
              </w:rPr>
              <w:t>具体数据见下表。</w:t>
            </w:r>
          </w:p>
          <w:p w14:paraId="26C1AD7A">
            <w:pPr>
              <w:widowControl/>
              <w:jc w:val="center"/>
              <w:rPr>
                <w:b/>
                <w:bCs/>
                <w:color w:val="000000"/>
                <w:kern w:val="0"/>
                <w:szCs w:val="24"/>
                <w:u w:val="single"/>
              </w:rPr>
            </w:pPr>
            <w:r>
              <w:rPr>
                <w:rFonts w:ascii="宋体" w:hAnsi="宋体"/>
                <w:b/>
                <w:bCs/>
                <w:color w:val="000000"/>
                <w:kern w:val="0"/>
                <w:szCs w:val="24"/>
                <w:u w:val="single"/>
              </w:rPr>
              <w:t>表</w:t>
            </w:r>
            <w:r>
              <w:rPr>
                <w:b/>
                <w:bCs/>
                <w:color w:val="000000"/>
                <w:kern w:val="0"/>
                <w:szCs w:val="24"/>
                <w:u w:val="single"/>
              </w:rPr>
              <w:t>3-1 2023</w:t>
            </w:r>
            <w:r>
              <w:rPr>
                <w:rFonts w:ascii="宋体" w:hAnsi="宋体"/>
                <w:b/>
                <w:bCs/>
                <w:color w:val="000000"/>
                <w:kern w:val="0"/>
                <w:szCs w:val="24"/>
                <w:u w:val="single"/>
              </w:rPr>
              <w:t>年</w:t>
            </w:r>
            <w:r>
              <w:rPr>
                <w:rFonts w:hint="eastAsia" w:ascii="宋体" w:hAnsi="宋体"/>
                <w:b/>
                <w:bCs/>
                <w:color w:val="000000"/>
                <w:kern w:val="0"/>
                <w:szCs w:val="24"/>
                <w:u w:val="single"/>
              </w:rPr>
              <w:t>双牌</w:t>
            </w:r>
            <w:r>
              <w:rPr>
                <w:rFonts w:ascii="宋体" w:hAnsi="宋体"/>
                <w:b/>
                <w:bCs/>
                <w:color w:val="000000"/>
                <w:kern w:val="0"/>
                <w:szCs w:val="24"/>
                <w:u w:val="single"/>
              </w:rPr>
              <w:t>县环境空气监测结果</w:t>
            </w:r>
          </w:p>
          <w:tbl>
            <w:tblPr>
              <w:tblStyle w:val="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2605"/>
              <w:gridCol w:w="1363"/>
              <w:gridCol w:w="1163"/>
              <w:gridCol w:w="1094"/>
              <w:gridCol w:w="1092"/>
            </w:tblGrid>
            <w:tr w14:paraId="4B9B7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12" w:space="0"/>
                    <w:left w:val="single" w:color="auto" w:sz="12" w:space="0"/>
                    <w:bottom w:val="single" w:color="auto" w:sz="4" w:space="0"/>
                    <w:right w:val="single" w:color="auto" w:sz="4" w:space="0"/>
                  </w:tcBorders>
                  <w:vAlign w:val="center"/>
                </w:tcPr>
                <w:p w14:paraId="6F28FA08">
                  <w:pPr>
                    <w:spacing w:line="240" w:lineRule="auto"/>
                    <w:jc w:val="center"/>
                    <w:rPr>
                      <w:b/>
                      <w:bCs/>
                      <w:sz w:val="21"/>
                      <w:szCs w:val="21"/>
                      <w:u w:val="single"/>
                    </w:rPr>
                  </w:pPr>
                  <w:r>
                    <w:rPr>
                      <w:rFonts w:ascii="宋体" w:hAnsi="宋体"/>
                      <w:b/>
                      <w:bCs/>
                      <w:sz w:val="21"/>
                      <w:szCs w:val="21"/>
                      <w:u w:val="single"/>
                    </w:rPr>
                    <w:t>污染物</w:t>
                  </w:r>
                </w:p>
              </w:tc>
              <w:tc>
                <w:tcPr>
                  <w:tcW w:w="1579" w:type="pct"/>
                  <w:tcBorders>
                    <w:top w:val="single" w:color="auto" w:sz="12" w:space="0"/>
                    <w:left w:val="single" w:color="auto" w:sz="4" w:space="0"/>
                    <w:bottom w:val="single" w:color="auto" w:sz="4" w:space="0"/>
                    <w:right w:val="single" w:color="auto" w:sz="4" w:space="0"/>
                  </w:tcBorders>
                  <w:vAlign w:val="center"/>
                </w:tcPr>
                <w:p w14:paraId="120D0782">
                  <w:pPr>
                    <w:spacing w:line="240" w:lineRule="auto"/>
                    <w:jc w:val="center"/>
                    <w:rPr>
                      <w:b/>
                      <w:bCs/>
                      <w:sz w:val="21"/>
                      <w:szCs w:val="21"/>
                      <w:u w:val="single"/>
                    </w:rPr>
                  </w:pPr>
                  <w:r>
                    <w:rPr>
                      <w:rFonts w:ascii="宋体" w:hAnsi="宋体"/>
                      <w:b/>
                      <w:bCs/>
                      <w:sz w:val="21"/>
                      <w:szCs w:val="21"/>
                      <w:u w:val="single"/>
                    </w:rPr>
                    <w:t>年评价指标</w:t>
                  </w:r>
                </w:p>
              </w:tc>
              <w:tc>
                <w:tcPr>
                  <w:tcW w:w="826" w:type="pct"/>
                  <w:tcBorders>
                    <w:top w:val="single" w:color="auto" w:sz="12" w:space="0"/>
                    <w:left w:val="single" w:color="auto" w:sz="4" w:space="0"/>
                    <w:bottom w:val="single" w:color="auto" w:sz="4" w:space="0"/>
                    <w:right w:val="single" w:color="auto" w:sz="4" w:space="0"/>
                  </w:tcBorders>
                  <w:vAlign w:val="center"/>
                </w:tcPr>
                <w:p w14:paraId="18E5D0C8">
                  <w:pPr>
                    <w:spacing w:line="240" w:lineRule="auto"/>
                    <w:jc w:val="center"/>
                    <w:rPr>
                      <w:b/>
                      <w:bCs/>
                      <w:sz w:val="21"/>
                      <w:szCs w:val="21"/>
                      <w:u w:val="single"/>
                    </w:rPr>
                  </w:pPr>
                  <w:r>
                    <w:rPr>
                      <w:rFonts w:ascii="宋体" w:hAnsi="宋体"/>
                      <w:b/>
                      <w:bCs/>
                      <w:sz w:val="21"/>
                      <w:szCs w:val="21"/>
                      <w:u w:val="single"/>
                    </w:rPr>
                    <w:t>现状浓度（</w:t>
                  </w:r>
                  <w:r>
                    <w:rPr>
                      <w:b/>
                      <w:bCs/>
                      <w:sz w:val="21"/>
                      <w:szCs w:val="21"/>
                      <w:u w:val="single"/>
                    </w:rPr>
                    <w:t>ug/m</w:t>
                  </w:r>
                  <w:r>
                    <w:rPr>
                      <w:b/>
                      <w:bCs/>
                      <w:sz w:val="21"/>
                      <w:szCs w:val="21"/>
                      <w:u w:val="single"/>
                      <w:vertAlign w:val="superscript"/>
                    </w:rPr>
                    <w:t>3</w:t>
                  </w:r>
                  <w:r>
                    <w:rPr>
                      <w:rFonts w:ascii="宋体" w:hAnsi="宋体"/>
                      <w:b/>
                      <w:bCs/>
                      <w:sz w:val="21"/>
                      <w:szCs w:val="21"/>
                      <w:u w:val="single"/>
                    </w:rPr>
                    <w:t>）</w:t>
                  </w:r>
                </w:p>
              </w:tc>
              <w:tc>
                <w:tcPr>
                  <w:tcW w:w="705" w:type="pct"/>
                  <w:tcBorders>
                    <w:top w:val="single" w:color="auto" w:sz="12" w:space="0"/>
                    <w:left w:val="single" w:color="auto" w:sz="4" w:space="0"/>
                    <w:bottom w:val="single" w:color="auto" w:sz="4" w:space="0"/>
                    <w:right w:val="single" w:color="auto" w:sz="4" w:space="0"/>
                  </w:tcBorders>
                  <w:vAlign w:val="center"/>
                </w:tcPr>
                <w:p w14:paraId="4387583B">
                  <w:pPr>
                    <w:spacing w:line="240" w:lineRule="auto"/>
                    <w:jc w:val="center"/>
                    <w:rPr>
                      <w:b/>
                      <w:bCs/>
                      <w:sz w:val="21"/>
                      <w:szCs w:val="21"/>
                      <w:u w:val="single"/>
                    </w:rPr>
                  </w:pPr>
                  <w:r>
                    <w:rPr>
                      <w:rFonts w:ascii="宋体" w:hAnsi="宋体"/>
                      <w:b/>
                      <w:bCs/>
                      <w:sz w:val="21"/>
                      <w:szCs w:val="21"/>
                      <w:u w:val="single"/>
                    </w:rPr>
                    <w:t>标准值（</w:t>
                  </w:r>
                  <w:r>
                    <w:rPr>
                      <w:b/>
                      <w:bCs/>
                      <w:sz w:val="21"/>
                      <w:szCs w:val="21"/>
                      <w:u w:val="single"/>
                    </w:rPr>
                    <w:t>ug/m</w:t>
                  </w:r>
                  <w:r>
                    <w:rPr>
                      <w:b/>
                      <w:bCs/>
                      <w:sz w:val="21"/>
                      <w:szCs w:val="21"/>
                      <w:u w:val="single"/>
                      <w:vertAlign w:val="superscript"/>
                    </w:rPr>
                    <w:t>3</w:t>
                  </w:r>
                  <w:r>
                    <w:rPr>
                      <w:rFonts w:ascii="宋体" w:hAnsi="宋体"/>
                      <w:b/>
                      <w:bCs/>
                      <w:sz w:val="21"/>
                      <w:szCs w:val="21"/>
                      <w:u w:val="single"/>
                    </w:rPr>
                    <w:t>）</w:t>
                  </w:r>
                </w:p>
              </w:tc>
              <w:tc>
                <w:tcPr>
                  <w:tcW w:w="663" w:type="pct"/>
                  <w:tcBorders>
                    <w:top w:val="single" w:color="auto" w:sz="12" w:space="0"/>
                    <w:left w:val="single" w:color="auto" w:sz="4" w:space="0"/>
                    <w:bottom w:val="single" w:color="auto" w:sz="4" w:space="0"/>
                    <w:right w:val="single" w:color="auto" w:sz="4" w:space="0"/>
                  </w:tcBorders>
                  <w:vAlign w:val="center"/>
                </w:tcPr>
                <w:p w14:paraId="3A50A587">
                  <w:pPr>
                    <w:spacing w:line="240" w:lineRule="auto"/>
                    <w:jc w:val="center"/>
                    <w:rPr>
                      <w:b/>
                      <w:bCs/>
                      <w:sz w:val="21"/>
                      <w:szCs w:val="21"/>
                      <w:u w:val="single"/>
                    </w:rPr>
                  </w:pPr>
                  <w:r>
                    <w:rPr>
                      <w:rFonts w:ascii="宋体" w:hAnsi="宋体"/>
                      <w:b/>
                      <w:bCs/>
                      <w:sz w:val="21"/>
                      <w:szCs w:val="21"/>
                      <w:u w:val="single"/>
                    </w:rPr>
                    <w:t>占标率</w:t>
                  </w:r>
                </w:p>
              </w:tc>
              <w:tc>
                <w:tcPr>
                  <w:tcW w:w="662" w:type="pct"/>
                  <w:tcBorders>
                    <w:top w:val="single" w:color="auto" w:sz="12" w:space="0"/>
                    <w:left w:val="single" w:color="auto" w:sz="4" w:space="0"/>
                    <w:bottom w:val="single" w:color="auto" w:sz="4" w:space="0"/>
                    <w:right w:val="single" w:color="auto" w:sz="12" w:space="0"/>
                  </w:tcBorders>
                  <w:vAlign w:val="center"/>
                </w:tcPr>
                <w:p w14:paraId="42EAFA91">
                  <w:pPr>
                    <w:spacing w:line="240" w:lineRule="auto"/>
                    <w:jc w:val="center"/>
                    <w:rPr>
                      <w:b/>
                      <w:bCs/>
                      <w:sz w:val="21"/>
                      <w:szCs w:val="21"/>
                      <w:u w:val="single"/>
                    </w:rPr>
                  </w:pPr>
                  <w:r>
                    <w:rPr>
                      <w:rFonts w:ascii="宋体" w:hAnsi="宋体"/>
                      <w:b/>
                      <w:bCs/>
                      <w:sz w:val="21"/>
                      <w:szCs w:val="21"/>
                      <w:u w:val="single"/>
                    </w:rPr>
                    <w:t>达标情况</w:t>
                  </w:r>
                </w:p>
              </w:tc>
            </w:tr>
            <w:tr w14:paraId="5B969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single" w:color="auto" w:sz="12" w:space="0"/>
                    <w:bottom w:val="single" w:color="auto" w:sz="4" w:space="0"/>
                    <w:right w:val="single" w:color="auto" w:sz="4" w:space="0"/>
                  </w:tcBorders>
                  <w:vAlign w:val="center"/>
                </w:tcPr>
                <w:p w14:paraId="25C98FD5">
                  <w:pPr>
                    <w:spacing w:line="240" w:lineRule="auto"/>
                    <w:jc w:val="center"/>
                    <w:rPr>
                      <w:sz w:val="21"/>
                      <w:szCs w:val="21"/>
                      <w:u w:val="single"/>
                    </w:rPr>
                  </w:pPr>
                  <w:r>
                    <w:rPr>
                      <w:sz w:val="21"/>
                      <w:szCs w:val="21"/>
                      <w:u w:val="single"/>
                    </w:rPr>
                    <w:t>PM</w:t>
                  </w:r>
                  <w:r>
                    <w:rPr>
                      <w:sz w:val="21"/>
                      <w:szCs w:val="21"/>
                      <w:u w:val="single"/>
                      <w:vertAlign w:val="subscript"/>
                    </w:rPr>
                    <w:t>2.5</w:t>
                  </w:r>
                </w:p>
              </w:tc>
              <w:tc>
                <w:tcPr>
                  <w:tcW w:w="1579" w:type="pct"/>
                  <w:tcBorders>
                    <w:top w:val="single" w:color="auto" w:sz="4" w:space="0"/>
                    <w:left w:val="single" w:color="auto" w:sz="4" w:space="0"/>
                    <w:bottom w:val="single" w:color="auto" w:sz="4" w:space="0"/>
                    <w:right w:val="single" w:color="auto" w:sz="4" w:space="0"/>
                  </w:tcBorders>
                  <w:vAlign w:val="center"/>
                </w:tcPr>
                <w:p w14:paraId="409F9A66">
                  <w:pPr>
                    <w:spacing w:line="240" w:lineRule="auto"/>
                    <w:jc w:val="center"/>
                    <w:rPr>
                      <w:sz w:val="21"/>
                      <w:szCs w:val="21"/>
                      <w:u w:val="single"/>
                    </w:rPr>
                  </w:pPr>
                  <w:r>
                    <w:rPr>
                      <w:rFonts w:ascii="宋体" w:hAnsi="宋体"/>
                      <w:sz w:val="21"/>
                      <w:szCs w:val="21"/>
                      <w:u w:val="single"/>
                    </w:rPr>
                    <w:t>年平均质量浓度</w:t>
                  </w:r>
                </w:p>
              </w:tc>
              <w:tc>
                <w:tcPr>
                  <w:tcW w:w="826" w:type="pct"/>
                  <w:tcBorders>
                    <w:top w:val="single" w:color="auto" w:sz="4" w:space="0"/>
                    <w:left w:val="single" w:color="auto" w:sz="4" w:space="0"/>
                    <w:bottom w:val="single" w:color="auto" w:sz="4" w:space="0"/>
                    <w:right w:val="single" w:color="auto" w:sz="4" w:space="0"/>
                  </w:tcBorders>
                  <w:vAlign w:val="center"/>
                </w:tcPr>
                <w:p w14:paraId="45F3017D">
                  <w:pPr>
                    <w:spacing w:line="240" w:lineRule="auto"/>
                    <w:jc w:val="center"/>
                    <w:rPr>
                      <w:sz w:val="21"/>
                      <w:szCs w:val="21"/>
                      <w:u w:val="single"/>
                    </w:rPr>
                  </w:pPr>
                  <w:r>
                    <w:rPr>
                      <w:rFonts w:hint="eastAsia"/>
                      <w:sz w:val="21"/>
                      <w:szCs w:val="21"/>
                      <w:u w:val="single"/>
                    </w:rPr>
                    <w:t>24</w:t>
                  </w:r>
                </w:p>
              </w:tc>
              <w:tc>
                <w:tcPr>
                  <w:tcW w:w="705" w:type="pct"/>
                  <w:tcBorders>
                    <w:top w:val="single" w:color="auto" w:sz="4" w:space="0"/>
                    <w:left w:val="single" w:color="auto" w:sz="4" w:space="0"/>
                    <w:bottom w:val="single" w:color="auto" w:sz="4" w:space="0"/>
                    <w:right w:val="single" w:color="auto" w:sz="4" w:space="0"/>
                  </w:tcBorders>
                  <w:vAlign w:val="center"/>
                </w:tcPr>
                <w:p w14:paraId="168CE85D">
                  <w:pPr>
                    <w:spacing w:line="240" w:lineRule="auto"/>
                    <w:jc w:val="center"/>
                    <w:rPr>
                      <w:sz w:val="21"/>
                      <w:szCs w:val="21"/>
                      <w:u w:val="single"/>
                    </w:rPr>
                  </w:pPr>
                  <w:r>
                    <w:rPr>
                      <w:sz w:val="21"/>
                      <w:szCs w:val="21"/>
                      <w:u w:val="single"/>
                    </w:rPr>
                    <w:t>35</w:t>
                  </w:r>
                </w:p>
              </w:tc>
              <w:tc>
                <w:tcPr>
                  <w:tcW w:w="663" w:type="pct"/>
                  <w:tcBorders>
                    <w:top w:val="single" w:color="auto" w:sz="4" w:space="0"/>
                    <w:left w:val="single" w:color="auto" w:sz="4" w:space="0"/>
                    <w:bottom w:val="single" w:color="auto" w:sz="4" w:space="0"/>
                    <w:right w:val="single" w:color="auto" w:sz="4" w:space="0"/>
                  </w:tcBorders>
                  <w:vAlign w:val="center"/>
                </w:tcPr>
                <w:p w14:paraId="36BAE3FE">
                  <w:pPr>
                    <w:widowControl/>
                    <w:spacing w:line="240" w:lineRule="auto"/>
                    <w:jc w:val="center"/>
                    <w:textAlignment w:val="center"/>
                    <w:rPr>
                      <w:sz w:val="21"/>
                      <w:szCs w:val="21"/>
                      <w:u w:val="single"/>
                    </w:rPr>
                  </w:pPr>
                  <w:r>
                    <w:rPr>
                      <w:rFonts w:hint="eastAsia"/>
                      <w:kern w:val="0"/>
                      <w:sz w:val="21"/>
                      <w:szCs w:val="21"/>
                      <w:u w:val="single"/>
                    </w:rPr>
                    <w:t>68.57%</w:t>
                  </w:r>
                </w:p>
              </w:tc>
              <w:tc>
                <w:tcPr>
                  <w:tcW w:w="662" w:type="pct"/>
                  <w:tcBorders>
                    <w:top w:val="single" w:color="auto" w:sz="4" w:space="0"/>
                    <w:left w:val="single" w:color="auto" w:sz="4" w:space="0"/>
                    <w:bottom w:val="single" w:color="auto" w:sz="4" w:space="0"/>
                    <w:right w:val="single" w:color="auto" w:sz="12" w:space="0"/>
                  </w:tcBorders>
                  <w:vAlign w:val="center"/>
                </w:tcPr>
                <w:p w14:paraId="3AC9678F">
                  <w:pPr>
                    <w:spacing w:line="240" w:lineRule="auto"/>
                    <w:jc w:val="center"/>
                    <w:rPr>
                      <w:sz w:val="21"/>
                      <w:szCs w:val="21"/>
                      <w:u w:val="single"/>
                    </w:rPr>
                  </w:pPr>
                  <w:r>
                    <w:rPr>
                      <w:rFonts w:ascii="宋体" w:hAnsi="宋体"/>
                      <w:sz w:val="21"/>
                      <w:szCs w:val="21"/>
                      <w:u w:val="single"/>
                    </w:rPr>
                    <w:t>达标</w:t>
                  </w:r>
                </w:p>
              </w:tc>
            </w:tr>
            <w:tr w14:paraId="45EB8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65" w:type="pct"/>
                  <w:tcBorders>
                    <w:top w:val="single" w:color="auto" w:sz="4" w:space="0"/>
                    <w:left w:val="single" w:color="auto" w:sz="12" w:space="0"/>
                    <w:bottom w:val="single" w:color="auto" w:sz="4" w:space="0"/>
                    <w:right w:val="single" w:color="auto" w:sz="4" w:space="0"/>
                  </w:tcBorders>
                  <w:vAlign w:val="center"/>
                </w:tcPr>
                <w:p w14:paraId="3BEEC83E">
                  <w:pPr>
                    <w:spacing w:line="240" w:lineRule="auto"/>
                    <w:jc w:val="center"/>
                    <w:rPr>
                      <w:sz w:val="21"/>
                      <w:szCs w:val="21"/>
                      <w:u w:val="single"/>
                    </w:rPr>
                  </w:pPr>
                  <w:r>
                    <w:rPr>
                      <w:sz w:val="21"/>
                      <w:szCs w:val="21"/>
                      <w:u w:val="single"/>
                    </w:rPr>
                    <w:t>PM</w:t>
                  </w:r>
                  <w:r>
                    <w:rPr>
                      <w:sz w:val="21"/>
                      <w:szCs w:val="21"/>
                      <w:u w:val="single"/>
                      <w:vertAlign w:val="subscript"/>
                    </w:rPr>
                    <w:t>10</w:t>
                  </w:r>
                </w:p>
              </w:tc>
              <w:tc>
                <w:tcPr>
                  <w:tcW w:w="1579" w:type="pct"/>
                  <w:tcBorders>
                    <w:top w:val="single" w:color="auto" w:sz="4" w:space="0"/>
                    <w:left w:val="single" w:color="auto" w:sz="4" w:space="0"/>
                    <w:bottom w:val="single" w:color="auto" w:sz="4" w:space="0"/>
                    <w:right w:val="single" w:color="auto" w:sz="4" w:space="0"/>
                  </w:tcBorders>
                  <w:vAlign w:val="center"/>
                </w:tcPr>
                <w:p w14:paraId="5284BA9B">
                  <w:pPr>
                    <w:spacing w:line="240" w:lineRule="auto"/>
                    <w:jc w:val="center"/>
                    <w:rPr>
                      <w:sz w:val="21"/>
                      <w:szCs w:val="21"/>
                      <w:u w:val="single"/>
                    </w:rPr>
                  </w:pPr>
                  <w:r>
                    <w:rPr>
                      <w:rFonts w:ascii="宋体" w:hAnsi="宋体"/>
                      <w:sz w:val="21"/>
                      <w:szCs w:val="21"/>
                      <w:u w:val="single"/>
                    </w:rPr>
                    <w:t>年平均质量浓度</w:t>
                  </w:r>
                </w:p>
              </w:tc>
              <w:tc>
                <w:tcPr>
                  <w:tcW w:w="826" w:type="pct"/>
                  <w:tcBorders>
                    <w:top w:val="single" w:color="auto" w:sz="4" w:space="0"/>
                    <w:left w:val="single" w:color="auto" w:sz="4" w:space="0"/>
                    <w:bottom w:val="single" w:color="auto" w:sz="4" w:space="0"/>
                    <w:right w:val="single" w:color="auto" w:sz="4" w:space="0"/>
                  </w:tcBorders>
                  <w:vAlign w:val="center"/>
                </w:tcPr>
                <w:p w14:paraId="48F79C1B">
                  <w:pPr>
                    <w:spacing w:line="240" w:lineRule="auto"/>
                    <w:jc w:val="center"/>
                    <w:rPr>
                      <w:sz w:val="21"/>
                      <w:szCs w:val="21"/>
                      <w:u w:val="single"/>
                    </w:rPr>
                  </w:pPr>
                  <w:r>
                    <w:rPr>
                      <w:rFonts w:hint="eastAsia"/>
                      <w:sz w:val="21"/>
                      <w:szCs w:val="21"/>
                      <w:u w:val="single"/>
                    </w:rPr>
                    <w:t>35</w:t>
                  </w:r>
                </w:p>
              </w:tc>
              <w:tc>
                <w:tcPr>
                  <w:tcW w:w="705" w:type="pct"/>
                  <w:tcBorders>
                    <w:top w:val="single" w:color="auto" w:sz="4" w:space="0"/>
                    <w:left w:val="single" w:color="auto" w:sz="4" w:space="0"/>
                    <w:bottom w:val="single" w:color="auto" w:sz="4" w:space="0"/>
                    <w:right w:val="single" w:color="auto" w:sz="4" w:space="0"/>
                  </w:tcBorders>
                  <w:vAlign w:val="center"/>
                </w:tcPr>
                <w:p w14:paraId="5E2CA2CE">
                  <w:pPr>
                    <w:spacing w:line="240" w:lineRule="auto"/>
                    <w:jc w:val="center"/>
                    <w:rPr>
                      <w:sz w:val="21"/>
                      <w:szCs w:val="21"/>
                      <w:u w:val="single"/>
                    </w:rPr>
                  </w:pPr>
                  <w:r>
                    <w:rPr>
                      <w:sz w:val="21"/>
                      <w:szCs w:val="21"/>
                      <w:u w:val="single"/>
                    </w:rPr>
                    <w:t>70</w:t>
                  </w:r>
                </w:p>
              </w:tc>
              <w:tc>
                <w:tcPr>
                  <w:tcW w:w="663" w:type="pct"/>
                  <w:tcBorders>
                    <w:top w:val="single" w:color="auto" w:sz="4" w:space="0"/>
                    <w:left w:val="single" w:color="auto" w:sz="4" w:space="0"/>
                    <w:bottom w:val="single" w:color="auto" w:sz="4" w:space="0"/>
                    <w:right w:val="single" w:color="auto" w:sz="4" w:space="0"/>
                  </w:tcBorders>
                  <w:vAlign w:val="center"/>
                </w:tcPr>
                <w:p w14:paraId="716EA15C">
                  <w:pPr>
                    <w:widowControl/>
                    <w:spacing w:line="240" w:lineRule="auto"/>
                    <w:jc w:val="center"/>
                    <w:textAlignment w:val="center"/>
                    <w:rPr>
                      <w:sz w:val="21"/>
                      <w:szCs w:val="21"/>
                      <w:u w:val="single"/>
                    </w:rPr>
                  </w:pPr>
                  <w:r>
                    <w:rPr>
                      <w:rFonts w:hint="eastAsia"/>
                      <w:kern w:val="0"/>
                      <w:sz w:val="21"/>
                      <w:szCs w:val="21"/>
                      <w:u w:val="single"/>
                    </w:rPr>
                    <w:t>50.00%</w:t>
                  </w:r>
                </w:p>
              </w:tc>
              <w:tc>
                <w:tcPr>
                  <w:tcW w:w="662" w:type="pct"/>
                  <w:tcBorders>
                    <w:top w:val="single" w:color="auto" w:sz="4" w:space="0"/>
                    <w:left w:val="single" w:color="auto" w:sz="4" w:space="0"/>
                    <w:bottom w:val="single" w:color="auto" w:sz="4" w:space="0"/>
                    <w:right w:val="single" w:color="auto" w:sz="12" w:space="0"/>
                  </w:tcBorders>
                  <w:vAlign w:val="center"/>
                </w:tcPr>
                <w:p w14:paraId="3C312F2C">
                  <w:pPr>
                    <w:spacing w:line="240" w:lineRule="auto"/>
                    <w:jc w:val="center"/>
                    <w:rPr>
                      <w:sz w:val="21"/>
                      <w:szCs w:val="21"/>
                      <w:u w:val="single"/>
                    </w:rPr>
                  </w:pPr>
                  <w:r>
                    <w:rPr>
                      <w:rFonts w:ascii="宋体" w:hAnsi="宋体"/>
                      <w:sz w:val="21"/>
                      <w:szCs w:val="21"/>
                      <w:u w:val="single"/>
                    </w:rPr>
                    <w:t>达标</w:t>
                  </w:r>
                </w:p>
              </w:tc>
            </w:tr>
            <w:tr w14:paraId="1D6D4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single" w:color="auto" w:sz="12" w:space="0"/>
                    <w:bottom w:val="single" w:color="auto" w:sz="4" w:space="0"/>
                    <w:right w:val="single" w:color="auto" w:sz="4" w:space="0"/>
                  </w:tcBorders>
                  <w:vAlign w:val="center"/>
                </w:tcPr>
                <w:p w14:paraId="76F76876">
                  <w:pPr>
                    <w:spacing w:line="240" w:lineRule="auto"/>
                    <w:jc w:val="center"/>
                    <w:rPr>
                      <w:sz w:val="21"/>
                      <w:szCs w:val="21"/>
                      <w:u w:val="single"/>
                      <w:vertAlign w:val="subscript"/>
                    </w:rPr>
                  </w:pPr>
                  <w:r>
                    <w:rPr>
                      <w:sz w:val="21"/>
                      <w:szCs w:val="21"/>
                      <w:u w:val="single"/>
                    </w:rPr>
                    <w:t>SO</w:t>
                  </w:r>
                  <w:r>
                    <w:rPr>
                      <w:sz w:val="21"/>
                      <w:szCs w:val="21"/>
                      <w:u w:val="single"/>
                      <w:vertAlign w:val="subscript"/>
                    </w:rPr>
                    <w:t>2</w:t>
                  </w:r>
                </w:p>
              </w:tc>
              <w:tc>
                <w:tcPr>
                  <w:tcW w:w="1579" w:type="pct"/>
                  <w:tcBorders>
                    <w:top w:val="single" w:color="auto" w:sz="4" w:space="0"/>
                    <w:left w:val="single" w:color="auto" w:sz="4" w:space="0"/>
                    <w:bottom w:val="single" w:color="auto" w:sz="4" w:space="0"/>
                    <w:right w:val="single" w:color="auto" w:sz="4" w:space="0"/>
                  </w:tcBorders>
                  <w:vAlign w:val="center"/>
                </w:tcPr>
                <w:p w14:paraId="0C6F610B">
                  <w:pPr>
                    <w:spacing w:line="240" w:lineRule="auto"/>
                    <w:jc w:val="center"/>
                    <w:rPr>
                      <w:sz w:val="21"/>
                      <w:szCs w:val="21"/>
                      <w:u w:val="single"/>
                    </w:rPr>
                  </w:pPr>
                  <w:r>
                    <w:rPr>
                      <w:rFonts w:ascii="宋体" w:hAnsi="宋体"/>
                      <w:sz w:val="21"/>
                      <w:szCs w:val="21"/>
                      <w:u w:val="single"/>
                    </w:rPr>
                    <w:t>年平均质量浓度</w:t>
                  </w:r>
                </w:p>
              </w:tc>
              <w:tc>
                <w:tcPr>
                  <w:tcW w:w="826" w:type="pct"/>
                  <w:tcBorders>
                    <w:top w:val="single" w:color="auto" w:sz="4" w:space="0"/>
                    <w:left w:val="single" w:color="auto" w:sz="4" w:space="0"/>
                    <w:bottom w:val="single" w:color="auto" w:sz="4" w:space="0"/>
                    <w:right w:val="single" w:color="auto" w:sz="4" w:space="0"/>
                  </w:tcBorders>
                  <w:vAlign w:val="center"/>
                </w:tcPr>
                <w:p w14:paraId="27EAA54F">
                  <w:pPr>
                    <w:spacing w:line="240" w:lineRule="auto"/>
                    <w:jc w:val="center"/>
                    <w:rPr>
                      <w:sz w:val="21"/>
                      <w:szCs w:val="21"/>
                      <w:u w:val="single"/>
                    </w:rPr>
                  </w:pPr>
                  <w:r>
                    <w:rPr>
                      <w:rFonts w:hint="eastAsia"/>
                      <w:sz w:val="21"/>
                      <w:szCs w:val="21"/>
                      <w:u w:val="single"/>
                    </w:rPr>
                    <w:t>9</w:t>
                  </w:r>
                </w:p>
              </w:tc>
              <w:tc>
                <w:tcPr>
                  <w:tcW w:w="705" w:type="pct"/>
                  <w:tcBorders>
                    <w:top w:val="single" w:color="auto" w:sz="4" w:space="0"/>
                    <w:left w:val="single" w:color="auto" w:sz="4" w:space="0"/>
                    <w:bottom w:val="single" w:color="auto" w:sz="4" w:space="0"/>
                    <w:right w:val="single" w:color="auto" w:sz="4" w:space="0"/>
                  </w:tcBorders>
                  <w:vAlign w:val="center"/>
                </w:tcPr>
                <w:p w14:paraId="6FD49805">
                  <w:pPr>
                    <w:spacing w:line="240" w:lineRule="auto"/>
                    <w:jc w:val="center"/>
                    <w:rPr>
                      <w:sz w:val="21"/>
                      <w:szCs w:val="21"/>
                      <w:u w:val="single"/>
                    </w:rPr>
                  </w:pPr>
                  <w:r>
                    <w:rPr>
                      <w:sz w:val="21"/>
                      <w:szCs w:val="21"/>
                      <w:u w:val="single"/>
                    </w:rPr>
                    <w:t>60</w:t>
                  </w:r>
                </w:p>
              </w:tc>
              <w:tc>
                <w:tcPr>
                  <w:tcW w:w="663" w:type="pct"/>
                  <w:tcBorders>
                    <w:top w:val="single" w:color="auto" w:sz="4" w:space="0"/>
                    <w:left w:val="single" w:color="auto" w:sz="4" w:space="0"/>
                    <w:bottom w:val="single" w:color="auto" w:sz="4" w:space="0"/>
                    <w:right w:val="single" w:color="auto" w:sz="4" w:space="0"/>
                  </w:tcBorders>
                  <w:vAlign w:val="center"/>
                </w:tcPr>
                <w:p w14:paraId="49D8ED3B">
                  <w:pPr>
                    <w:widowControl/>
                    <w:spacing w:line="240" w:lineRule="auto"/>
                    <w:jc w:val="center"/>
                    <w:textAlignment w:val="center"/>
                    <w:rPr>
                      <w:sz w:val="21"/>
                      <w:szCs w:val="21"/>
                      <w:u w:val="single"/>
                    </w:rPr>
                  </w:pPr>
                  <w:r>
                    <w:rPr>
                      <w:rFonts w:hint="eastAsia"/>
                      <w:kern w:val="0"/>
                      <w:sz w:val="21"/>
                      <w:szCs w:val="21"/>
                      <w:u w:val="single"/>
                    </w:rPr>
                    <w:t>15.00%</w:t>
                  </w:r>
                </w:p>
              </w:tc>
              <w:tc>
                <w:tcPr>
                  <w:tcW w:w="662" w:type="pct"/>
                  <w:tcBorders>
                    <w:top w:val="single" w:color="auto" w:sz="4" w:space="0"/>
                    <w:left w:val="single" w:color="auto" w:sz="4" w:space="0"/>
                    <w:bottom w:val="single" w:color="auto" w:sz="4" w:space="0"/>
                    <w:right w:val="single" w:color="auto" w:sz="12" w:space="0"/>
                  </w:tcBorders>
                  <w:vAlign w:val="center"/>
                </w:tcPr>
                <w:p w14:paraId="2211BC30">
                  <w:pPr>
                    <w:spacing w:line="240" w:lineRule="auto"/>
                    <w:jc w:val="center"/>
                    <w:rPr>
                      <w:sz w:val="21"/>
                      <w:szCs w:val="21"/>
                      <w:u w:val="single"/>
                    </w:rPr>
                  </w:pPr>
                  <w:r>
                    <w:rPr>
                      <w:rFonts w:ascii="宋体" w:hAnsi="宋体"/>
                      <w:sz w:val="21"/>
                      <w:szCs w:val="21"/>
                      <w:u w:val="single"/>
                    </w:rPr>
                    <w:t>达标</w:t>
                  </w:r>
                </w:p>
              </w:tc>
            </w:tr>
            <w:tr w14:paraId="494F9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single" w:color="auto" w:sz="12" w:space="0"/>
                    <w:bottom w:val="single" w:color="auto" w:sz="4" w:space="0"/>
                    <w:right w:val="single" w:color="auto" w:sz="4" w:space="0"/>
                  </w:tcBorders>
                  <w:vAlign w:val="center"/>
                </w:tcPr>
                <w:p w14:paraId="04A64865">
                  <w:pPr>
                    <w:spacing w:line="240" w:lineRule="auto"/>
                    <w:jc w:val="center"/>
                    <w:rPr>
                      <w:sz w:val="21"/>
                      <w:szCs w:val="21"/>
                      <w:u w:val="single"/>
                      <w:vertAlign w:val="subscript"/>
                    </w:rPr>
                  </w:pPr>
                  <w:r>
                    <w:rPr>
                      <w:sz w:val="21"/>
                      <w:szCs w:val="21"/>
                      <w:u w:val="single"/>
                    </w:rPr>
                    <w:t>NO</w:t>
                  </w:r>
                  <w:r>
                    <w:rPr>
                      <w:sz w:val="21"/>
                      <w:szCs w:val="21"/>
                      <w:u w:val="single"/>
                      <w:vertAlign w:val="subscript"/>
                    </w:rPr>
                    <w:t>2</w:t>
                  </w:r>
                </w:p>
              </w:tc>
              <w:tc>
                <w:tcPr>
                  <w:tcW w:w="1579" w:type="pct"/>
                  <w:tcBorders>
                    <w:top w:val="single" w:color="auto" w:sz="4" w:space="0"/>
                    <w:left w:val="single" w:color="auto" w:sz="4" w:space="0"/>
                    <w:bottom w:val="single" w:color="auto" w:sz="4" w:space="0"/>
                    <w:right w:val="single" w:color="auto" w:sz="4" w:space="0"/>
                  </w:tcBorders>
                  <w:vAlign w:val="center"/>
                </w:tcPr>
                <w:p w14:paraId="7A33F8D8">
                  <w:pPr>
                    <w:spacing w:line="240" w:lineRule="auto"/>
                    <w:jc w:val="center"/>
                    <w:rPr>
                      <w:sz w:val="21"/>
                      <w:szCs w:val="21"/>
                      <w:u w:val="single"/>
                    </w:rPr>
                  </w:pPr>
                  <w:r>
                    <w:rPr>
                      <w:rFonts w:ascii="宋体" w:hAnsi="宋体"/>
                      <w:sz w:val="21"/>
                      <w:szCs w:val="21"/>
                      <w:u w:val="single"/>
                    </w:rPr>
                    <w:t>年平均质量浓度</w:t>
                  </w:r>
                </w:p>
              </w:tc>
              <w:tc>
                <w:tcPr>
                  <w:tcW w:w="826" w:type="pct"/>
                  <w:tcBorders>
                    <w:top w:val="single" w:color="auto" w:sz="4" w:space="0"/>
                    <w:left w:val="single" w:color="auto" w:sz="4" w:space="0"/>
                    <w:bottom w:val="single" w:color="auto" w:sz="4" w:space="0"/>
                    <w:right w:val="single" w:color="auto" w:sz="4" w:space="0"/>
                  </w:tcBorders>
                  <w:vAlign w:val="center"/>
                </w:tcPr>
                <w:p w14:paraId="36DE727A">
                  <w:pPr>
                    <w:spacing w:line="240" w:lineRule="auto"/>
                    <w:jc w:val="center"/>
                    <w:rPr>
                      <w:sz w:val="21"/>
                      <w:szCs w:val="21"/>
                      <w:u w:val="single"/>
                    </w:rPr>
                  </w:pPr>
                  <w:r>
                    <w:rPr>
                      <w:rFonts w:hint="eastAsia"/>
                      <w:sz w:val="21"/>
                      <w:szCs w:val="21"/>
                      <w:u w:val="single"/>
                    </w:rPr>
                    <w:t>7</w:t>
                  </w:r>
                </w:p>
              </w:tc>
              <w:tc>
                <w:tcPr>
                  <w:tcW w:w="705" w:type="pct"/>
                  <w:tcBorders>
                    <w:top w:val="single" w:color="auto" w:sz="4" w:space="0"/>
                    <w:left w:val="single" w:color="auto" w:sz="4" w:space="0"/>
                    <w:bottom w:val="single" w:color="auto" w:sz="4" w:space="0"/>
                    <w:right w:val="single" w:color="auto" w:sz="4" w:space="0"/>
                  </w:tcBorders>
                  <w:vAlign w:val="center"/>
                </w:tcPr>
                <w:p w14:paraId="0EDA7D7A">
                  <w:pPr>
                    <w:spacing w:line="240" w:lineRule="auto"/>
                    <w:jc w:val="center"/>
                    <w:rPr>
                      <w:sz w:val="21"/>
                      <w:szCs w:val="21"/>
                      <w:u w:val="single"/>
                    </w:rPr>
                  </w:pPr>
                  <w:r>
                    <w:rPr>
                      <w:sz w:val="21"/>
                      <w:szCs w:val="21"/>
                      <w:u w:val="single"/>
                    </w:rPr>
                    <w:t>40</w:t>
                  </w:r>
                </w:p>
              </w:tc>
              <w:tc>
                <w:tcPr>
                  <w:tcW w:w="663" w:type="pct"/>
                  <w:tcBorders>
                    <w:top w:val="single" w:color="auto" w:sz="4" w:space="0"/>
                    <w:left w:val="single" w:color="auto" w:sz="4" w:space="0"/>
                    <w:bottom w:val="single" w:color="auto" w:sz="4" w:space="0"/>
                    <w:right w:val="single" w:color="auto" w:sz="4" w:space="0"/>
                  </w:tcBorders>
                  <w:vAlign w:val="center"/>
                </w:tcPr>
                <w:p w14:paraId="6F0C6BE9">
                  <w:pPr>
                    <w:widowControl/>
                    <w:spacing w:line="240" w:lineRule="auto"/>
                    <w:jc w:val="center"/>
                    <w:textAlignment w:val="center"/>
                    <w:rPr>
                      <w:sz w:val="21"/>
                      <w:szCs w:val="21"/>
                      <w:u w:val="single"/>
                    </w:rPr>
                  </w:pPr>
                  <w:r>
                    <w:rPr>
                      <w:rFonts w:hint="eastAsia"/>
                      <w:kern w:val="0"/>
                      <w:sz w:val="21"/>
                      <w:szCs w:val="21"/>
                      <w:u w:val="single"/>
                    </w:rPr>
                    <w:t>17.50%</w:t>
                  </w:r>
                </w:p>
              </w:tc>
              <w:tc>
                <w:tcPr>
                  <w:tcW w:w="662" w:type="pct"/>
                  <w:tcBorders>
                    <w:top w:val="single" w:color="auto" w:sz="4" w:space="0"/>
                    <w:left w:val="single" w:color="auto" w:sz="4" w:space="0"/>
                    <w:bottom w:val="single" w:color="auto" w:sz="4" w:space="0"/>
                    <w:right w:val="single" w:color="auto" w:sz="12" w:space="0"/>
                  </w:tcBorders>
                  <w:vAlign w:val="center"/>
                </w:tcPr>
                <w:p w14:paraId="4A94CB7F">
                  <w:pPr>
                    <w:spacing w:line="240" w:lineRule="auto"/>
                    <w:jc w:val="center"/>
                    <w:rPr>
                      <w:sz w:val="21"/>
                      <w:szCs w:val="21"/>
                      <w:u w:val="single"/>
                    </w:rPr>
                  </w:pPr>
                  <w:r>
                    <w:rPr>
                      <w:rFonts w:ascii="宋体" w:hAnsi="宋体"/>
                      <w:sz w:val="21"/>
                      <w:szCs w:val="21"/>
                      <w:u w:val="single"/>
                    </w:rPr>
                    <w:t>达标</w:t>
                  </w:r>
                </w:p>
              </w:tc>
            </w:tr>
            <w:tr w14:paraId="24AFA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single" w:color="auto" w:sz="12" w:space="0"/>
                    <w:bottom w:val="single" w:color="auto" w:sz="4" w:space="0"/>
                    <w:right w:val="single" w:color="auto" w:sz="4" w:space="0"/>
                  </w:tcBorders>
                  <w:vAlign w:val="center"/>
                </w:tcPr>
                <w:p w14:paraId="0DA336B9">
                  <w:pPr>
                    <w:spacing w:line="240" w:lineRule="auto"/>
                    <w:jc w:val="center"/>
                    <w:rPr>
                      <w:sz w:val="21"/>
                      <w:szCs w:val="21"/>
                      <w:u w:val="single"/>
                    </w:rPr>
                  </w:pPr>
                  <w:r>
                    <w:rPr>
                      <w:sz w:val="21"/>
                      <w:szCs w:val="21"/>
                      <w:u w:val="single"/>
                    </w:rPr>
                    <w:t>CO</w:t>
                  </w:r>
                </w:p>
              </w:tc>
              <w:tc>
                <w:tcPr>
                  <w:tcW w:w="1579" w:type="pct"/>
                  <w:tcBorders>
                    <w:top w:val="single" w:color="auto" w:sz="4" w:space="0"/>
                    <w:left w:val="single" w:color="auto" w:sz="4" w:space="0"/>
                    <w:bottom w:val="single" w:color="auto" w:sz="4" w:space="0"/>
                    <w:right w:val="single" w:color="auto" w:sz="4" w:space="0"/>
                  </w:tcBorders>
                  <w:vAlign w:val="center"/>
                </w:tcPr>
                <w:p w14:paraId="49770331">
                  <w:pPr>
                    <w:spacing w:line="240" w:lineRule="auto"/>
                    <w:jc w:val="center"/>
                    <w:rPr>
                      <w:sz w:val="21"/>
                      <w:szCs w:val="21"/>
                      <w:u w:val="single"/>
                    </w:rPr>
                  </w:pPr>
                  <w:r>
                    <w:rPr>
                      <w:sz w:val="21"/>
                      <w:szCs w:val="21"/>
                      <w:u w:val="single"/>
                    </w:rPr>
                    <w:t>24</w:t>
                  </w:r>
                  <w:r>
                    <w:rPr>
                      <w:rFonts w:ascii="宋体" w:hAnsi="宋体"/>
                      <w:sz w:val="21"/>
                      <w:szCs w:val="21"/>
                      <w:u w:val="single"/>
                    </w:rPr>
                    <w:t>小时平均第</w:t>
                  </w:r>
                  <w:r>
                    <w:rPr>
                      <w:sz w:val="21"/>
                      <w:szCs w:val="21"/>
                      <w:u w:val="single"/>
                    </w:rPr>
                    <w:t>95</w:t>
                  </w:r>
                  <w:r>
                    <w:rPr>
                      <w:rFonts w:ascii="宋体" w:hAnsi="宋体"/>
                      <w:sz w:val="21"/>
                      <w:szCs w:val="21"/>
                      <w:u w:val="single"/>
                    </w:rPr>
                    <w:t>百分位数</w:t>
                  </w:r>
                </w:p>
              </w:tc>
              <w:tc>
                <w:tcPr>
                  <w:tcW w:w="826" w:type="pct"/>
                  <w:tcBorders>
                    <w:top w:val="single" w:color="auto" w:sz="4" w:space="0"/>
                    <w:left w:val="single" w:color="auto" w:sz="4" w:space="0"/>
                    <w:bottom w:val="single" w:color="auto" w:sz="4" w:space="0"/>
                    <w:right w:val="single" w:color="auto" w:sz="4" w:space="0"/>
                  </w:tcBorders>
                  <w:vAlign w:val="center"/>
                </w:tcPr>
                <w:p w14:paraId="75C23A2D">
                  <w:pPr>
                    <w:spacing w:line="240" w:lineRule="auto"/>
                    <w:jc w:val="center"/>
                    <w:rPr>
                      <w:sz w:val="21"/>
                      <w:szCs w:val="21"/>
                      <w:u w:val="single"/>
                    </w:rPr>
                  </w:pPr>
                  <w:r>
                    <w:rPr>
                      <w:rFonts w:hint="eastAsia"/>
                      <w:sz w:val="21"/>
                      <w:szCs w:val="21"/>
                      <w:u w:val="single"/>
                    </w:rPr>
                    <w:t>11</w:t>
                  </w:r>
                  <w:r>
                    <w:rPr>
                      <w:sz w:val="21"/>
                      <w:szCs w:val="21"/>
                      <w:u w:val="single"/>
                    </w:rPr>
                    <w:t>00</w:t>
                  </w:r>
                </w:p>
              </w:tc>
              <w:tc>
                <w:tcPr>
                  <w:tcW w:w="705" w:type="pct"/>
                  <w:tcBorders>
                    <w:top w:val="single" w:color="auto" w:sz="4" w:space="0"/>
                    <w:left w:val="single" w:color="auto" w:sz="4" w:space="0"/>
                    <w:bottom w:val="single" w:color="auto" w:sz="4" w:space="0"/>
                    <w:right w:val="single" w:color="auto" w:sz="4" w:space="0"/>
                  </w:tcBorders>
                  <w:vAlign w:val="center"/>
                </w:tcPr>
                <w:p w14:paraId="373EC636">
                  <w:pPr>
                    <w:spacing w:line="240" w:lineRule="auto"/>
                    <w:jc w:val="center"/>
                    <w:rPr>
                      <w:sz w:val="21"/>
                      <w:szCs w:val="21"/>
                      <w:u w:val="single"/>
                    </w:rPr>
                  </w:pPr>
                  <w:r>
                    <w:rPr>
                      <w:sz w:val="21"/>
                      <w:szCs w:val="21"/>
                      <w:u w:val="single"/>
                    </w:rPr>
                    <w:t>4000</w:t>
                  </w:r>
                </w:p>
              </w:tc>
              <w:tc>
                <w:tcPr>
                  <w:tcW w:w="663" w:type="pct"/>
                  <w:tcBorders>
                    <w:top w:val="single" w:color="auto" w:sz="4" w:space="0"/>
                    <w:left w:val="single" w:color="auto" w:sz="4" w:space="0"/>
                    <w:bottom w:val="single" w:color="auto" w:sz="4" w:space="0"/>
                    <w:right w:val="single" w:color="auto" w:sz="4" w:space="0"/>
                  </w:tcBorders>
                  <w:vAlign w:val="center"/>
                </w:tcPr>
                <w:p w14:paraId="7E46D4D0">
                  <w:pPr>
                    <w:widowControl/>
                    <w:spacing w:line="240" w:lineRule="auto"/>
                    <w:jc w:val="center"/>
                    <w:textAlignment w:val="center"/>
                    <w:rPr>
                      <w:sz w:val="21"/>
                      <w:szCs w:val="21"/>
                      <w:u w:val="single"/>
                    </w:rPr>
                  </w:pPr>
                  <w:r>
                    <w:rPr>
                      <w:rFonts w:hint="eastAsia"/>
                      <w:kern w:val="0"/>
                      <w:sz w:val="21"/>
                      <w:szCs w:val="21"/>
                      <w:u w:val="single"/>
                    </w:rPr>
                    <w:t>27.50%</w:t>
                  </w:r>
                </w:p>
              </w:tc>
              <w:tc>
                <w:tcPr>
                  <w:tcW w:w="662" w:type="pct"/>
                  <w:tcBorders>
                    <w:top w:val="single" w:color="auto" w:sz="4" w:space="0"/>
                    <w:left w:val="single" w:color="auto" w:sz="4" w:space="0"/>
                    <w:bottom w:val="single" w:color="auto" w:sz="4" w:space="0"/>
                    <w:right w:val="single" w:color="auto" w:sz="12" w:space="0"/>
                  </w:tcBorders>
                  <w:vAlign w:val="center"/>
                </w:tcPr>
                <w:p w14:paraId="7E5F2F89">
                  <w:pPr>
                    <w:spacing w:line="240" w:lineRule="auto"/>
                    <w:jc w:val="center"/>
                    <w:rPr>
                      <w:sz w:val="21"/>
                      <w:szCs w:val="21"/>
                      <w:u w:val="single"/>
                    </w:rPr>
                  </w:pPr>
                  <w:r>
                    <w:rPr>
                      <w:rFonts w:ascii="宋体" w:hAnsi="宋体"/>
                      <w:sz w:val="21"/>
                      <w:szCs w:val="21"/>
                      <w:u w:val="single"/>
                    </w:rPr>
                    <w:t>达标</w:t>
                  </w:r>
                </w:p>
              </w:tc>
            </w:tr>
            <w:tr w14:paraId="7B995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single" w:color="auto" w:sz="12" w:space="0"/>
                    <w:bottom w:val="single" w:color="auto" w:sz="12" w:space="0"/>
                    <w:right w:val="single" w:color="auto" w:sz="4" w:space="0"/>
                  </w:tcBorders>
                  <w:vAlign w:val="center"/>
                </w:tcPr>
                <w:p w14:paraId="013D842C">
                  <w:pPr>
                    <w:spacing w:line="240" w:lineRule="auto"/>
                    <w:jc w:val="center"/>
                    <w:rPr>
                      <w:sz w:val="21"/>
                      <w:szCs w:val="21"/>
                      <w:u w:val="single"/>
                      <w:vertAlign w:val="subscript"/>
                    </w:rPr>
                  </w:pPr>
                  <w:r>
                    <w:rPr>
                      <w:sz w:val="21"/>
                      <w:szCs w:val="21"/>
                      <w:u w:val="single"/>
                    </w:rPr>
                    <w:t>O</w:t>
                  </w:r>
                  <w:r>
                    <w:rPr>
                      <w:sz w:val="21"/>
                      <w:szCs w:val="21"/>
                      <w:u w:val="single"/>
                      <w:vertAlign w:val="subscript"/>
                    </w:rPr>
                    <w:t>3</w:t>
                  </w:r>
                </w:p>
              </w:tc>
              <w:tc>
                <w:tcPr>
                  <w:tcW w:w="1579" w:type="pct"/>
                  <w:tcBorders>
                    <w:top w:val="single" w:color="auto" w:sz="4" w:space="0"/>
                    <w:left w:val="single" w:color="auto" w:sz="4" w:space="0"/>
                    <w:bottom w:val="single" w:color="auto" w:sz="12" w:space="0"/>
                    <w:right w:val="single" w:color="auto" w:sz="4" w:space="0"/>
                  </w:tcBorders>
                  <w:vAlign w:val="center"/>
                </w:tcPr>
                <w:p w14:paraId="300439B1">
                  <w:pPr>
                    <w:spacing w:line="240" w:lineRule="auto"/>
                    <w:jc w:val="center"/>
                    <w:rPr>
                      <w:sz w:val="21"/>
                      <w:szCs w:val="21"/>
                      <w:u w:val="single"/>
                    </w:rPr>
                  </w:pPr>
                  <w:r>
                    <w:rPr>
                      <w:rFonts w:ascii="宋体" w:hAnsi="宋体"/>
                      <w:sz w:val="21"/>
                      <w:szCs w:val="21"/>
                      <w:u w:val="single"/>
                    </w:rPr>
                    <w:t>日最大</w:t>
                  </w:r>
                  <w:r>
                    <w:rPr>
                      <w:sz w:val="21"/>
                      <w:szCs w:val="21"/>
                      <w:u w:val="single"/>
                    </w:rPr>
                    <w:t>8h</w:t>
                  </w:r>
                  <w:r>
                    <w:rPr>
                      <w:rFonts w:ascii="宋体" w:hAnsi="宋体"/>
                      <w:sz w:val="21"/>
                      <w:szCs w:val="21"/>
                      <w:u w:val="single"/>
                    </w:rPr>
                    <w:t>滑动平均值的第</w:t>
                  </w:r>
                  <w:r>
                    <w:rPr>
                      <w:sz w:val="21"/>
                      <w:szCs w:val="21"/>
                      <w:u w:val="single"/>
                    </w:rPr>
                    <w:t>90</w:t>
                  </w:r>
                  <w:r>
                    <w:rPr>
                      <w:rFonts w:ascii="宋体" w:hAnsi="宋体"/>
                      <w:sz w:val="21"/>
                      <w:szCs w:val="21"/>
                      <w:u w:val="single"/>
                    </w:rPr>
                    <w:t>百分位数</w:t>
                  </w:r>
                </w:p>
              </w:tc>
              <w:tc>
                <w:tcPr>
                  <w:tcW w:w="826" w:type="pct"/>
                  <w:tcBorders>
                    <w:top w:val="single" w:color="auto" w:sz="4" w:space="0"/>
                    <w:left w:val="single" w:color="auto" w:sz="4" w:space="0"/>
                    <w:bottom w:val="single" w:color="auto" w:sz="12" w:space="0"/>
                    <w:right w:val="single" w:color="auto" w:sz="4" w:space="0"/>
                  </w:tcBorders>
                  <w:vAlign w:val="center"/>
                </w:tcPr>
                <w:p w14:paraId="2D260D80">
                  <w:pPr>
                    <w:spacing w:line="240" w:lineRule="auto"/>
                    <w:jc w:val="center"/>
                    <w:rPr>
                      <w:sz w:val="21"/>
                      <w:szCs w:val="21"/>
                      <w:u w:val="single"/>
                    </w:rPr>
                  </w:pPr>
                  <w:r>
                    <w:rPr>
                      <w:rFonts w:hint="eastAsia"/>
                      <w:sz w:val="21"/>
                      <w:szCs w:val="21"/>
                      <w:u w:val="single"/>
                    </w:rPr>
                    <w:t>156</w:t>
                  </w:r>
                </w:p>
              </w:tc>
              <w:tc>
                <w:tcPr>
                  <w:tcW w:w="705" w:type="pct"/>
                  <w:tcBorders>
                    <w:top w:val="single" w:color="auto" w:sz="4" w:space="0"/>
                    <w:left w:val="single" w:color="auto" w:sz="4" w:space="0"/>
                    <w:bottom w:val="single" w:color="auto" w:sz="12" w:space="0"/>
                    <w:right w:val="single" w:color="auto" w:sz="4" w:space="0"/>
                  </w:tcBorders>
                  <w:vAlign w:val="center"/>
                </w:tcPr>
                <w:p w14:paraId="27E0B072">
                  <w:pPr>
                    <w:spacing w:line="240" w:lineRule="auto"/>
                    <w:jc w:val="center"/>
                    <w:rPr>
                      <w:sz w:val="21"/>
                      <w:szCs w:val="21"/>
                      <w:u w:val="single"/>
                    </w:rPr>
                  </w:pPr>
                  <w:r>
                    <w:rPr>
                      <w:sz w:val="21"/>
                      <w:szCs w:val="21"/>
                      <w:u w:val="single"/>
                    </w:rPr>
                    <w:t>160</w:t>
                  </w:r>
                </w:p>
              </w:tc>
              <w:tc>
                <w:tcPr>
                  <w:tcW w:w="663" w:type="pct"/>
                  <w:tcBorders>
                    <w:top w:val="single" w:color="auto" w:sz="4" w:space="0"/>
                    <w:left w:val="single" w:color="auto" w:sz="4" w:space="0"/>
                    <w:bottom w:val="single" w:color="auto" w:sz="12" w:space="0"/>
                    <w:right w:val="single" w:color="auto" w:sz="4" w:space="0"/>
                  </w:tcBorders>
                  <w:vAlign w:val="center"/>
                </w:tcPr>
                <w:p w14:paraId="71DDC570">
                  <w:pPr>
                    <w:widowControl/>
                    <w:spacing w:line="240" w:lineRule="auto"/>
                    <w:jc w:val="center"/>
                    <w:textAlignment w:val="center"/>
                    <w:rPr>
                      <w:sz w:val="21"/>
                      <w:szCs w:val="21"/>
                      <w:u w:val="single"/>
                    </w:rPr>
                  </w:pPr>
                  <w:r>
                    <w:rPr>
                      <w:rFonts w:hint="eastAsia"/>
                      <w:kern w:val="0"/>
                      <w:sz w:val="21"/>
                      <w:szCs w:val="21"/>
                      <w:u w:val="single"/>
                    </w:rPr>
                    <w:t>97.50%</w:t>
                  </w:r>
                </w:p>
              </w:tc>
              <w:tc>
                <w:tcPr>
                  <w:tcW w:w="662" w:type="pct"/>
                  <w:tcBorders>
                    <w:top w:val="single" w:color="auto" w:sz="4" w:space="0"/>
                    <w:left w:val="single" w:color="auto" w:sz="4" w:space="0"/>
                    <w:bottom w:val="single" w:color="auto" w:sz="12" w:space="0"/>
                    <w:right w:val="single" w:color="auto" w:sz="12" w:space="0"/>
                  </w:tcBorders>
                  <w:vAlign w:val="center"/>
                </w:tcPr>
                <w:p w14:paraId="63EC4ED6">
                  <w:pPr>
                    <w:spacing w:line="240" w:lineRule="auto"/>
                    <w:jc w:val="center"/>
                    <w:rPr>
                      <w:sz w:val="21"/>
                      <w:szCs w:val="21"/>
                      <w:u w:val="single"/>
                    </w:rPr>
                  </w:pPr>
                  <w:r>
                    <w:rPr>
                      <w:rFonts w:ascii="宋体" w:hAnsi="宋体"/>
                      <w:sz w:val="21"/>
                      <w:szCs w:val="21"/>
                      <w:u w:val="single"/>
                    </w:rPr>
                    <w:t>达标</w:t>
                  </w:r>
                </w:p>
              </w:tc>
            </w:tr>
          </w:tbl>
          <w:p w14:paraId="444FE1F4">
            <w:pPr>
              <w:wordWrap w:val="0"/>
              <w:ind w:firstLine="480" w:firstLineChars="200"/>
              <w:rPr>
                <w:bCs/>
                <w:kern w:val="0"/>
                <w:szCs w:val="24"/>
                <w:u w:val="single"/>
              </w:rPr>
            </w:pPr>
            <w:r>
              <w:rPr>
                <w:rFonts w:hint="eastAsia" w:ascii="宋体" w:hAnsi="宋体"/>
                <w:bCs/>
                <w:kern w:val="0"/>
                <w:szCs w:val="24"/>
                <w:u w:val="single"/>
              </w:rPr>
              <w:t>根据表</w:t>
            </w:r>
            <w:r>
              <w:rPr>
                <w:rFonts w:hint="eastAsia"/>
                <w:bCs/>
                <w:kern w:val="0"/>
                <w:szCs w:val="24"/>
                <w:u w:val="single"/>
              </w:rPr>
              <w:t>3</w:t>
            </w:r>
            <w:r>
              <w:rPr>
                <w:bCs/>
                <w:kern w:val="0"/>
                <w:szCs w:val="24"/>
                <w:u w:val="single"/>
              </w:rPr>
              <w:t>-1</w:t>
            </w:r>
            <w:r>
              <w:rPr>
                <w:rFonts w:hint="eastAsia" w:ascii="宋体" w:hAnsi="宋体"/>
                <w:bCs/>
                <w:kern w:val="0"/>
                <w:szCs w:val="24"/>
                <w:u w:val="single"/>
              </w:rPr>
              <w:t>可知，由以上监测结果表明，各项监测因子满足《环境空气质量标准》（</w:t>
            </w:r>
            <w:r>
              <w:rPr>
                <w:bCs/>
                <w:kern w:val="0"/>
                <w:szCs w:val="24"/>
                <w:u w:val="single"/>
              </w:rPr>
              <w:t>GB3095-2012</w:t>
            </w:r>
            <w:r>
              <w:rPr>
                <w:rFonts w:ascii="宋体" w:hAnsi="宋体"/>
                <w:bCs/>
                <w:kern w:val="0"/>
                <w:szCs w:val="24"/>
                <w:u w:val="single"/>
              </w:rPr>
              <w:t>）二级标准。</w:t>
            </w:r>
          </w:p>
          <w:p w14:paraId="479C1C17">
            <w:pPr>
              <w:wordWrap w:val="0"/>
              <w:ind w:firstLine="480" w:firstLineChars="200"/>
              <w:rPr>
                <w:bCs/>
                <w:kern w:val="0"/>
                <w:szCs w:val="24"/>
                <w:u w:val="single"/>
              </w:rPr>
            </w:pPr>
            <w:r>
              <w:rPr>
                <w:rFonts w:hint="eastAsia" w:ascii="宋体" w:hAnsi="宋体"/>
                <w:bCs/>
                <w:kern w:val="0"/>
                <w:szCs w:val="24"/>
                <w:u w:val="single"/>
              </w:rPr>
              <w:t>（</w:t>
            </w:r>
            <w:r>
              <w:rPr>
                <w:rFonts w:hint="eastAsia"/>
                <w:bCs/>
                <w:kern w:val="0"/>
                <w:szCs w:val="24"/>
                <w:u w:val="single"/>
              </w:rPr>
              <w:t>2</w:t>
            </w:r>
            <w:r>
              <w:rPr>
                <w:rFonts w:hint="eastAsia" w:ascii="宋体" w:hAnsi="宋体"/>
                <w:bCs/>
                <w:kern w:val="0"/>
                <w:szCs w:val="24"/>
                <w:u w:val="single"/>
              </w:rPr>
              <w:t>）补充监测</w:t>
            </w:r>
          </w:p>
          <w:p w14:paraId="4AEE7F03">
            <w:pPr>
              <w:ind w:firstLine="480" w:firstLineChars="200"/>
              <w:rPr>
                <w:rFonts w:cs="宋体"/>
                <w:kern w:val="0"/>
                <w:szCs w:val="24"/>
                <w:u w:val="single"/>
              </w:rPr>
            </w:pPr>
            <w:bookmarkStart w:id="50" w:name="OLE_LINK15"/>
            <w:r>
              <w:rPr>
                <w:rFonts w:hint="eastAsia" w:ascii="宋体" w:hAnsi="宋体"/>
                <w:szCs w:val="24"/>
                <w:u w:val="single"/>
              </w:rPr>
              <w:t>根据</w:t>
            </w:r>
            <w:r>
              <w:rPr>
                <w:rFonts w:hint="eastAsia" w:ascii="宋体" w:hAnsi="宋体"/>
                <w:kern w:val="0"/>
                <w:szCs w:val="24"/>
                <w:u w:val="single"/>
              </w:rPr>
              <w:t>《建设项目环境影响报告表编制技术指南（污染影响类）》</w:t>
            </w:r>
            <w:bookmarkEnd w:id="50"/>
            <w:r>
              <w:rPr>
                <w:rFonts w:hint="eastAsia" w:ascii="宋体" w:hAnsi="宋体"/>
                <w:kern w:val="0"/>
                <w:szCs w:val="24"/>
                <w:u w:val="single"/>
              </w:rPr>
              <w:t xml:space="preserve">中区域环境质量现状大气要求时：“常规污染物引用与建设项目距离近的有效数据，包括近 </w:t>
            </w:r>
            <w:r>
              <w:rPr>
                <w:rFonts w:hint="eastAsia"/>
                <w:kern w:val="0"/>
                <w:szCs w:val="24"/>
                <w:u w:val="single"/>
              </w:rPr>
              <w:t xml:space="preserve">3 </w:t>
            </w:r>
            <w:r>
              <w:rPr>
                <w:rFonts w:hint="eastAsia" w:ascii="宋体" w:hAnsi="宋体"/>
                <w:kern w:val="0"/>
                <w:szCs w:val="24"/>
                <w:u w:val="single"/>
              </w:rPr>
              <w:t>年的规划环境影响评价的监测数据，国家、地方环境空气质量监测网数据或生态环境主管部门公开发布的质量数据等。</w:t>
            </w:r>
            <w:r>
              <w:rPr>
                <w:rFonts w:hint="eastAsia" w:ascii="宋体" w:hAnsi="宋体"/>
                <w:b/>
                <w:bCs/>
                <w:kern w:val="0"/>
                <w:szCs w:val="24"/>
                <w:u w:val="single"/>
              </w:rPr>
              <w:t>排放国家、地方环境空气质量标准中有标准限值要求的特征污染物时</w:t>
            </w:r>
            <w:r>
              <w:rPr>
                <w:rFonts w:hint="eastAsia" w:ascii="宋体" w:hAnsi="宋体"/>
                <w:kern w:val="0"/>
                <w:szCs w:val="24"/>
                <w:u w:val="single"/>
              </w:rPr>
              <w:t>，引用建设项目周边</w:t>
            </w:r>
            <w:r>
              <w:rPr>
                <w:rFonts w:hint="eastAsia"/>
                <w:kern w:val="0"/>
                <w:szCs w:val="24"/>
                <w:u w:val="single"/>
              </w:rPr>
              <w:t xml:space="preserve"> 5 </w:t>
            </w:r>
            <w:r>
              <w:rPr>
                <w:rFonts w:hint="eastAsia" w:ascii="宋体" w:hAnsi="宋体"/>
                <w:kern w:val="0"/>
                <w:szCs w:val="24"/>
                <w:u w:val="single"/>
              </w:rPr>
              <w:t xml:space="preserve">千米范围内近 </w:t>
            </w:r>
            <w:r>
              <w:rPr>
                <w:rFonts w:hint="eastAsia"/>
                <w:kern w:val="0"/>
                <w:szCs w:val="24"/>
                <w:u w:val="single"/>
              </w:rPr>
              <w:t xml:space="preserve">3 </w:t>
            </w:r>
            <w:r>
              <w:rPr>
                <w:rFonts w:hint="eastAsia" w:ascii="宋体" w:hAnsi="宋体"/>
                <w:kern w:val="0"/>
                <w:szCs w:val="24"/>
                <w:u w:val="single"/>
              </w:rPr>
              <w:t xml:space="preserve">年的现有监测数据，无相关数据的选择当季主导风向下风向 </w:t>
            </w:r>
            <w:r>
              <w:rPr>
                <w:rFonts w:hint="eastAsia"/>
                <w:kern w:val="0"/>
                <w:szCs w:val="24"/>
                <w:u w:val="single"/>
              </w:rPr>
              <w:t xml:space="preserve">1 </w:t>
            </w:r>
            <w:r>
              <w:rPr>
                <w:rFonts w:hint="eastAsia" w:ascii="宋体" w:hAnsi="宋体"/>
                <w:kern w:val="0"/>
                <w:szCs w:val="24"/>
                <w:u w:val="single"/>
              </w:rPr>
              <w:t xml:space="preserve">个点位补充不少于 </w:t>
            </w:r>
            <w:r>
              <w:rPr>
                <w:rFonts w:hint="eastAsia"/>
                <w:kern w:val="0"/>
                <w:szCs w:val="24"/>
                <w:u w:val="single"/>
              </w:rPr>
              <w:t xml:space="preserve">3 </w:t>
            </w:r>
            <w:r>
              <w:rPr>
                <w:rFonts w:hint="eastAsia" w:ascii="宋体" w:hAnsi="宋体"/>
                <w:kern w:val="0"/>
                <w:szCs w:val="24"/>
                <w:u w:val="single"/>
              </w:rPr>
              <w:t>天的监测数据。”。本项目特征污染物为</w:t>
            </w:r>
            <w:r>
              <w:rPr>
                <w:rFonts w:hint="eastAsia" w:ascii="宋体" w:hAnsi="宋体"/>
                <w:szCs w:val="24"/>
                <w:u w:val="single"/>
              </w:rPr>
              <w:t>氨、硫化氢、臭气浓度</w:t>
            </w:r>
            <w:r>
              <w:rPr>
                <w:rFonts w:hint="eastAsia" w:ascii="宋体" w:hAnsi="宋体"/>
                <w:kern w:val="0"/>
                <w:szCs w:val="24"/>
                <w:u w:val="single"/>
              </w:rPr>
              <w:t>，其在</w:t>
            </w:r>
            <w:r>
              <w:rPr>
                <w:rFonts w:hint="eastAsia" w:ascii="宋体" w:hAnsi="宋体"/>
                <w:szCs w:val="24"/>
                <w:u w:val="single"/>
              </w:rPr>
              <w:t>《环境空气质量标准》（</w:t>
            </w:r>
            <w:r>
              <w:rPr>
                <w:rFonts w:hint="eastAsia"/>
                <w:szCs w:val="24"/>
                <w:u w:val="single"/>
              </w:rPr>
              <w:t>GB3095-2012</w:t>
            </w:r>
            <w:r>
              <w:rPr>
                <w:rFonts w:hint="eastAsia" w:ascii="宋体" w:hAnsi="宋体"/>
                <w:szCs w:val="24"/>
                <w:u w:val="single"/>
              </w:rPr>
              <w:t>）中均未有相关的浓度限值，故本次不对特征因子进行补测。</w:t>
            </w:r>
          </w:p>
          <w:p w14:paraId="3A8B7C11">
            <w:pPr>
              <w:ind w:firstLine="482"/>
              <w:jc w:val="both"/>
              <w:rPr>
                <w:b/>
                <w:szCs w:val="24"/>
                <w:u w:val="single"/>
              </w:rPr>
            </w:pPr>
            <w:r>
              <w:rPr>
                <w:rFonts w:hint="eastAsia"/>
                <w:b/>
                <w:szCs w:val="24"/>
                <w:u w:val="single"/>
              </w:rPr>
              <w:t>2</w:t>
            </w:r>
            <w:r>
              <w:rPr>
                <w:rFonts w:hint="eastAsia" w:ascii="宋体" w:hAnsi="宋体"/>
                <w:b/>
                <w:szCs w:val="24"/>
                <w:u w:val="single"/>
              </w:rPr>
              <w:t>、水环境质量现状</w:t>
            </w:r>
          </w:p>
          <w:p w14:paraId="14237A2F">
            <w:pPr>
              <w:ind w:firstLine="482"/>
              <w:jc w:val="both"/>
              <w:rPr>
                <w:szCs w:val="24"/>
                <w:u w:val="single"/>
              </w:rPr>
            </w:pPr>
            <w:r>
              <w:rPr>
                <w:rFonts w:hint="eastAsia" w:ascii="宋体" w:hAnsi="宋体"/>
                <w:szCs w:val="24"/>
                <w:u w:val="single"/>
              </w:rPr>
              <w:t>为了解卫生院附近受纳水体小河江环境现状，本次委托湖南中额环保科技有限公司于</w:t>
            </w:r>
            <w:r>
              <w:rPr>
                <w:rFonts w:hint="eastAsia"/>
                <w:szCs w:val="24"/>
                <w:u w:val="single"/>
              </w:rPr>
              <w:t>2</w:t>
            </w:r>
            <w:r>
              <w:rPr>
                <w:szCs w:val="24"/>
                <w:u w:val="single"/>
              </w:rPr>
              <w:t>025</w:t>
            </w:r>
            <w:r>
              <w:rPr>
                <w:rFonts w:hint="eastAsia" w:ascii="宋体" w:hAnsi="宋体"/>
                <w:szCs w:val="24"/>
                <w:u w:val="single"/>
              </w:rPr>
              <w:t>年</w:t>
            </w:r>
            <w:r>
              <w:rPr>
                <w:rFonts w:hint="eastAsia"/>
                <w:szCs w:val="24"/>
                <w:u w:val="single"/>
              </w:rPr>
              <w:t>2</w:t>
            </w:r>
            <w:r>
              <w:rPr>
                <w:rFonts w:hint="eastAsia" w:ascii="宋体" w:hAnsi="宋体"/>
                <w:szCs w:val="24"/>
                <w:u w:val="single"/>
              </w:rPr>
              <w:t>月</w:t>
            </w:r>
            <w:r>
              <w:rPr>
                <w:rFonts w:hint="eastAsia"/>
                <w:szCs w:val="24"/>
                <w:u w:val="single"/>
              </w:rPr>
              <w:t>1</w:t>
            </w:r>
            <w:r>
              <w:rPr>
                <w:szCs w:val="24"/>
                <w:u w:val="single"/>
              </w:rPr>
              <w:t>3</w:t>
            </w:r>
            <w:r>
              <w:rPr>
                <w:rFonts w:hint="eastAsia" w:ascii="宋体" w:hAnsi="宋体"/>
                <w:szCs w:val="24"/>
                <w:u w:val="single"/>
              </w:rPr>
              <w:t>日</w:t>
            </w:r>
            <w:r>
              <w:rPr>
                <w:rFonts w:hint="eastAsia"/>
                <w:szCs w:val="24"/>
                <w:u w:val="single"/>
              </w:rPr>
              <w:t>~</w:t>
            </w:r>
            <w:r>
              <w:rPr>
                <w:szCs w:val="24"/>
                <w:u w:val="single"/>
              </w:rPr>
              <w:t>15</w:t>
            </w:r>
            <w:r>
              <w:rPr>
                <w:rFonts w:hint="eastAsia" w:ascii="宋体" w:hAnsi="宋体"/>
                <w:szCs w:val="24"/>
                <w:u w:val="single"/>
              </w:rPr>
              <w:t>日对受纳水体小河江进行水环境质量监测，具体监测结果如下：</w:t>
            </w:r>
          </w:p>
          <w:p w14:paraId="30132708">
            <w:pPr>
              <w:jc w:val="center"/>
              <w:rPr>
                <w:b/>
                <w:bCs/>
                <w:szCs w:val="24"/>
                <w:u w:val="single"/>
              </w:rPr>
            </w:pPr>
            <w:r>
              <w:rPr>
                <w:rFonts w:hint="eastAsia" w:ascii="宋体" w:hAnsi="宋体"/>
                <w:b/>
                <w:bCs/>
                <w:szCs w:val="24"/>
                <w:u w:val="single"/>
              </w:rPr>
              <w:t>表</w:t>
            </w:r>
            <w:r>
              <w:rPr>
                <w:rFonts w:hint="eastAsia"/>
                <w:b/>
                <w:bCs/>
                <w:szCs w:val="24"/>
                <w:u w:val="single"/>
              </w:rPr>
              <w:t>3</w:t>
            </w:r>
            <w:r>
              <w:rPr>
                <w:b/>
                <w:bCs/>
                <w:szCs w:val="24"/>
                <w:u w:val="single"/>
              </w:rPr>
              <w:t xml:space="preserve">-2 </w:t>
            </w:r>
            <w:r>
              <w:rPr>
                <w:rFonts w:hint="eastAsia" w:ascii="宋体" w:hAnsi="宋体"/>
                <w:b/>
                <w:bCs/>
                <w:szCs w:val="24"/>
                <w:u w:val="single"/>
              </w:rPr>
              <w:t>地表水检测结果</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082"/>
              <w:gridCol w:w="954"/>
              <w:gridCol w:w="1018"/>
              <w:gridCol w:w="883"/>
              <w:gridCol w:w="959"/>
              <w:gridCol w:w="1023"/>
              <w:gridCol w:w="767"/>
            </w:tblGrid>
            <w:tr w14:paraId="43D63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9CD1C18">
                  <w:pPr>
                    <w:widowControl/>
                    <w:spacing w:line="240" w:lineRule="auto"/>
                    <w:jc w:val="center"/>
                    <w:textAlignment w:val="center"/>
                    <w:rPr>
                      <w:sz w:val="21"/>
                      <w:szCs w:val="21"/>
                      <w:u w:val="single"/>
                    </w:rPr>
                  </w:pPr>
                  <w:r>
                    <w:rPr>
                      <w:rFonts w:ascii="宋体" w:hAnsi="宋体"/>
                      <w:sz w:val="21"/>
                      <w:szCs w:val="21"/>
                      <w:u w:val="single"/>
                    </w:rPr>
                    <w:t>检测因子</w:t>
                  </w:r>
                </w:p>
              </w:tc>
              <w:tc>
                <w:tcPr>
                  <w:tcW w:w="6361" w:type="dxa"/>
                  <w:gridSpan w:val="6"/>
                  <w:vAlign w:val="center"/>
                </w:tcPr>
                <w:p w14:paraId="7CBBBBC7">
                  <w:pPr>
                    <w:widowControl/>
                    <w:spacing w:line="240" w:lineRule="auto"/>
                    <w:jc w:val="center"/>
                    <w:textAlignment w:val="center"/>
                    <w:rPr>
                      <w:color w:val="000000"/>
                      <w:sz w:val="21"/>
                      <w:szCs w:val="21"/>
                      <w:u w:val="single"/>
                    </w:rPr>
                  </w:pPr>
                  <w:r>
                    <w:rPr>
                      <w:rFonts w:ascii="宋体" w:hAnsi="宋体"/>
                      <w:color w:val="000000"/>
                      <w:sz w:val="21"/>
                      <w:szCs w:val="21"/>
                      <w:u w:val="single"/>
                    </w:rPr>
                    <w:t>采样日期及</w:t>
                  </w:r>
                  <w:r>
                    <w:rPr>
                      <w:rFonts w:ascii="宋体" w:hAnsi="宋体"/>
                      <w:sz w:val="21"/>
                      <w:szCs w:val="21"/>
                      <w:u w:val="single"/>
                    </w:rPr>
                    <w:t>检测结果（单位：</w:t>
                  </w:r>
                  <w:r>
                    <w:rPr>
                      <w:sz w:val="21"/>
                      <w:szCs w:val="21"/>
                      <w:u w:val="single"/>
                    </w:rPr>
                    <w:t>mg/L</w:t>
                  </w:r>
                  <w:r>
                    <w:rPr>
                      <w:rFonts w:ascii="宋体" w:hAnsi="宋体"/>
                      <w:sz w:val="21"/>
                      <w:szCs w:val="21"/>
                      <w:u w:val="single"/>
                    </w:rPr>
                    <w:t>，</w:t>
                  </w:r>
                  <w:r>
                    <w:rPr>
                      <w:sz w:val="21"/>
                      <w:szCs w:val="21"/>
                      <w:u w:val="single"/>
                    </w:rPr>
                    <w:t>pH</w:t>
                  </w:r>
                  <w:r>
                    <w:rPr>
                      <w:rFonts w:ascii="宋体" w:hAnsi="宋体"/>
                      <w:sz w:val="21"/>
                      <w:szCs w:val="21"/>
                      <w:u w:val="single"/>
                    </w:rPr>
                    <w:t>无量纲</w:t>
                  </w:r>
                  <w:r>
                    <w:rPr>
                      <w:rFonts w:hint="eastAsia" w:ascii="宋体" w:hAnsi="宋体"/>
                      <w:sz w:val="21"/>
                      <w:szCs w:val="21"/>
                      <w:u w:val="single"/>
                    </w:rPr>
                    <w:t>，</w:t>
                  </w:r>
                  <w:r>
                    <w:rPr>
                      <w:rFonts w:ascii="宋体" w:hAnsi="宋体"/>
                      <w:sz w:val="21"/>
                      <w:szCs w:val="21"/>
                      <w:u w:val="single"/>
                    </w:rPr>
                    <w:t>粪大肠菌群：个</w:t>
                  </w:r>
                  <w:r>
                    <w:rPr>
                      <w:sz w:val="21"/>
                      <w:szCs w:val="21"/>
                      <w:u w:val="single"/>
                    </w:rPr>
                    <w:t>/L</w:t>
                  </w:r>
                  <w:r>
                    <w:rPr>
                      <w:rFonts w:ascii="宋体" w:hAnsi="宋体"/>
                      <w:sz w:val="21"/>
                      <w:szCs w:val="21"/>
                      <w:u w:val="single"/>
                    </w:rPr>
                    <w:t>）</w:t>
                  </w:r>
                </w:p>
              </w:tc>
              <w:tc>
                <w:tcPr>
                  <w:tcW w:w="785" w:type="dxa"/>
                  <w:vMerge w:val="restart"/>
                  <w:vAlign w:val="center"/>
                </w:tcPr>
                <w:p w14:paraId="491FB32F">
                  <w:pPr>
                    <w:widowControl/>
                    <w:spacing w:line="240" w:lineRule="auto"/>
                    <w:jc w:val="center"/>
                    <w:textAlignment w:val="center"/>
                    <w:rPr>
                      <w:sz w:val="21"/>
                      <w:szCs w:val="21"/>
                      <w:u w:val="single"/>
                    </w:rPr>
                  </w:pPr>
                  <w:r>
                    <w:rPr>
                      <w:rFonts w:ascii="宋体" w:hAnsi="宋体"/>
                      <w:sz w:val="21"/>
                      <w:szCs w:val="21"/>
                      <w:u w:val="single"/>
                    </w:rPr>
                    <w:t>标准</w:t>
                  </w:r>
                </w:p>
                <w:p w14:paraId="6029EF82">
                  <w:pPr>
                    <w:widowControl/>
                    <w:spacing w:line="240" w:lineRule="auto"/>
                    <w:jc w:val="center"/>
                    <w:textAlignment w:val="center"/>
                    <w:rPr>
                      <w:sz w:val="21"/>
                      <w:szCs w:val="21"/>
                      <w:u w:val="single"/>
                    </w:rPr>
                  </w:pPr>
                  <w:r>
                    <w:rPr>
                      <w:rFonts w:ascii="宋体" w:hAnsi="宋体"/>
                      <w:sz w:val="21"/>
                      <w:szCs w:val="21"/>
                      <w:u w:val="single"/>
                    </w:rPr>
                    <w:t>限值</w:t>
                  </w:r>
                </w:p>
              </w:tc>
            </w:tr>
            <w:tr w14:paraId="3686F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CB4645B">
                  <w:pPr>
                    <w:widowControl/>
                    <w:spacing w:line="240" w:lineRule="auto"/>
                    <w:rPr>
                      <w:sz w:val="21"/>
                      <w:szCs w:val="21"/>
                      <w:u w:val="single"/>
                    </w:rPr>
                  </w:pPr>
                </w:p>
              </w:tc>
              <w:tc>
                <w:tcPr>
                  <w:tcW w:w="3338" w:type="dxa"/>
                  <w:gridSpan w:val="3"/>
                  <w:vAlign w:val="center"/>
                </w:tcPr>
                <w:p w14:paraId="7F7AB0E6">
                  <w:pPr>
                    <w:widowControl/>
                    <w:spacing w:line="240" w:lineRule="auto"/>
                    <w:jc w:val="center"/>
                    <w:textAlignment w:val="center"/>
                    <w:rPr>
                      <w:sz w:val="21"/>
                      <w:szCs w:val="21"/>
                      <w:u w:val="single"/>
                    </w:rPr>
                  </w:pPr>
                  <w:r>
                    <w:rPr>
                      <w:sz w:val="21"/>
                      <w:szCs w:val="21"/>
                      <w:u w:val="single"/>
                    </w:rPr>
                    <w:t>W1</w:t>
                  </w:r>
                </w:p>
                <w:p w14:paraId="20E17073">
                  <w:pPr>
                    <w:widowControl/>
                    <w:spacing w:line="240" w:lineRule="auto"/>
                    <w:jc w:val="center"/>
                    <w:textAlignment w:val="center"/>
                    <w:rPr>
                      <w:sz w:val="21"/>
                      <w:szCs w:val="21"/>
                      <w:u w:val="single"/>
                    </w:rPr>
                  </w:pPr>
                  <w:r>
                    <w:rPr>
                      <w:rFonts w:ascii="宋体" w:hAnsi="宋体"/>
                      <w:sz w:val="21"/>
                      <w:szCs w:val="21"/>
                      <w:u w:val="single"/>
                    </w:rPr>
                    <w:t>污水处理厂</w:t>
                  </w:r>
                  <w:r>
                    <w:rPr>
                      <w:sz w:val="21"/>
                      <w:szCs w:val="21"/>
                      <w:u w:val="single"/>
                    </w:rPr>
                    <w:t>(</w:t>
                  </w:r>
                  <w:r>
                    <w:rPr>
                      <w:rFonts w:ascii="宋体" w:hAnsi="宋体"/>
                      <w:sz w:val="21"/>
                      <w:szCs w:val="21"/>
                      <w:u w:val="single"/>
                    </w:rPr>
                    <w:t>小河江</w:t>
                  </w:r>
                  <w:r>
                    <w:rPr>
                      <w:sz w:val="21"/>
                      <w:szCs w:val="21"/>
                      <w:u w:val="single"/>
                    </w:rPr>
                    <w:t>)</w:t>
                  </w:r>
                  <w:r>
                    <w:rPr>
                      <w:rFonts w:ascii="宋体" w:hAnsi="宋体"/>
                      <w:sz w:val="21"/>
                      <w:szCs w:val="21"/>
                      <w:u w:val="single"/>
                    </w:rPr>
                    <w:t>下游</w:t>
                  </w:r>
                  <w:r>
                    <w:rPr>
                      <w:sz w:val="21"/>
                      <w:szCs w:val="21"/>
                      <w:u w:val="single"/>
                    </w:rPr>
                    <w:t>500m</w:t>
                  </w:r>
                </w:p>
              </w:tc>
              <w:tc>
                <w:tcPr>
                  <w:tcW w:w="3023" w:type="dxa"/>
                  <w:gridSpan w:val="3"/>
                  <w:vAlign w:val="center"/>
                </w:tcPr>
                <w:p w14:paraId="03A3C03A">
                  <w:pPr>
                    <w:widowControl/>
                    <w:spacing w:line="240" w:lineRule="auto"/>
                    <w:jc w:val="center"/>
                    <w:textAlignment w:val="center"/>
                    <w:rPr>
                      <w:sz w:val="21"/>
                      <w:szCs w:val="21"/>
                      <w:u w:val="single"/>
                    </w:rPr>
                  </w:pPr>
                  <w:r>
                    <w:rPr>
                      <w:sz w:val="21"/>
                      <w:szCs w:val="21"/>
                      <w:u w:val="single"/>
                    </w:rPr>
                    <w:t>W2</w:t>
                  </w:r>
                </w:p>
                <w:p w14:paraId="3C121962">
                  <w:pPr>
                    <w:widowControl/>
                    <w:spacing w:line="240" w:lineRule="auto"/>
                    <w:jc w:val="both"/>
                    <w:textAlignment w:val="center"/>
                    <w:rPr>
                      <w:sz w:val="21"/>
                      <w:szCs w:val="21"/>
                      <w:u w:val="single"/>
                    </w:rPr>
                  </w:pPr>
                  <w:r>
                    <w:rPr>
                      <w:rFonts w:ascii="宋体" w:hAnsi="宋体"/>
                      <w:sz w:val="21"/>
                      <w:szCs w:val="21"/>
                      <w:u w:val="single"/>
                    </w:rPr>
                    <w:t>污水处理厂</w:t>
                  </w:r>
                  <w:r>
                    <w:rPr>
                      <w:sz w:val="21"/>
                      <w:szCs w:val="21"/>
                      <w:u w:val="single"/>
                    </w:rPr>
                    <w:t>(</w:t>
                  </w:r>
                  <w:r>
                    <w:rPr>
                      <w:rFonts w:ascii="宋体" w:hAnsi="宋体"/>
                      <w:sz w:val="21"/>
                      <w:szCs w:val="21"/>
                      <w:u w:val="single"/>
                    </w:rPr>
                    <w:t>小河江</w:t>
                  </w:r>
                  <w:r>
                    <w:rPr>
                      <w:sz w:val="21"/>
                      <w:szCs w:val="21"/>
                      <w:u w:val="single"/>
                    </w:rPr>
                    <w:t>)</w:t>
                  </w:r>
                  <w:r>
                    <w:rPr>
                      <w:rFonts w:ascii="宋体" w:hAnsi="宋体"/>
                      <w:sz w:val="21"/>
                      <w:szCs w:val="21"/>
                      <w:u w:val="single"/>
                    </w:rPr>
                    <w:t>上游</w:t>
                  </w:r>
                  <w:r>
                    <w:rPr>
                      <w:sz w:val="21"/>
                      <w:szCs w:val="21"/>
                      <w:u w:val="single"/>
                    </w:rPr>
                    <w:t>500m</w:t>
                  </w:r>
                </w:p>
              </w:tc>
              <w:tc>
                <w:tcPr>
                  <w:tcW w:w="0" w:type="auto"/>
                  <w:vMerge w:val="continue"/>
                  <w:vAlign w:val="center"/>
                </w:tcPr>
                <w:p w14:paraId="1D6493CE">
                  <w:pPr>
                    <w:widowControl/>
                    <w:spacing w:line="240" w:lineRule="auto"/>
                    <w:rPr>
                      <w:sz w:val="21"/>
                      <w:szCs w:val="21"/>
                      <w:u w:val="single"/>
                    </w:rPr>
                  </w:pPr>
                </w:p>
              </w:tc>
            </w:tr>
            <w:tr w14:paraId="7F13A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730EA41F">
                  <w:pPr>
                    <w:widowControl/>
                    <w:spacing w:line="240" w:lineRule="auto"/>
                    <w:rPr>
                      <w:sz w:val="21"/>
                      <w:szCs w:val="21"/>
                      <w:u w:val="single"/>
                    </w:rPr>
                  </w:pPr>
                </w:p>
              </w:tc>
              <w:tc>
                <w:tcPr>
                  <w:tcW w:w="1219" w:type="dxa"/>
                  <w:vAlign w:val="center"/>
                </w:tcPr>
                <w:p w14:paraId="13BB1F04">
                  <w:pPr>
                    <w:widowControl/>
                    <w:spacing w:line="240" w:lineRule="auto"/>
                    <w:jc w:val="center"/>
                    <w:textAlignment w:val="center"/>
                    <w:rPr>
                      <w:sz w:val="21"/>
                      <w:szCs w:val="21"/>
                      <w:u w:val="single"/>
                    </w:rPr>
                  </w:pPr>
                  <w:r>
                    <w:rPr>
                      <w:sz w:val="21"/>
                      <w:szCs w:val="21"/>
                      <w:u w:val="single"/>
                    </w:rPr>
                    <w:t>2.13</w:t>
                  </w:r>
                </w:p>
              </w:tc>
              <w:tc>
                <w:tcPr>
                  <w:tcW w:w="1006" w:type="dxa"/>
                  <w:vAlign w:val="center"/>
                </w:tcPr>
                <w:p w14:paraId="0CA1A9B5">
                  <w:pPr>
                    <w:widowControl/>
                    <w:spacing w:line="240" w:lineRule="auto"/>
                    <w:jc w:val="center"/>
                    <w:textAlignment w:val="center"/>
                    <w:rPr>
                      <w:sz w:val="21"/>
                      <w:szCs w:val="21"/>
                      <w:u w:val="single"/>
                    </w:rPr>
                  </w:pPr>
                  <w:r>
                    <w:rPr>
                      <w:sz w:val="21"/>
                      <w:szCs w:val="21"/>
                      <w:u w:val="single"/>
                    </w:rPr>
                    <w:t>2.14</w:t>
                  </w:r>
                </w:p>
              </w:tc>
              <w:tc>
                <w:tcPr>
                  <w:tcW w:w="1113" w:type="dxa"/>
                  <w:vAlign w:val="center"/>
                </w:tcPr>
                <w:p w14:paraId="30F842A5">
                  <w:pPr>
                    <w:widowControl/>
                    <w:spacing w:line="240" w:lineRule="auto"/>
                    <w:jc w:val="center"/>
                    <w:textAlignment w:val="center"/>
                    <w:rPr>
                      <w:sz w:val="21"/>
                      <w:szCs w:val="21"/>
                      <w:u w:val="single"/>
                    </w:rPr>
                  </w:pPr>
                  <w:r>
                    <w:rPr>
                      <w:sz w:val="21"/>
                      <w:szCs w:val="21"/>
                      <w:u w:val="single"/>
                    </w:rPr>
                    <w:t>2.15</w:t>
                  </w:r>
                </w:p>
              </w:tc>
              <w:tc>
                <w:tcPr>
                  <w:tcW w:w="888" w:type="dxa"/>
                  <w:vAlign w:val="center"/>
                </w:tcPr>
                <w:p w14:paraId="3F218F21">
                  <w:pPr>
                    <w:widowControl/>
                    <w:spacing w:line="240" w:lineRule="auto"/>
                    <w:jc w:val="center"/>
                    <w:textAlignment w:val="center"/>
                    <w:rPr>
                      <w:sz w:val="21"/>
                      <w:szCs w:val="21"/>
                      <w:u w:val="single"/>
                    </w:rPr>
                  </w:pPr>
                  <w:r>
                    <w:rPr>
                      <w:sz w:val="21"/>
                      <w:szCs w:val="21"/>
                      <w:u w:val="single"/>
                    </w:rPr>
                    <w:t>2.13</w:t>
                  </w:r>
                </w:p>
              </w:tc>
              <w:tc>
                <w:tcPr>
                  <w:tcW w:w="1015" w:type="dxa"/>
                  <w:vAlign w:val="center"/>
                </w:tcPr>
                <w:p w14:paraId="057CC101">
                  <w:pPr>
                    <w:widowControl/>
                    <w:spacing w:line="240" w:lineRule="auto"/>
                    <w:jc w:val="center"/>
                    <w:textAlignment w:val="center"/>
                    <w:rPr>
                      <w:sz w:val="21"/>
                      <w:szCs w:val="21"/>
                      <w:u w:val="single"/>
                    </w:rPr>
                  </w:pPr>
                  <w:r>
                    <w:rPr>
                      <w:sz w:val="21"/>
                      <w:szCs w:val="21"/>
                      <w:u w:val="single"/>
                    </w:rPr>
                    <w:t>2.14</w:t>
                  </w:r>
                </w:p>
              </w:tc>
              <w:tc>
                <w:tcPr>
                  <w:tcW w:w="1120" w:type="dxa"/>
                  <w:vAlign w:val="center"/>
                </w:tcPr>
                <w:p w14:paraId="1E04F8F0">
                  <w:pPr>
                    <w:widowControl/>
                    <w:spacing w:line="240" w:lineRule="auto"/>
                    <w:jc w:val="center"/>
                    <w:textAlignment w:val="center"/>
                    <w:rPr>
                      <w:sz w:val="21"/>
                      <w:szCs w:val="21"/>
                      <w:u w:val="single"/>
                    </w:rPr>
                  </w:pPr>
                  <w:r>
                    <w:rPr>
                      <w:sz w:val="21"/>
                      <w:szCs w:val="21"/>
                      <w:u w:val="single"/>
                    </w:rPr>
                    <w:t>2.15</w:t>
                  </w:r>
                </w:p>
              </w:tc>
              <w:tc>
                <w:tcPr>
                  <w:tcW w:w="0" w:type="auto"/>
                  <w:vMerge w:val="continue"/>
                  <w:vAlign w:val="center"/>
                </w:tcPr>
                <w:p w14:paraId="3FCEE428">
                  <w:pPr>
                    <w:widowControl/>
                    <w:spacing w:line="240" w:lineRule="auto"/>
                    <w:rPr>
                      <w:sz w:val="21"/>
                      <w:szCs w:val="21"/>
                      <w:u w:val="single"/>
                    </w:rPr>
                  </w:pPr>
                </w:p>
              </w:tc>
            </w:tr>
            <w:tr w14:paraId="58D0E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30ABCB7A">
                  <w:pPr>
                    <w:spacing w:line="240" w:lineRule="auto"/>
                    <w:jc w:val="center"/>
                    <w:rPr>
                      <w:sz w:val="21"/>
                      <w:szCs w:val="21"/>
                      <w:u w:val="single"/>
                    </w:rPr>
                  </w:pPr>
                  <w:r>
                    <w:rPr>
                      <w:sz w:val="21"/>
                      <w:szCs w:val="21"/>
                      <w:u w:val="single"/>
                    </w:rPr>
                    <w:t>pH</w:t>
                  </w:r>
                </w:p>
              </w:tc>
              <w:tc>
                <w:tcPr>
                  <w:tcW w:w="1219" w:type="dxa"/>
                  <w:vAlign w:val="center"/>
                </w:tcPr>
                <w:p w14:paraId="49A9E38F">
                  <w:pPr>
                    <w:spacing w:line="240" w:lineRule="auto"/>
                    <w:jc w:val="center"/>
                    <w:rPr>
                      <w:color w:val="000000"/>
                      <w:sz w:val="21"/>
                      <w:szCs w:val="21"/>
                      <w:u w:val="single"/>
                    </w:rPr>
                  </w:pPr>
                  <w:r>
                    <w:rPr>
                      <w:color w:val="000000"/>
                      <w:sz w:val="21"/>
                      <w:szCs w:val="21"/>
                      <w:u w:val="single"/>
                    </w:rPr>
                    <w:t>7.1</w:t>
                  </w:r>
                </w:p>
              </w:tc>
              <w:tc>
                <w:tcPr>
                  <w:tcW w:w="1006" w:type="dxa"/>
                  <w:vAlign w:val="center"/>
                </w:tcPr>
                <w:p w14:paraId="158BAF6E">
                  <w:pPr>
                    <w:spacing w:line="240" w:lineRule="auto"/>
                    <w:jc w:val="center"/>
                    <w:rPr>
                      <w:color w:val="000000"/>
                      <w:sz w:val="21"/>
                      <w:szCs w:val="21"/>
                      <w:u w:val="single"/>
                    </w:rPr>
                  </w:pPr>
                  <w:r>
                    <w:rPr>
                      <w:color w:val="000000"/>
                      <w:sz w:val="21"/>
                      <w:szCs w:val="21"/>
                      <w:u w:val="single"/>
                    </w:rPr>
                    <w:t>7.2</w:t>
                  </w:r>
                </w:p>
              </w:tc>
              <w:tc>
                <w:tcPr>
                  <w:tcW w:w="1113" w:type="dxa"/>
                  <w:vAlign w:val="center"/>
                </w:tcPr>
                <w:p w14:paraId="2AD5D791">
                  <w:pPr>
                    <w:spacing w:line="240" w:lineRule="auto"/>
                    <w:jc w:val="center"/>
                    <w:rPr>
                      <w:color w:val="000000"/>
                      <w:sz w:val="21"/>
                      <w:szCs w:val="21"/>
                      <w:u w:val="single"/>
                    </w:rPr>
                  </w:pPr>
                  <w:r>
                    <w:rPr>
                      <w:color w:val="000000"/>
                      <w:sz w:val="21"/>
                      <w:szCs w:val="21"/>
                      <w:u w:val="single"/>
                    </w:rPr>
                    <w:t>7.1</w:t>
                  </w:r>
                </w:p>
              </w:tc>
              <w:tc>
                <w:tcPr>
                  <w:tcW w:w="888" w:type="dxa"/>
                  <w:vAlign w:val="center"/>
                </w:tcPr>
                <w:p w14:paraId="68BBAFE3">
                  <w:pPr>
                    <w:spacing w:line="240" w:lineRule="auto"/>
                    <w:jc w:val="center"/>
                    <w:rPr>
                      <w:color w:val="000000"/>
                      <w:sz w:val="21"/>
                      <w:szCs w:val="21"/>
                      <w:u w:val="single"/>
                    </w:rPr>
                  </w:pPr>
                  <w:r>
                    <w:rPr>
                      <w:color w:val="000000"/>
                      <w:sz w:val="21"/>
                      <w:szCs w:val="21"/>
                      <w:u w:val="single"/>
                    </w:rPr>
                    <w:t>7.2</w:t>
                  </w:r>
                </w:p>
              </w:tc>
              <w:tc>
                <w:tcPr>
                  <w:tcW w:w="1015" w:type="dxa"/>
                  <w:vAlign w:val="center"/>
                </w:tcPr>
                <w:p w14:paraId="03578BFB">
                  <w:pPr>
                    <w:spacing w:line="240" w:lineRule="auto"/>
                    <w:jc w:val="center"/>
                    <w:rPr>
                      <w:color w:val="000000"/>
                      <w:sz w:val="21"/>
                      <w:szCs w:val="21"/>
                      <w:u w:val="single"/>
                    </w:rPr>
                  </w:pPr>
                  <w:r>
                    <w:rPr>
                      <w:color w:val="000000"/>
                      <w:sz w:val="21"/>
                      <w:szCs w:val="21"/>
                      <w:u w:val="single"/>
                    </w:rPr>
                    <w:t>7.1</w:t>
                  </w:r>
                </w:p>
              </w:tc>
              <w:tc>
                <w:tcPr>
                  <w:tcW w:w="1120" w:type="dxa"/>
                  <w:vAlign w:val="center"/>
                </w:tcPr>
                <w:p w14:paraId="50A1E0F8">
                  <w:pPr>
                    <w:spacing w:line="240" w:lineRule="auto"/>
                    <w:jc w:val="center"/>
                    <w:rPr>
                      <w:color w:val="000000"/>
                      <w:sz w:val="21"/>
                      <w:szCs w:val="21"/>
                      <w:u w:val="single"/>
                    </w:rPr>
                  </w:pPr>
                  <w:r>
                    <w:rPr>
                      <w:color w:val="000000"/>
                      <w:sz w:val="21"/>
                      <w:szCs w:val="21"/>
                      <w:u w:val="single"/>
                    </w:rPr>
                    <w:t>7.2</w:t>
                  </w:r>
                </w:p>
              </w:tc>
              <w:tc>
                <w:tcPr>
                  <w:tcW w:w="785" w:type="dxa"/>
                  <w:vAlign w:val="center"/>
                </w:tcPr>
                <w:p w14:paraId="6D405A31">
                  <w:pPr>
                    <w:widowControl/>
                    <w:spacing w:line="240" w:lineRule="auto"/>
                    <w:jc w:val="center"/>
                    <w:textAlignment w:val="center"/>
                    <w:rPr>
                      <w:sz w:val="21"/>
                      <w:szCs w:val="21"/>
                      <w:u w:val="single"/>
                    </w:rPr>
                  </w:pPr>
                  <w:r>
                    <w:rPr>
                      <w:sz w:val="21"/>
                      <w:szCs w:val="21"/>
                      <w:u w:val="single"/>
                    </w:rPr>
                    <w:t>6-9</w:t>
                  </w:r>
                </w:p>
              </w:tc>
            </w:tr>
            <w:tr w14:paraId="11BCF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61B9B0BD">
                  <w:pPr>
                    <w:widowControl/>
                    <w:spacing w:line="240" w:lineRule="auto"/>
                    <w:jc w:val="center"/>
                    <w:textAlignment w:val="center"/>
                    <w:rPr>
                      <w:sz w:val="21"/>
                      <w:szCs w:val="21"/>
                      <w:u w:val="single"/>
                    </w:rPr>
                  </w:pPr>
                  <w:r>
                    <w:rPr>
                      <w:sz w:val="21"/>
                      <w:szCs w:val="21"/>
                      <w:u w:val="single"/>
                    </w:rPr>
                    <w:t>COD</w:t>
                  </w:r>
                </w:p>
              </w:tc>
              <w:tc>
                <w:tcPr>
                  <w:tcW w:w="1219" w:type="dxa"/>
                  <w:vAlign w:val="center"/>
                </w:tcPr>
                <w:p w14:paraId="2BBE2CE9">
                  <w:pPr>
                    <w:spacing w:line="240" w:lineRule="auto"/>
                    <w:jc w:val="center"/>
                    <w:rPr>
                      <w:color w:val="000000"/>
                      <w:sz w:val="21"/>
                      <w:szCs w:val="21"/>
                      <w:u w:val="single"/>
                    </w:rPr>
                  </w:pPr>
                  <w:r>
                    <w:rPr>
                      <w:color w:val="000000"/>
                      <w:sz w:val="21"/>
                      <w:szCs w:val="21"/>
                      <w:u w:val="single"/>
                    </w:rPr>
                    <w:t>15</w:t>
                  </w:r>
                </w:p>
              </w:tc>
              <w:tc>
                <w:tcPr>
                  <w:tcW w:w="1006" w:type="dxa"/>
                  <w:vAlign w:val="center"/>
                </w:tcPr>
                <w:p w14:paraId="39CDAFDA">
                  <w:pPr>
                    <w:spacing w:line="240" w:lineRule="auto"/>
                    <w:jc w:val="center"/>
                    <w:rPr>
                      <w:color w:val="000000"/>
                      <w:sz w:val="21"/>
                      <w:szCs w:val="21"/>
                      <w:u w:val="single"/>
                    </w:rPr>
                  </w:pPr>
                  <w:r>
                    <w:rPr>
                      <w:color w:val="000000"/>
                      <w:sz w:val="21"/>
                      <w:szCs w:val="21"/>
                      <w:u w:val="single"/>
                    </w:rPr>
                    <w:t>14</w:t>
                  </w:r>
                </w:p>
              </w:tc>
              <w:tc>
                <w:tcPr>
                  <w:tcW w:w="1113" w:type="dxa"/>
                  <w:vAlign w:val="center"/>
                </w:tcPr>
                <w:p w14:paraId="22E0036E">
                  <w:pPr>
                    <w:spacing w:line="240" w:lineRule="auto"/>
                    <w:jc w:val="center"/>
                    <w:rPr>
                      <w:color w:val="000000"/>
                      <w:sz w:val="21"/>
                      <w:szCs w:val="21"/>
                      <w:u w:val="single"/>
                    </w:rPr>
                  </w:pPr>
                  <w:r>
                    <w:rPr>
                      <w:color w:val="000000"/>
                      <w:sz w:val="21"/>
                      <w:szCs w:val="21"/>
                      <w:u w:val="single"/>
                    </w:rPr>
                    <w:t>15</w:t>
                  </w:r>
                </w:p>
              </w:tc>
              <w:tc>
                <w:tcPr>
                  <w:tcW w:w="888" w:type="dxa"/>
                  <w:vAlign w:val="center"/>
                </w:tcPr>
                <w:p w14:paraId="06F06683">
                  <w:pPr>
                    <w:spacing w:line="240" w:lineRule="auto"/>
                    <w:jc w:val="center"/>
                    <w:rPr>
                      <w:color w:val="000000"/>
                      <w:sz w:val="21"/>
                      <w:szCs w:val="21"/>
                      <w:u w:val="single"/>
                    </w:rPr>
                  </w:pPr>
                  <w:r>
                    <w:rPr>
                      <w:color w:val="000000"/>
                      <w:sz w:val="21"/>
                      <w:szCs w:val="21"/>
                      <w:u w:val="single"/>
                    </w:rPr>
                    <w:t>12</w:t>
                  </w:r>
                </w:p>
              </w:tc>
              <w:tc>
                <w:tcPr>
                  <w:tcW w:w="1015" w:type="dxa"/>
                  <w:vAlign w:val="center"/>
                </w:tcPr>
                <w:p w14:paraId="4F995102">
                  <w:pPr>
                    <w:spacing w:line="240" w:lineRule="auto"/>
                    <w:jc w:val="center"/>
                    <w:rPr>
                      <w:color w:val="000000"/>
                      <w:sz w:val="21"/>
                      <w:szCs w:val="21"/>
                      <w:u w:val="single"/>
                    </w:rPr>
                  </w:pPr>
                  <w:r>
                    <w:rPr>
                      <w:color w:val="000000"/>
                      <w:sz w:val="21"/>
                      <w:szCs w:val="21"/>
                      <w:u w:val="single"/>
                    </w:rPr>
                    <w:t>11</w:t>
                  </w:r>
                </w:p>
              </w:tc>
              <w:tc>
                <w:tcPr>
                  <w:tcW w:w="1120" w:type="dxa"/>
                  <w:vAlign w:val="center"/>
                </w:tcPr>
                <w:p w14:paraId="47C59404">
                  <w:pPr>
                    <w:spacing w:line="240" w:lineRule="auto"/>
                    <w:jc w:val="center"/>
                    <w:rPr>
                      <w:color w:val="000000"/>
                      <w:sz w:val="21"/>
                      <w:szCs w:val="21"/>
                      <w:u w:val="single"/>
                    </w:rPr>
                  </w:pPr>
                  <w:r>
                    <w:rPr>
                      <w:color w:val="000000"/>
                      <w:sz w:val="21"/>
                      <w:szCs w:val="21"/>
                      <w:u w:val="single"/>
                    </w:rPr>
                    <w:t>11</w:t>
                  </w:r>
                </w:p>
              </w:tc>
              <w:tc>
                <w:tcPr>
                  <w:tcW w:w="785" w:type="dxa"/>
                  <w:vAlign w:val="center"/>
                </w:tcPr>
                <w:p w14:paraId="01CC3293">
                  <w:pPr>
                    <w:widowControl/>
                    <w:spacing w:line="240" w:lineRule="auto"/>
                    <w:jc w:val="center"/>
                    <w:textAlignment w:val="center"/>
                    <w:rPr>
                      <w:sz w:val="21"/>
                      <w:szCs w:val="21"/>
                      <w:u w:val="single"/>
                    </w:rPr>
                  </w:pPr>
                  <w:r>
                    <w:rPr>
                      <w:sz w:val="21"/>
                      <w:szCs w:val="21"/>
                      <w:u w:val="single"/>
                    </w:rPr>
                    <w:t>20</w:t>
                  </w:r>
                </w:p>
              </w:tc>
            </w:tr>
            <w:tr w14:paraId="4193A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189F46A7">
                  <w:pPr>
                    <w:widowControl/>
                    <w:spacing w:line="240" w:lineRule="auto"/>
                    <w:jc w:val="center"/>
                    <w:textAlignment w:val="center"/>
                    <w:rPr>
                      <w:sz w:val="21"/>
                      <w:szCs w:val="21"/>
                      <w:u w:val="single"/>
                    </w:rPr>
                  </w:pPr>
                  <w:r>
                    <w:rPr>
                      <w:sz w:val="21"/>
                      <w:szCs w:val="21"/>
                      <w:u w:val="single"/>
                    </w:rPr>
                    <w:t>BOD</w:t>
                  </w:r>
                  <w:r>
                    <w:rPr>
                      <w:sz w:val="21"/>
                      <w:szCs w:val="21"/>
                      <w:u w:val="single"/>
                      <w:vertAlign w:val="subscript"/>
                    </w:rPr>
                    <w:t>5</w:t>
                  </w:r>
                </w:p>
              </w:tc>
              <w:tc>
                <w:tcPr>
                  <w:tcW w:w="1219" w:type="dxa"/>
                  <w:vAlign w:val="center"/>
                </w:tcPr>
                <w:p w14:paraId="3166424B">
                  <w:pPr>
                    <w:spacing w:line="240" w:lineRule="auto"/>
                    <w:jc w:val="center"/>
                    <w:rPr>
                      <w:color w:val="000000"/>
                      <w:sz w:val="21"/>
                      <w:szCs w:val="21"/>
                      <w:u w:val="single"/>
                    </w:rPr>
                  </w:pPr>
                  <w:r>
                    <w:rPr>
                      <w:color w:val="000000"/>
                      <w:sz w:val="21"/>
                      <w:szCs w:val="21"/>
                      <w:u w:val="single"/>
                    </w:rPr>
                    <w:t>2.9</w:t>
                  </w:r>
                </w:p>
              </w:tc>
              <w:tc>
                <w:tcPr>
                  <w:tcW w:w="1006" w:type="dxa"/>
                  <w:vAlign w:val="center"/>
                </w:tcPr>
                <w:p w14:paraId="3B0A17FB">
                  <w:pPr>
                    <w:spacing w:line="240" w:lineRule="auto"/>
                    <w:jc w:val="center"/>
                    <w:rPr>
                      <w:color w:val="000000"/>
                      <w:sz w:val="21"/>
                      <w:szCs w:val="21"/>
                      <w:u w:val="single"/>
                    </w:rPr>
                  </w:pPr>
                  <w:r>
                    <w:rPr>
                      <w:color w:val="000000"/>
                      <w:sz w:val="21"/>
                      <w:szCs w:val="21"/>
                      <w:u w:val="single"/>
                    </w:rPr>
                    <w:t>2.8</w:t>
                  </w:r>
                </w:p>
              </w:tc>
              <w:tc>
                <w:tcPr>
                  <w:tcW w:w="1113" w:type="dxa"/>
                  <w:vAlign w:val="center"/>
                </w:tcPr>
                <w:p w14:paraId="0D46BEC5">
                  <w:pPr>
                    <w:spacing w:line="240" w:lineRule="auto"/>
                    <w:jc w:val="center"/>
                    <w:rPr>
                      <w:color w:val="000000"/>
                      <w:sz w:val="21"/>
                      <w:szCs w:val="21"/>
                      <w:u w:val="single"/>
                    </w:rPr>
                  </w:pPr>
                  <w:r>
                    <w:rPr>
                      <w:color w:val="000000"/>
                      <w:sz w:val="21"/>
                      <w:szCs w:val="21"/>
                      <w:u w:val="single"/>
                    </w:rPr>
                    <w:t>2.8</w:t>
                  </w:r>
                </w:p>
              </w:tc>
              <w:tc>
                <w:tcPr>
                  <w:tcW w:w="888" w:type="dxa"/>
                  <w:vAlign w:val="center"/>
                </w:tcPr>
                <w:p w14:paraId="6E114316">
                  <w:pPr>
                    <w:spacing w:line="240" w:lineRule="auto"/>
                    <w:jc w:val="center"/>
                    <w:rPr>
                      <w:color w:val="000000"/>
                      <w:sz w:val="21"/>
                      <w:szCs w:val="21"/>
                      <w:u w:val="single"/>
                    </w:rPr>
                  </w:pPr>
                  <w:r>
                    <w:rPr>
                      <w:color w:val="000000"/>
                      <w:sz w:val="21"/>
                      <w:szCs w:val="21"/>
                      <w:u w:val="single"/>
                    </w:rPr>
                    <w:t>2.6</w:t>
                  </w:r>
                </w:p>
              </w:tc>
              <w:tc>
                <w:tcPr>
                  <w:tcW w:w="1015" w:type="dxa"/>
                  <w:vAlign w:val="center"/>
                </w:tcPr>
                <w:p w14:paraId="274793B0">
                  <w:pPr>
                    <w:spacing w:line="240" w:lineRule="auto"/>
                    <w:jc w:val="center"/>
                    <w:rPr>
                      <w:color w:val="000000"/>
                      <w:sz w:val="21"/>
                      <w:szCs w:val="21"/>
                      <w:u w:val="single"/>
                    </w:rPr>
                  </w:pPr>
                  <w:r>
                    <w:rPr>
                      <w:color w:val="000000"/>
                      <w:sz w:val="21"/>
                      <w:szCs w:val="21"/>
                      <w:u w:val="single"/>
                    </w:rPr>
                    <w:t>2.4</w:t>
                  </w:r>
                </w:p>
              </w:tc>
              <w:tc>
                <w:tcPr>
                  <w:tcW w:w="1120" w:type="dxa"/>
                  <w:vAlign w:val="center"/>
                </w:tcPr>
                <w:p w14:paraId="7FF9819A">
                  <w:pPr>
                    <w:spacing w:line="240" w:lineRule="auto"/>
                    <w:jc w:val="center"/>
                    <w:rPr>
                      <w:color w:val="000000"/>
                      <w:sz w:val="21"/>
                      <w:szCs w:val="21"/>
                      <w:u w:val="single"/>
                    </w:rPr>
                  </w:pPr>
                  <w:r>
                    <w:rPr>
                      <w:color w:val="000000"/>
                      <w:sz w:val="21"/>
                      <w:szCs w:val="21"/>
                      <w:u w:val="single"/>
                    </w:rPr>
                    <w:t>2.5</w:t>
                  </w:r>
                </w:p>
              </w:tc>
              <w:tc>
                <w:tcPr>
                  <w:tcW w:w="785" w:type="dxa"/>
                  <w:vAlign w:val="center"/>
                </w:tcPr>
                <w:p w14:paraId="21EDF9C4">
                  <w:pPr>
                    <w:widowControl/>
                    <w:spacing w:line="240" w:lineRule="auto"/>
                    <w:jc w:val="center"/>
                    <w:textAlignment w:val="center"/>
                    <w:rPr>
                      <w:sz w:val="21"/>
                      <w:szCs w:val="21"/>
                      <w:u w:val="single"/>
                    </w:rPr>
                  </w:pPr>
                  <w:r>
                    <w:rPr>
                      <w:sz w:val="21"/>
                      <w:szCs w:val="21"/>
                      <w:u w:val="single"/>
                    </w:rPr>
                    <w:t>4</w:t>
                  </w:r>
                </w:p>
              </w:tc>
            </w:tr>
            <w:tr w14:paraId="5F7AD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57B142E0">
                  <w:pPr>
                    <w:spacing w:line="240" w:lineRule="auto"/>
                    <w:jc w:val="center"/>
                    <w:rPr>
                      <w:sz w:val="21"/>
                      <w:szCs w:val="21"/>
                      <w:u w:val="single"/>
                    </w:rPr>
                  </w:pPr>
                  <w:r>
                    <w:rPr>
                      <w:rFonts w:ascii="宋体" w:hAnsi="宋体"/>
                      <w:sz w:val="21"/>
                      <w:szCs w:val="21"/>
                      <w:u w:val="single"/>
                    </w:rPr>
                    <w:t>氨氮</w:t>
                  </w:r>
                </w:p>
              </w:tc>
              <w:tc>
                <w:tcPr>
                  <w:tcW w:w="1219" w:type="dxa"/>
                  <w:vAlign w:val="center"/>
                </w:tcPr>
                <w:p w14:paraId="465F7C71">
                  <w:pPr>
                    <w:spacing w:line="240" w:lineRule="auto"/>
                    <w:jc w:val="center"/>
                    <w:rPr>
                      <w:color w:val="000000"/>
                      <w:sz w:val="21"/>
                      <w:szCs w:val="21"/>
                      <w:u w:val="single"/>
                    </w:rPr>
                  </w:pPr>
                  <w:r>
                    <w:rPr>
                      <w:sz w:val="21"/>
                      <w:szCs w:val="21"/>
                      <w:u w:val="single"/>
                    </w:rPr>
                    <w:t>0.295</w:t>
                  </w:r>
                </w:p>
              </w:tc>
              <w:tc>
                <w:tcPr>
                  <w:tcW w:w="1006" w:type="dxa"/>
                  <w:vAlign w:val="center"/>
                </w:tcPr>
                <w:p w14:paraId="5835D88F">
                  <w:pPr>
                    <w:spacing w:line="240" w:lineRule="auto"/>
                    <w:jc w:val="center"/>
                    <w:rPr>
                      <w:color w:val="000000"/>
                      <w:sz w:val="21"/>
                      <w:szCs w:val="21"/>
                      <w:u w:val="single"/>
                    </w:rPr>
                  </w:pPr>
                  <w:r>
                    <w:rPr>
                      <w:color w:val="000000"/>
                      <w:sz w:val="21"/>
                      <w:szCs w:val="21"/>
                      <w:u w:val="single"/>
                    </w:rPr>
                    <w:t>0.285</w:t>
                  </w:r>
                </w:p>
              </w:tc>
              <w:tc>
                <w:tcPr>
                  <w:tcW w:w="1113" w:type="dxa"/>
                  <w:vAlign w:val="center"/>
                </w:tcPr>
                <w:p w14:paraId="24C1DA2A">
                  <w:pPr>
                    <w:spacing w:line="240" w:lineRule="auto"/>
                    <w:jc w:val="center"/>
                    <w:rPr>
                      <w:color w:val="000000"/>
                      <w:sz w:val="21"/>
                      <w:szCs w:val="21"/>
                      <w:u w:val="single"/>
                    </w:rPr>
                  </w:pPr>
                  <w:r>
                    <w:rPr>
                      <w:color w:val="000000"/>
                      <w:sz w:val="21"/>
                      <w:szCs w:val="21"/>
                      <w:u w:val="single"/>
                    </w:rPr>
                    <w:t>0.291</w:t>
                  </w:r>
                </w:p>
              </w:tc>
              <w:tc>
                <w:tcPr>
                  <w:tcW w:w="888" w:type="dxa"/>
                  <w:vAlign w:val="center"/>
                </w:tcPr>
                <w:p w14:paraId="3BDB4C88">
                  <w:pPr>
                    <w:spacing w:line="240" w:lineRule="auto"/>
                    <w:jc w:val="center"/>
                    <w:rPr>
                      <w:color w:val="000000"/>
                      <w:sz w:val="21"/>
                      <w:szCs w:val="21"/>
                      <w:u w:val="single"/>
                    </w:rPr>
                  </w:pPr>
                  <w:r>
                    <w:rPr>
                      <w:color w:val="000000"/>
                      <w:sz w:val="21"/>
                      <w:szCs w:val="21"/>
                      <w:u w:val="single"/>
                    </w:rPr>
                    <w:t>0.190</w:t>
                  </w:r>
                </w:p>
              </w:tc>
              <w:tc>
                <w:tcPr>
                  <w:tcW w:w="1015" w:type="dxa"/>
                  <w:vAlign w:val="center"/>
                </w:tcPr>
                <w:p w14:paraId="6713DDFD">
                  <w:pPr>
                    <w:spacing w:line="240" w:lineRule="auto"/>
                    <w:jc w:val="center"/>
                    <w:rPr>
                      <w:color w:val="000000"/>
                      <w:sz w:val="21"/>
                      <w:szCs w:val="21"/>
                      <w:u w:val="single"/>
                    </w:rPr>
                  </w:pPr>
                  <w:r>
                    <w:rPr>
                      <w:color w:val="000000"/>
                      <w:sz w:val="21"/>
                      <w:szCs w:val="21"/>
                      <w:u w:val="single"/>
                    </w:rPr>
                    <w:t>0.187</w:t>
                  </w:r>
                </w:p>
              </w:tc>
              <w:tc>
                <w:tcPr>
                  <w:tcW w:w="1120" w:type="dxa"/>
                  <w:vAlign w:val="center"/>
                </w:tcPr>
                <w:p w14:paraId="003811EC">
                  <w:pPr>
                    <w:spacing w:line="240" w:lineRule="auto"/>
                    <w:jc w:val="center"/>
                    <w:rPr>
                      <w:color w:val="000000"/>
                      <w:sz w:val="21"/>
                      <w:szCs w:val="21"/>
                      <w:u w:val="single"/>
                    </w:rPr>
                  </w:pPr>
                  <w:r>
                    <w:rPr>
                      <w:color w:val="000000"/>
                      <w:sz w:val="21"/>
                      <w:szCs w:val="21"/>
                      <w:u w:val="single"/>
                    </w:rPr>
                    <w:t>0.194</w:t>
                  </w:r>
                </w:p>
              </w:tc>
              <w:tc>
                <w:tcPr>
                  <w:tcW w:w="785" w:type="dxa"/>
                  <w:vAlign w:val="center"/>
                </w:tcPr>
                <w:p w14:paraId="02144A81">
                  <w:pPr>
                    <w:widowControl/>
                    <w:spacing w:line="240" w:lineRule="auto"/>
                    <w:jc w:val="center"/>
                    <w:textAlignment w:val="center"/>
                    <w:rPr>
                      <w:sz w:val="21"/>
                      <w:szCs w:val="21"/>
                      <w:u w:val="single"/>
                    </w:rPr>
                  </w:pPr>
                  <w:r>
                    <w:rPr>
                      <w:color w:val="000000"/>
                      <w:sz w:val="21"/>
                      <w:szCs w:val="21"/>
                      <w:u w:val="single"/>
                    </w:rPr>
                    <w:t>1.0</w:t>
                  </w:r>
                </w:p>
              </w:tc>
            </w:tr>
            <w:tr w14:paraId="47A19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070D27B8">
                  <w:pPr>
                    <w:widowControl/>
                    <w:spacing w:line="240" w:lineRule="auto"/>
                    <w:jc w:val="center"/>
                    <w:textAlignment w:val="center"/>
                    <w:rPr>
                      <w:sz w:val="21"/>
                      <w:szCs w:val="21"/>
                      <w:u w:val="single"/>
                    </w:rPr>
                  </w:pPr>
                  <w:r>
                    <w:rPr>
                      <w:sz w:val="21"/>
                      <w:szCs w:val="21"/>
                      <w:u w:val="single"/>
                    </w:rPr>
                    <w:t>SS</w:t>
                  </w:r>
                </w:p>
              </w:tc>
              <w:tc>
                <w:tcPr>
                  <w:tcW w:w="1219" w:type="dxa"/>
                  <w:vAlign w:val="center"/>
                </w:tcPr>
                <w:p w14:paraId="1EB97811">
                  <w:pPr>
                    <w:spacing w:line="240" w:lineRule="auto"/>
                    <w:jc w:val="center"/>
                    <w:rPr>
                      <w:color w:val="000000"/>
                      <w:sz w:val="21"/>
                      <w:szCs w:val="21"/>
                      <w:u w:val="single"/>
                    </w:rPr>
                  </w:pPr>
                  <w:r>
                    <w:rPr>
                      <w:color w:val="000000"/>
                      <w:sz w:val="21"/>
                      <w:szCs w:val="21"/>
                      <w:u w:val="single"/>
                    </w:rPr>
                    <w:t>14</w:t>
                  </w:r>
                </w:p>
              </w:tc>
              <w:tc>
                <w:tcPr>
                  <w:tcW w:w="1006" w:type="dxa"/>
                  <w:vAlign w:val="center"/>
                </w:tcPr>
                <w:p w14:paraId="4C3FDCD2">
                  <w:pPr>
                    <w:spacing w:line="240" w:lineRule="auto"/>
                    <w:jc w:val="center"/>
                    <w:rPr>
                      <w:color w:val="000000"/>
                      <w:sz w:val="21"/>
                      <w:szCs w:val="21"/>
                      <w:u w:val="single"/>
                    </w:rPr>
                  </w:pPr>
                  <w:r>
                    <w:rPr>
                      <w:color w:val="000000"/>
                      <w:sz w:val="21"/>
                      <w:szCs w:val="21"/>
                      <w:u w:val="single"/>
                    </w:rPr>
                    <w:t>13</w:t>
                  </w:r>
                </w:p>
              </w:tc>
              <w:tc>
                <w:tcPr>
                  <w:tcW w:w="1113" w:type="dxa"/>
                  <w:vAlign w:val="center"/>
                </w:tcPr>
                <w:p w14:paraId="49074A6B">
                  <w:pPr>
                    <w:spacing w:line="240" w:lineRule="auto"/>
                    <w:jc w:val="center"/>
                    <w:rPr>
                      <w:color w:val="000000"/>
                      <w:sz w:val="21"/>
                      <w:szCs w:val="21"/>
                      <w:u w:val="single"/>
                    </w:rPr>
                  </w:pPr>
                  <w:r>
                    <w:rPr>
                      <w:color w:val="000000"/>
                      <w:sz w:val="21"/>
                      <w:szCs w:val="21"/>
                      <w:u w:val="single"/>
                    </w:rPr>
                    <w:t>13</w:t>
                  </w:r>
                </w:p>
              </w:tc>
              <w:tc>
                <w:tcPr>
                  <w:tcW w:w="888" w:type="dxa"/>
                  <w:vAlign w:val="center"/>
                </w:tcPr>
                <w:p w14:paraId="37BEB474">
                  <w:pPr>
                    <w:spacing w:line="240" w:lineRule="auto"/>
                    <w:jc w:val="center"/>
                    <w:rPr>
                      <w:color w:val="000000"/>
                      <w:sz w:val="21"/>
                      <w:szCs w:val="21"/>
                      <w:u w:val="single"/>
                    </w:rPr>
                  </w:pPr>
                  <w:r>
                    <w:rPr>
                      <w:color w:val="000000"/>
                      <w:sz w:val="21"/>
                      <w:szCs w:val="21"/>
                      <w:u w:val="single"/>
                    </w:rPr>
                    <w:t>10</w:t>
                  </w:r>
                </w:p>
              </w:tc>
              <w:tc>
                <w:tcPr>
                  <w:tcW w:w="1015" w:type="dxa"/>
                  <w:vAlign w:val="center"/>
                </w:tcPr>
                <w:p w14:paraId="2A1D87DB">
                  <w:pPr>
                    <w:spacing w:line="240" w:lineRule="auto"/>
                    <w:jc w:val="center"/>
                    <w:rPr>
                      <w:color w:val="000000"/>
                      <w:sz w:val="21"/>
                      <w:szCs w:val="21"/>
                      <w:u w:val="single"/>
                    </w:rPr>
                  </w:pPr>
                  <w:r>
                    <w:rPr>
                      <w:color w:val="000000"/>
                      <w:sz w:val="21"/>
                      <w:szCs w:val="21"/>
                      <w:u w:val="single"/>
                    </w:rPr>
                    <w:t>9</w:t>
                  </w:r>
                </w:p>
              </w:tc>
              <w:tc>
                <w:tcPr>
                  <w:tcW w:w="1120" w:type="dxa"/>
                  <w:vAlign w:val="center"/>
                </w:tcPr>
                <w:p w14:paraId="49F19B80">
                  <w:pPr>
                    <w:spacing w:line="240" w:lineRule="auto"/>
                    <w:jc w:val="center"/>
                    <w:rPr>
                      <w:color w:val="000000"/>
                      <w:sz w:val="21"/>
                      <w:szCs w:val="21"/>
                      <w:u w:val="single"/>
                    </w:rPr>
                  </w:pPr>
                  <w:r>
                    <w:rPr>
                      <w:color w:val="000000"/>
                      <w:sz w:val="21"/>
                      <w:szCs w:val="21"/>
                      <w:u w:val="single"/>
                    </w:rPr>
                    <w:t>10</w:t>
                  </w:r>
                </w:p>
              </w:tc>
              <w:tc>
                <w:tcPr>
                  <w:tcW w:w="785" w:type="dxa"/>
                  <w:vAlign w:val="center"/>
                </w:tcPr>
                <w:p w14:paraId="54E74727">
                  <w:pPr>
                    <w:widowControl/>
                    <w:spacing w:line="240" w:lineRule="auto"/>
                    <w:jc w:val="center"/>
                    <w:textAlignment w:val="center"/>
                    <w:rPr>
                      <w:sz w:val="21"/>
                      <w:szCs w:val="21"/>
                      <w:u w:val="single"/>
                    </w:rPr>
                  </w:pPr>
                  <w:r>
                    <w:rPr>
                      <w:sz w:val="21"/>
                      <w:szCs w:val="21"/>
                      <w:u w:val="single"/>
                    </w:rPr>
                    <w:t>/</w:t>
                  </w:r>
                </w:p>
              </w:tc>
            </w:tr>
            <w:tr w14:paraId="33AA9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1C7302CD">
                  <w:pPr>
                    <w:widowControl/>
                    <w:spacing w:line="240" w:lineRule="auto"/>
                    <w:jc w:val="center"/>
                    <w:textAlignment w:val="center"/>
                    <w:rPr>
                      <w:sz w:val="21"/>
                      <w:szCs w:val="21"/>
                      <w:u w:val="single"/>
                    </w:rPr>
                  </w:pPr>
                  <w:r>
                    <w:rPr>
                      <w:rFonts w:ascii="宋体" w:hAnsi="宋体"/>
                      <w:sz w:val="21"/>
                      <w:szCs w:val="21"/>
                      <w:u w:val="single"/>
                    </w:rPr>
                    <w:t>动植物油</w:t>
                  </w:r>
                </w:p>
              </w:tc>
              <w:tc>
                <w:tcPr>
                  <w:tcW w:w="1219" w:type="dxa"/>
                  <w:vAlign w:val="center"/>
                </w:tcPr>
                <w:p w14:paraId="033F3C81">
                  <w:pPr>
                    <w:spacing w:line="240" w:lineRule="auto"/>
                    <w:jc w:val="center"/>
                    <w:rPr>
                      <w:color w:val="000000"/>
                      <w:sz w:val="21"/>
                      <w:szCs w:val="21"/>
                      <w:u w:val="single"/>
                    </w:rPr>
                  </w:pPr>
                  <w:r>
                    <w:rPr>
                      <w:color w:val="000000"/>
                      <w:sz w:val="21"/>
                      <w:szCs w:val="21"/>
                      <w:u w:val="single"/>
                    </w:rPr>
                    <w:t>0.07</w:t>
                  </w:r>
                </w:p>
              </w:tc>
              <w:tc>
                <w:tcPr>
                  <w:tcW w:w="1006" w:type="dxa"/>
                  <w:vAlign w:val="center"/>
                </w:tcPr>
                <w:p w14:paraId="2C00E606">
                  <w:pPr>
                    <w:spacing w:line="240" w:lineRule="auto"/>
                    <w:jc w:val="center"/>
                    <w:rPr>
                      <w:color w:val="000000"/>
                      <w:sz w:val="21"/>
                      <w:szCs w:val="21"/>
                      <w:u w:val="single"/>
                    </w:rPr>
                  </w:pPr>
                  <w:r>
                    <w:rPr>
                      <w:color w:val="000000"/>
                      <w:sz w:val="21"/>
                      <w:szCs w:val="21"/>
                      <w:u w:val="single"/>
                    </w:rPr>
                    <w:t>0.08</w:t>
                  </w:r>
                </w:p>
              </w:tc>
              <w:tc>
                <w:tcPr>
                  <w:tcW w:w="1113" w:type="dxa"/>
                  <w:vAlign w:val="center"/>
                </w:tcPr>
                <w:p w14:paraId="398540C2">
                  <w:pPr>
                    <w:spacing w:line="240" w:lineRule="auto"/>
                    <w:jc w:val="center"/>
                    <w:rPr>
                      <w:color w:val="000000"/>
                      <w:sz w:val="21"/>
                      <w:szCs w:val="21"/>
                      <w:u w:val="single"/>
                    </w:rPr>
                  </w:pPr>
                  <w:r>
                    <w:rPr>
                      <w:color w:val="000000"/>
                      <w:sz w:val="21"/>
                      <w:szCs w:val="21"/>
                      <w:u w:val="single"/>
                    </w:rPr>
                    <w:t>0.07</w:t>
                  </w:r>
                </w:p>
              </w:tc>
              <w:tc>
                <w:tcPr>
                  <w:tcW w:w="888" w:type="dxa"/>
                  <w:vAlign w:val="center"/>
                </w:tcPr>
                <w:p w14:paraId="48123562">
                  <w:pPr>
                    <w:widowControl/>
                    <w:spacing w:line="240" w:lineRule="auto"/>
                    <w:jc w:val="center"/>
                    <w:textAlignment w:val="center"/>
                    <w:rPr>
                      <w:color w:val="000000"/>
                      <w:sz w:val="21"/>
                      <w:szCs w:val="21"/>
                      <w:u w:val="single"/>
                    </w:rPr>
                  </w:pPr>
                  <w:r>
                    <w:rPr>
                      <w:sz w:val="21"/>
                      <w:szCs w:val="21"/>
                      <w:u w:val="single"/>
                    </w:rPr>
                    <w:t>ND</w:t>
                  </w:r>
                </w:p>
              </w:tc>
              <w:tc>
                <w:tcPr>
                  <w:tcW w:w="1015" w:type="dxa"/>
                  <w:vAlign w:val="center"/>
                </w:tcPr>
                <w:p w14:paraId="7D96C172">
                  <w:pPr>
                    <w:widowControl/>
                    <w:spacing w:line="240" w:lineRule="auto"/>
                    <w:jc w:val="center"/>
                    <w:textAlignment w:val="center"/>
                    <w:rPr>
                      <w:color w:val="000000"/>
                      <w:sz w:val="21"/>
                      <w:szCs w:val="21"/>
                      <w:u w:val="single"/>
                    </w:rPr>
                  </w:pPr>
                  <w:r>
                    <w:rPr>
                      <w:sz w:val="21"/>
                      <w:szCs w:val="21"/>
                      <w:u w:val="single"/>
                    </w:rPr>
                    <w:t>ND</w:t>
                  </w:r>
                </w:p>
              </w:tc>
              <w:tc>
                <w:tcPr>
                  <w:tcW w:w="1120" w:type="dxa"/>
                  <w:vAlign w:val="center"/>
                </w:tcPr>
                <w:p w14:paraId="1B88323F">
                  <w:pPr>
                    <w:widowControl/>
                    <w:spacing w:line="240" w:lineRule="auto"/>
                    <w:jc w:val="center"/>
                    <w:textAlignment w:val="center"/>
                    <w:rPr>
                      <w:color w:val="000000"/>
                      <w:sz w:val="21"/>
                      <w:szCs w:val="21"/>
                      <w:u w:val="single"/>
                    </w:rPr>
                  </w:pPr>
                  <w:r>
                    <w:rPr>
                      <w:sz w:val="21"/>
                      <w:szCs w:val="21"/>
                      <w:u w:val="single"/>
                    </w:rPr>
                    <w:t>ND</w:t>
                  </w:r>
                </w:p>
              </w:tc>
              <w:tc>
                <w:tcPr>
                  <w:tcW w:w="785" w:type="dxa"/>
                  <w:vAlign w:val="center"/>
                </w:tcPr>
                <w:p w14:paraId="52FC49DE">
                  <w:pPr>
                    <w:widowControl/>
                    <w:spacing w:line="240" w:lineRule="auto"/>
                    <w:jc w:val="center"/>
                    <w:textAlignment w:val="center"/>
                    <w:rPr>
                      <w:sz w:val="21"/>
                      <w:szCs w:val="21"/>
                      <w:u w:val="single"/>
                    </w:rPr>
                  </w:pPr>
                  <w:r>
                    <w:rPr>
                      <w:sz w:val="21"/>
                      <w:szCs w:val="21"/>
                      <w:u w:val="single"/>
                    </w:rPr>
                    <w:t>/</w:t>
                  </w:r>
                </w:p>
              </w:tc>
            </w:tr>
            <w:tr w14:paraId="36B0E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33AAEB74">
                  <w:pPr>
                    <w:widowControl/>
                    <w:spacing w:line="240" w:lineRule="auto"/>
                    <w:jc w:val="center"/>
                    <w:textAlignment w:val="center"/>
                    <w:rPr>
                      <w:sz w:val="21"/>
                      <w:szCs w:val="21"/>
                      <w:u w:val="single"/>
                    </w:rPr>
                  </w:pPr>
                  <w:r>
                    <w:rPr>
                      <w:rFonts w:ascii="宋体" w:hAnsi="宋体"/>
                      <w:sz w:val="21"/>
                      <w:szCs w:val="21"/>
                      <w:u w:val="single"/>
                    </w:rPr>
                    <w:t>总磷</w:t>
                  </w:r>
                </w:p>
              </w:tc>
              <w:tc>
                <w:tcPr>
                  <w:tcW w:w="1219" w:type="dxa"/>
                  <w:vAlign w:val="center"/>
                </w:tcPr>
                <w:p w14:paraId="3F179F40">
                  <w:pPr>
                    <w:widowControl/>
                    <w:spacing w:line="240" w:lineRule="auto"/>
                    <w:jc w:val="center"/>
                    <w:textAlignment w:val="center"/>
                    <w:rPr>
                      <w:color w:val="000000"/>
                      <w:sz w:val="21"/>
                      <w:szCs w:val="21"/>
                      <w:u w:val="single"/>
                    </w:rPr>
                  </w:pPr>
                  <w:r>
                    <w:rPr>
                      <w:sz w:val="21"/>
                      <w:szCs w:val="21"/>
                      <w:u w:val="single"/>
                    </w:rPr>
                    <w:t>0.08</w:t>
                  </w:r>
                </w:p>
              </w:tc>
              <w:tc>
                <w:tcPr>
                  <w:tcW w:w="1006" w:type="dxa"/>
                  <w:vAlign w:val="center"/>
                </w:tcPr>
                <w:p w14:paraId="0845397D">
                  <w:pPr>
                    <w:widowControl/>
                    <w:spacing w:line="240" w:lineRule="auto"/>
                    <w:jc w:val="center"/>
                    <w:textAlignment w:val="center"/>
                    <w:rPr>
                      <w:color w:val="000000"/>
                      <w:sz w:val="21"/>
                      <w:szCs w:val="21"/>
                      <w:u w:val="single"/>
                    </w:rPr>
                  </w:pPr>
                  <w:r>
                    <w:rPr>
                      <w:sz w:val="21"/>
                      <w:szCs w:val="21"/>
                      <w:u w:val="single"/>
                    </w:rPr>
                    <w:t>0.08</w:t>
                  </w:r>
                </w:p>
              </w:tc>
              <w:tc>
                <w:tcPr>
                  <w:tcW w:w="1113" w:type="dxa"/>
                  <w:vAlign w:val="center"/>
                </w:tcPr>
                <w:p w14:paraId="62BB1EB7">
                  <w:pPr>
                    <w:widowControl/>
                    <w:spacing w:line="240" w:lineRule="auto"/>
                    <w:jc w:val="center"/>
                    <w:textAlignment w:val="center"/>
                    <w:rPr>
                      <w:color w:val="000000"/>
                      <w:sz w:val="21"/>
                      <w:szCs w:val="21"/>
                      <w:u w:val="single"/>
                    </w:rPr>
                  </w:pPr>
                  <w:r>
                    <w:rPr>
                      <w:sz w:val="21"/>
                      <w:szCs w:val="21"/>
                      <w:u w:val="single"/>
                    </w:rPr>
                    <w:t>0.09</w:t>
                  </w:r>
                </w:p>
              </w:tc>
              <w:tc>
                <w:tcPr>
                  <w:tcW w:w="888" w:type="dxa"/>
                  <w:vAlign w:val="center"/>
                </w:tcPr>
                <w:p w14:paraId="3F96360F">
                  <w:pPr>
                    <w:spacing w:line="240" w:lineRule="auto"/>
                    <w:jc w:val="center"/>
                    <w:rPr>
                      <w:color w:val="000000"/>
                      <w:sz w:val="21"/>
                      <w:szCs w:val="21"/>
                      <w:u w:val="single"/>
                    </w:rPr>
                  </w:pPr>
                  <w:r>
                    <w:rPr>
                      <w:color w:val="000000"/>
                      <w:sz w:val="21"/>
                      <w:szCs w:val="21"/>
                      <w:u w:val="single"/>
                    </w:rPr>
                    <w:t>0.06</w:t>
                  </w:r>
                </w:p>
              </w:tc>
              <w:tc>
                <w:tcPr>
                  <w:tcW w:w="1015" w:type="dxa"/>
                  <w:vAlign w:val="center"/>
                </w:tcPr>
                <w:p w14:paraId="00A4C6A7">
                  <w:pPr>
                    <w:spacing w:line="240" w:lineRule="auto"/>
                    <w:jc w:val="center"/>
                    <w:rPr>
                      <w:color w:val="000000"/>
                      <w:sz w:val="21"/>
                      <w:szCs w:val="21"/>
                      <w:u w:val="single"/>
                    </w:rPr>
                  </w:pPr>
                  <w:r>
                    <w:rPr>
                      <w:color w:val="000000"/>
                      <w:sz w:val="21"/>
                      <w:szCs w:val="21"/>
                      <w:u w:val="single"/>
                    </w:rPr>
                    <w:t>0.05</w:t>
                  </w:r>
                </w:p>
              </w:tc>
              <w:tc>
                <w:tcPr>
                  <w:tcW w:w="1120" w:type="dxa"/>
                  <w:vAlign w:val="center"/>
                </w:tcPr>
                <w:p w14:paraId="4C65A90B">
                  <w:pPr>
                    <w:spacing w:line="240" w:lineRule="auto"/>
                    <w:jc w:val="center"/>
                    <w:rPr>
                      <w:color w:val="000000"/>
                      <w:sz w:val="21"/>
                      <w:szCs w:val="21"/>
                      <w:u w:val="single"/>
                    </w:rPr>
                  </w:pPr>
                  <w:r>
                    <w:rPr>
                      <w:color w:val="000000"/>
                      <w:sz w:val="21"/>
                      <w:szCs w:val="21"/>
                      <w:u w:val="single"/>
                    </w:rPr>
                    <w:t>0.06</w:t>
                  </w:r>
                </w:p>
              </w:tc>
              <w:tc>
                <w:tcPr>
                  <w:tcW w:w="785" w:type="dxa"/>
                  <w:vAlign w:val="center"/>
                </w:tcPr>
                <w:p w14:paraId="7312E38F">
                  <w:pPr>
                    <w:widowControl/>
                    <w:spacing w:line="240" w:lineRule="auto"/>
                    <w:jc w:val="center"/>
                    <w:textAlignment w:val="center"/>
                    <w:rPr>
                      <w:sz w:val="21"/>
                      <w:szCs w:val="21"/>
                      <w:u w:val="single"/>
                    </w:rPr>
                  </w:pPr>
                  <w:r>
                    <w:rPr>
                      <w:color w:val="000000"/>
                      <w:sz w:val="21"/>
                      <w:szCs w:val="21"/>
                      <w:u w:val="single"/>
                    </w:rPr>
                    <w:t>0.2</w:t>
                  </w:r>
                </w:p>
              </w:tc>
            </w:tr>
            <w:tr w14:paraId="5C5B3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3B50FB1F">
                  <w:pPr>
                    <w:widowControl/>
                    <w:spacing w:line="240" w:lineRule="auto"/>
                    <w:jc w:val="center"/>
                    <w:textAlignment w:val="center"/>
                    <w:rPr>
                      <w:sz w:val="21"/>
                      <w:szCs w:val="21"/>
                      <w:u w:val="single"/>
                    </w:rPr>
                  </w:pPr>
                  <w:r>
                    <w:rPr>
                      <w:rFonts w:ascii="宋体" w:hAnsi="宋体"/>
                      <w:sz w:val="21"/>
                      <w:szCs w:val="21"/>
                      <w:u w:val="single"/>
                    </w:rPr>
                    <w:t>粪大肠菌群</w:t>
                  </w:r>
                </w:p>
              </w:tc>
              <w:tc>
                <w:tcPr>
                  <w:tcW w:w="1219" w:type="dxa"/>
                  <w:vAlign w:val="center"/>
                </w:tcPr>
                <w:p w14:paraId="2CBE9959">
                  <w:pPr>
                    <w:widowControl/>
                    <w:spacing w:line="240" w:lineRule="auto"/>
                    <w:jc w:val="center"/>
                    <w:textAlignment w:val="center"/>
                    <w:rPr>
                      <w:color w:val="000000"/>
                      <w:sz w:val="21"/>
                      <w:szCs w:val="21"/>
                      <w:u w:val="single"/>
                    </w:rPr>
                  </w:pPr>
                  <w:r>
                    <w:rPr>
                      <w:sz w:val="21"/>
                      <w:szCs w:val="21"/>
                      <w:u w:val="single"/>
                    </w:rPr>
                    <w:t>8.4×10</w:t>
                  </w:r>
                  <w:r>
                    <w:rPr>
                      <w:sz w:val="21"/>
                      <w:szCs w:val="21"/>
                      <w:u w:val="single"/>
                      <w:vertAlign w:val="superscript"/>
                    </w:rPr>
                    <w:t>2</w:t>
                  </w:r>
                </w:p>
              </w:tc>
              <w:tc>
                <w:tcPr>
                  <w:tcW w:w="1006" w:type="dxa"/>
                  <w:vAlign w:val="center"/>
                </w:tcPr>
                <w:p w14:paraId="270DB0F1">
                  <w:pPr>
                    <w:widowControl/>
                    <w:spacing w:line="240" w:lineRule="auto"/>
                    <w:jc w:val="center"/>
                    <w:textAlignment w:val="center"/>
                    <w:rPr>
                      <w:color w:val="000000"/>
                      <w:sz w:val="21"/>
                      <w:szCs w:val="21"/>
                      <w:u w:val="single"/>
                    </w:rPr>
                  </w:pPr>
                  <w:r>
                    <w:rPr>
                      <w:sz w:val="21"/>
                      <w:szCs w:val="21"/>
                      <w:u w:val="single"/>
                    </w:rPr>
                    <w:t>7.1×10</w:t>
                  </w:r>
                  <w:r>
                    <w:rPr>
                      <w:sz w:val="21"/>
                      <w:szCs w:val="21"/>
                      <w:u w:val="single"/>
                      <w:vertAlign w:val="superscript"/>
                    </w:rPr>
                    <w:t>2</w:t>
                  </w:r>
                </w:p>
              </w:tc>
              <w:tc>
                <w:tcPr>
                  <w:tcW w:w="1113" w:type="dxa"/>
                  <w:vAlign w:val="center"/>
                </w:tcPr>
                <w:p w14:paraId="5349DD93">
                  <w:pPr>
                    <w:widowControl/>
                    <w:spacing w:line="240" w:lineRule="auto"/>
                    <w:jc w:val="center"/>
                    <w:textAlignment w:val="center"/>
                    <w:rPr>
                      <w:color w:val="000000"/>
                      <w:sz w:val="21"/>
                      <w:szCs w:val="21"/>
                      <w:u w:val="single"/>
                    </w:rPr>
                  </w:pPr>
                  <w:r>
                    <w:rPr>
                      <w:sz w:val="21"/>
                      <w:szCs w:val="21"/>
                      <w:u w:val="single"/>
                    </w:rPr>
                    <w:t>7.9×10</w:t>
                  </w:r>
                  <w:r>
                    <w:rPr>
                      <w:sz w:val="21"/>
                      <w:szCs w:val="21"/>
                      <w:u w:val="single"/>
                      <w:vertAlign w:val="superscript"/>
                    </w:rPr>
                    <w:t>2</w:t>
                  </w:r>
                </w:p>
              </w:tc>
              <w:tc>
                <w:tcPr>
                  <w:tcW w:w="888" w:type="dxa"/>
                  <w:vAlign w:val="center"/>
                </w:tcPr>
                <w:p w14:paraId="53C629F1">
                  <w:pPr>
                    <w:widowControl/>
                    <w:spacing w:line="240" w:lineRule="auto"/>
                    <w:jc w:val="center"/>
                    <w:textAlignment w:val="center"/>
                    <w:rPr>
                      <w:color w:val="000000"/>
                      <w:sz w:val="21"/>
                      <w:szCs w:val="21"/>
                      <w:u w:val="single"/>
                    </w:rPr>
                  </w:pPr>
                  <w:r>
                    <w:rPr>
                      <w:sz w:val="21"/>
                      <w:szCs w:val="21"/>
                      <w:u w:val="single"/>
                    </w:rPr>
                    <w:t>4.6×10</w:t>
                  </w:r>
                  <w:r>
                    <w:rPr>
                      <w:sz w:val="21"/>
                      <w:szCs w:val="21"/>
                      <w:u w:val="single"/>
                      <w:vertAlign w:val="superscript"/>
                    </w:rPr>
                    <w:t>2</w:t>
                  </w:r>
                </w:p>
              </w:tc>
              <w:tc>
                <w:tcPr>
                  <w:tcW w:w="1015" w:type="dxa"/>
                  <w:vAlign w:val="center"/>
                </w:tcPr>
                <w:p w14:paraId="7443DEB6">
                  <w:pPr>
                    <w:widowControl/>
                    <w:spacing w:line="240" w:lineRule="auto"/>
                    <w:jc w:val="center"/>
                    <w:textAlignment w:val="center"/>
                    <w:rPr>
                      <w:color w:val="000000"/>
                      <w:sz w:val="21"/>
                      <w:szCs w:val="21"/>
                      <w:u w:val="single"/>
                    </w:rPr>
                  </w:pPr>
                  <w:r>
                    <w:rPr>
                      <w:sz w:val="21"/>
                      <w:szCs w:val="21"/>
                      <w:u w:val="single"/>
                    </w:rPr>
                    <w:t>4.3×10</w:t>
                  </w:r>
                  <w:r>
                    <w:rPr>
                      <w:sz w:val="21"/>
                      <w:szCs w:val="21"/>
                      <w:u w:val="single"/>
                      <w:vertAlign w:val="superscript"/>
                    </w:rPr>
                    <w:t>2</w:t>
                  </w:r>
                </w:p>
              </w:tc>
              <w:tc>
                <w:tcPr>
                  <w:tcW w:w="1120" w:type="dxa"/>
                  <w:vAlign w:val="center"/>
                </w:tcPr>
                <w:p w14:paraId="6AC3D5FD">
                  <w:pPr>
                    <w:widowControl/>
                    <w:spacing w:line="240" w:lineRule="auto"/>
                    <w:jc w:val="center"/>
                    <w:textAlignment w:val="center"/>
                    <w:rPr>
                      <w:color w:val="000000"/>
                      <w:sz w:val="21"/>
                      <w:szCs w:val="21"/>
                      <w:u w:val="single"/>
                    </w:rPr>
                  </w:pPr>
                  <w:r>
                    <w:rPr>
                      <w:sz w:val="21"/>
                      <w:szCs w:val="21"/>
                      <w:u w:val="single"/>
                    </w:rPr>
                    <w:t>4.7×10</w:t>
                  </w:r>
                  <w:r>
                    <w:rPr>
                      <w:sz w:val="21"/>
                      <w:szCs w:val="21"/>
                      <w:u w:val="single"/>
                      <w:vertAlign w:val="superscript"/>
                    </w:rPr>
                    <w:t>2</w:t>
                  </w:r>
                </w:p>
              </w:tc>
              <w:tc>
                <w:tcPr>
                  <w:tcW w:w="785" w:type="dxa"/>
                  <w:vAlign w:val="center"/>
                </w:tcPr>
                <w:p w14:paraId="75F53E12">
                  <w:pPr>
                    <w:widowControl/>
                    <w:spacing w:line="240" w:lineRule="auto"/>
                    <w:jc w:val="center"/>
                    <w:textAlignment w:val="center"/>
                    <w:rPr>
                      <w:sz w:val="21"/>
                      <w:szCs w:val="21"/>
                      <w:u w:val="single"/>
                    </w:rPr>
                  </w:pPr>
                  <w:r>
                    <w:rPr>
                      <w:sz w:val="21"/>
                      <w:szCs w:val="21"/>
                      <w:u w:val="single"/>
                    </w:rPr>
                    <w:t>10000</w:t>
                  </w:r>
                </w:p>
              </w:tc>
            </w:tr>
            <w:tr w14:paraId="4DAED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0" w:type="dxa"/>
                  <w:gridSpan w:val="8"/>
                  <w:vAlign w:val="center"/>
                </w:tcPr>
                <w:p w14:paraId="33A7F6AB">
                  <w:pPr>
                    <w:widowControl/>
                    <w:spacing w:line="240" w:lineRule="auto"/>
                    <w:jc w:val="both"/>
                    <w:textAlignment w:val="center"/>
                    <w:rPr>
                      <w:sz w:val="21"/>
                      <w:szCs w:val="21"/>
                      <w:u w:val="single"/>
                    </w:rPr>
                  </w:pPr>
                  <w:r>
                    <w:rPr>
                      <w:rFonts w:ascii="宋体" w:hAnsi="宋体"/>
                      <w:sz w:val="21"/>
                      <w:szCs w:val="21"/>
                      <w:u w:val="single"/>
                    </w:rPr>
                    <w:t>备注</w:t>
                  </w:r>
                  <w:r>
                    <w:rPr>
                      <w:rFonts w:ascii="宋体" w:hAnsi="宋体"/>
                      <w:color w:val="000000"/>
                      <w:sz w:val="21"/>
                      <w:szCs w:val="21"/>
                      <w:u w:val="single"/>
                    </w:rPr>
                    <w:t>：执行《地表水环境质量标准》（</w:t>
                  </w:r>
                  <w:r>
                    <w:rPr>
                      <w:color w:val="000000"/>
                      <w:sz w:val="21"/>
                      <w:szCs w:val="21"/>
                      <w:u w:val="single"/>
                    </w:rPr>
                    <w:t>GB3838-2002</w:t>
                  </w:r>
                  <w:r>
                    <w:rPr>
                      <w:rFonts w:ascii="宋体" w:hAnsi="宋体"/>
                      <w:color w:val="000000"/>
                      <w:sz w:val="21"/>
                      <w:szCs w:val="21"/>
                      <w:u w:val="single"/>
                    </w:rPr>
                    <w:t>）中</w:t>
                  </w:r>
                  <w:r>
                    <w:rPr>
                      <w:color w:val="000000"/>
                      <w:sz w:val="21"/>
                      <w:szCs w:val="21"/>
                      <w:u w:val="single"/>
                    </w:rPr>
                    <w:t>Ⅲ</w:t>
                  </w:r>
                  <w:r>
                    <w:rPr>
                      <w:rFonts w:ascii="宋体" w:hAnsi="宋体"/>
                      <w:color w:val="000000"/>
                      <w:sz w:val="21"/>
                      <w:szCs w:val="21"/>
                      <w:u w:val="single"/>
                    </w:rPr>
                    <w:t>类标准。</w:t>
                  </w:r>
                </w:p>
              </w:tc>
            </w:tr>
          </w:tbl>
          <w:p w14:paraId="479CEA2B">
            <w:pPr>
              <w:ind w:firstLine="482"/>
              <w:jc w:val="both"/>
              <w:rPr>
                <w:szCs w:val="24"/>
                <w:u w:val="single"/>
              </w:rPr>
            </w:pPr>
            <w:r>
              <w:rPr>
                <w:rFonts w:hint="eastAsia" w:ascii="宋体" w:hAnsi="宋体"/>
                <w:szCs w:val="24"/>
                <w:u w:val="single"/>
              </w:rPr>
              <w:t>根据监测结果可知，受纳水体小河江相关检测因子均满足《地表水环境质量标准》（</w:t>
            </w:r>
            <w:r>
              <w:rPr>
                <w:rFonts w:hint="eastAsia"/>
                <w:szCs w:val="24"/>
                <w:u w:val="single"/>
              </w:rPr>
              <w:t>GB3838-2002</w:t>
            </w:r>
            <w:r>
              <w:rPr>
                <w:rFonts w:hint="eastAsia" w:ascii="宋体" w:hAnsi="宋体"/>
                <w:szCs w:val="24"/>
                <w:u w:val="single"/>
              </w:rPr>
              <w:t>）中Ⅲ类标准。</w:t>
            </w:r>
          </w:p>
          <w:p w14:paraId="69D05121">
            <w:pPr>
              <w:ind w:firstLine="482"/>
              <w:jc w:val="both"/>
              <w:rPr>
                <w:b/>
                <w:szCs w:val="24"/>
                <w:u w:val="single"/>
              </w:rPr>
            </w:pPr>
            <w:r>
              <w:rPr>
                <w:rFonts w:hint="eastAsia"/>
                <w:b/>
                <w:szCs w:val="24"/>
                <w:u w:val="single"/>
              </w:rPr>
              <w:t>3</w:t>
            </w:r>
            <w:r>
              <w:rPr>
                <w:rFonts w:hint="eastAsia" w:ascii="宋体" w:hAnsi="宋体"/>
                <w:b/>
                <w:szCs w:val="24"/>
                <w:u w:val="single"/>
              </w:rPr>
              <w:t>、声环境质量现状</w:t>
            </w:r>
          </w:p>
          <w:p w14:paraId="77C55333">
            <w:pPr>
              <w:ind w:firstLine="482"/>
              <w:jc w:val="both"/>
              <w:rPr>
                <w:szCs w:val="24"/>
                <w:u w:val="single"/>
              </w:rPr>
            </w:pPr>
            <w:r>
              <w:rPr>
                <w:rFonts w:hint="eastAsia" w:ascii="宋体" w:hAnsi="宋体"/>
                <w:szCs w:val="24"/>
                <w:u w:val="single"/>
              </w:rPr>
              <w:t>为了解项目所在区域声环境质量现状，本次评价委托湖南中额环保科技有限公司</w:t>
            </w:r>
            <w:r>
              <w:rPr>
                <w:rFonts w:hint="eastAsia"/>
                <w:szCs w:val="24"/>
                <w:u w:val="single"/>
              </w:rPr>
              <w:t>202</w:t>
            </w:r>
            <w:r>
              <w:rPr>
                <w:szCs w:val="24"/>
                <w:u w:val="single"/>
              </w:rPr>
              <w:t>5</w:t>
            </w:r>
            <w:r>
              <w:rPr>
                <w:rFonts w:hint="eastAsia" w:ascii="宋体" w:hAnsi="宋体"/>
                <w:szCs w:val="24"/>
                <w:u w:val="single"/>
              </w:rPr>
              <w:t>年</w:t>
            </w:r>
            <w:r>
              <w:rPr>
                <w:szCs w:val="24"/>
                <w:u w:val="single"/>
              </w:rPr>
              <w:t>2</w:t>
            </w:r>
            <w:r>
              <w:rPr>
                <w:rFonts w:hint="eastAsia" w:ascii="宋体" w:hAnsi="宋体"/>
                <w:szCs w:val="24"/>
                <w:u w:val="single"/>
              </w:rPr>
              <w:t>月</w:t>
            </w:r>
            <w:r>
              <w:rPr>
                <w:szCs w:val="24"/>
                <w:u w:val="single"/>
              </w:rPr>
              <w:t>13</w:t>
            </w:r>
            <w:r>
              <w:rPr>
                <w:rFonts w:hint="eastAsia"/>
                <w:szCs w:val="24"/>
                <w:u w:val="single"/>
              </w:rPr>
              <w:t>~</w:t>
            </w:r>
            <w:r>
              <w:rPr>
                <w:szCs w:val="24"/>
                <w:u w:val="single"/>
              </w:rPr>
              <w:t>14</w:t>
            </w:r>
            <w:r>
              <w:rPr>
                <w:rFonts w:hint="eastAsia" w:ascii="宋体" w:hAnsi="宋体"/>
                <w:szCs w:val="24"/>
                <w:u w:val="single"/>
              </w:rPr>
              <w:t>日对项目厂界四周（由于周边居民紧靠卫生院，故厂界现状值可视为环境保护目标现状值，不单独对其他环境保护目标进行现状监测）进行了现场监测。</w:t>
            </w:r>
          </w:p>
          <w:p w14:paraId="6815C12A">
            <w:pPr>
              <w:jc w:val="center"/>
              <w:rPr>
                <w:b/>
                <w:bCs/>
                <w:szCs w:val="24"/>
                <w:u w:val="single"/>
              </w:rPr>
            </w:pPr>
            <w:r>
              <w:rPr>
                <w:rFonts w:hint="eastAsia" w:ascii="宋体" w:hAnsi="宋体"/>
                <w:b/>
                <w:bCs/>
                <w:szCs w:val="24"/>
                <w:u w:val="single"/>
              </w:rPr>
              <w:t>表</w:t>
            </w:r>
            <w:r>
              <w:rPr>
                <w:rFonts w:hint="eastAsia"/>
                <w:b/>
                <w:bCs/>
                <w:szCs w:val="24"/>
                <w:u w:val="single"/>
              </w:rPr>
              <w:t>3</w:t>
            </w:r>
            <w:r>
              <w:rPr>
                <w:b/>
                <w:bCs/>
                <w:szCs w:val="24"/>
                <w:u w:val="single"/>
              </w:rPr>
              <w:t>-3</w:t>
            </w:r>
            <w:r>
              <w:rPr>
                <w:rFonts w:hint="eastAsia" w:ascii="宋体" w:hAnsi="宋体"/>
                <w:b/>
                <w:bCs/>
                <w:szCs w:val="24"/>
                <w:u w:val="single"/>
              </w:rPr>
              <w:t>噪声检测结果</w:t>
            </w:r>
          </w:p>
          <w:tbl>
            <w:tblPr>
              <w:tblStyle w:val="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1494"/>
              <w:gridCol w:w="1474"/>
              <w:gridCol w:w="1485"/>
              <w:gridCol w:w="1475"/>
            </w:tblGrid>
            <w:tr w14:paraId="2069F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0" w:type="pct"/>
                  <w:vMerge w:val="restart"/>
                  <w:tcBorders>
                    <w:top w:val="single" w:color="auto" w:sz="12" w:space="0"/>
                    <w:left w:val="nil"/>
                    <w:bottom w:val="single" w:color="auto" w:sz="4" w:space="0"/>
                    <w:right w:val="single" w:color="auto" w:sz="4" w:space="0"/>
                  </w:tcBorders>
                  <w:vAlign w:val="center"/>
                </w:tcPr>
                <w:p w14:paraId="25A048FE">
                  <w:pPr>
                    <w:widowControl/>
                    <w:spacing w:before="100" w:beforeAutospacing="1" w:line="240" w:lineRule="auto"/>
                    <w:jc w:val="center"/>
                    <w:textAlignment w:val="center"/>
                    <w:rPr>
                      <w:kern w:val="0"/>
                      <w:sz w:val="21"/>
                      <w:szCs w:val="21"/>
                      <w:u w:val="single"/>
                    </w:rPr>
                  </w:pPr>
                  <w:r>
                    <w:rPr>
                      <w:rFonts w:ascii="宋体" w:hAnsi="宋体"/>
                      <w:kern w:val="0"/>
                      <w:sz w:val="21"/>
                      <w:szCs w:val="21"/>
                      <w:u w:val="single"/>
                    </w:rPr>
                    <w:t>检测点位</w:t>
                  </w:r>
                </w:p>
              </w:tc>
              <w:tc>
                <w:tcPr>
                  <w:tcW w:w="3580" w:type="pct"/>
                  <w:gridSpan w:val="4"/>
                  <w:tcBorders>
                    <w:top w:val="single" w:color="auto" w:sz="12" w:space="0"/>
                    <w:left w:val="single" w:color="auto" w:sz="4" w:space="0"/>
                    <w:bottom w:val="single" w:color="auto" w:sz="4" w:space="0"/>
                    <w:right w:val="nil"/>
                  </w:tcBorders>
                  <w:vAlign w:val="center"/>
                </w:tcPr>
                <w:p w14:paraId="111CFEDC">
                  <w:pPr>
                    <w:widowControl/>
                    <w:spacing w:before="100" w:beforeAutospacing="1" w:line="240" w:lineRule="auto"/>
                    <w:jc w:val="center"/>
                    <w:textAlignment w:val="center"/>
                    <w:rPr>
                      <w:kern w:val="0"/>
                      <w:sz w:val="21"/>
                      <w:szCs w:val="21"/>
                      <w:u w:val="single"/>
                    </w:rPr>
                  </w:pPr>
                  <w:r>
                    <w:rPr>
                      <w:rFonts w:ascii="宋体" w:hAnsi="宋体"/>
                      <w:kern w:val="0"/>
                      <w:sz w:val="21"/>
                      <w:szCs w:val="21"/>
                      <w:u w:val="single"/>
                    </w:rPr>
                    <w:t>检测结果（单位：</w:t>
                  </w:r>
                  <w:r>
                    <w:rPr>
                      <w:kern w:val="0"/>
                      <w:sz w:val="21"/>
                      <w:szCs w:val="21"/>
                      <w:u w:val="single"/>
                    </w:rPr>
                    <w:t>dB(A)</w:t>
                  </w:r>
                  <w:r>
                    <w:rPr>
                      <w:rFonts w:ascii="宋体" w:hAnsi="宋体"/>
                      <w:kern w:val="0"/>
                      <w:sz w:val="21"/>
                      <w:szCs w:val="21"/>
                      <w:u w:val="single"/>
                    </w:rPr>
                    <w:t>）</w:t>
                  </w:r>
                </w:p>
              </w:tc>
            </w:tr>
            <w:tr w14:paraId="0C9FD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nil"/>
                    <w:bottom w:val="single" w:color="auto" w:sz="4" w:space="0"/>
                    <w:right w:val="single" w:color="auto" w:sz="4" w:space="0"/>
                  </w:tcBorders>
                  <w:vAlign w:val="center"/>
                </w:tcPr>
                <w:p w14:paraId="1BF9E0BF">
                  <w:pPr>
                    <w:widowControl/>
                    <w:spacing w:line="240" w:lineRule="auto"/>
                    <w:rPr>
                      <w:kern w:val="0"/>
                      <w:sz w:val="21"/>
                      <w:szCs w:val="21"/>
                      <w:u w:val="single"/>
                    </w:rPr>
                  </w:pPr>
                </w:p>
              </w:tc>
              <w:tc>
                <w:tcPr>
                  <w:tcW w:w="1792" w:type="pct"/>
                  <w:gridSpan w:val="2"/>
                  <w:tcBorders>
                    <w:top w:val="single" w:color="auto" w:sz="4" w:space="0"/>
                    <w:left w:val="single" w:color="auto" w:sz="4" w:space="0"/>
                    <w:bottom w:val="single" w:color="auto" w:sz="4" w:space="0"/>
                    <w:right w:val="single" w:color="auto" w:sz="4" w:space="0"/>
                  </w:tcBorders>
                  <w:vAlign w:val="center"/>
                </w:tcPr>
                <w:p w14:paraId="5C2FBA0E">
                  <w:pPr>
                    <w:widowControl/>
                    <w:jc w:val="center"/>
                    <w:textAlignment w:val="center"/>
                    <w:rPr>
                      <w:sz w:val="21"/>
                      <w:szCs w:val="21"/>
                      <w:u w:val="single"/>
                    </w:rPr>
                  </w:pPr>
                  <w:r>
                    <w:rPr>
                      <w:rFonts w:hint="eastAsia"/>
                      <w:sz w:val="21"/>
                      <w:szCs w:val="21"/>
                      <w:u w:val="single"/>
                    </w:rPr>
                    <w:t>2024.12.28</w:t>
                  </w:r>
                </w:p>
              </w:tc>
              <w:tc>
                <w:tcPr>
                  <w:tcW w:w="1788" w:type="pct"/>
                  <w:gridSpan w:val="2"/>
                  <w:tcBorders>
                    <w:top w:val="single" w:color="auto" w:sz="4" w:space="0"/>
                    <w:left w:val="single" w:color="auto" w:sz="4" w:space="0"/>
                    <w:bottom w:val="single" w:color="auto" w:sz="4" w:space="0"/>
                    <w:right w:val="nil"/>
                  </w:tcBorders>
                  <w:vAlign w:val="center"/>
                </w:tcPr>
                <w:p w14:paraId="2E018D8B">
                  <w:pPr>
                    <w:widowControl/>
                    <w:jc w:val="center"/>
                    <w:textAlignment w:val="center"/>
                    <w:rPr>
                      <w:sz w:val="21"/>
                      <w:szCs w:val="21"/>
                      <w:u w:val="single"/>
                    </w:rPr>
                  </w:pPr>
                  <w:r>
                    <w:rPr>
                      <w:rFonts w:hint="eastAsia"/>
                      <w:sz w:val="21"/>
                      <w:szCs w:val="21"/>
                      <w:u w:val="single"/>
                    </w:rPr>
                    <w:t>2024.12.29</w:t>
                  </w:r>
                </w:p>
              </w:tc>
            </w:tr>
            <w:tr w14:paraId="3EEC3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12" w:space="0"/>
                    <w:left w:val="nil"/>
                    <w:bottom w:val="single" w:color="auto" w:sz="4" w:space="0"/>
                    <w:right w:val="single" w:color="auto" w:sz="4" w:space="0"/>
                  </w:tcBorders>
                  <w:vAlign w:val="center"/>
                </w:tcPr>
                <w:p w14:paraId="6B9D7561">
                  <w:pPr>
                    <w:widowControl/>
                    <w:spacing w:line="240" w:lineRule="auto"/>
                    <w:rPr>
                      <w:kern w:val="0"/>
                      <w:sz w:val="21"/>
                      <w:szCs w:val="21"/>
                      <w:u w:val="single"/>
                    </w:rPr>
                  </w:pPr>
                </w:p>
              </w:tc>
              <w:tc>
                <w:tcPr>
                  <w:tcW w:w="902" w:type="pct"/>
                  <w:tcBorders>
                    <w:top w:val="single" w:color="auto" w:sz="4" w:space="0"/>
                    <w:left w:val="single" w:color="auto" w:sz="4" w:space="0"/>
                    <w:bottom w:val="single" w:color="auto" w:sz="4" w:space="0"/>
                    <w:right w:val="single" w:color="auto" w:sz="4" w:space="0"/>
                  </w:tcBorders>
                  <w:vAlign w:val="center"/>
                </w:tcPr>
                <w:p w14:paraId="12AD038D">
                  <w:pPr>
                    <w:widowControl/>
                    <w:jc w:val="center"/>
                    <w:textAlignment w:val="center"/>
                    <w:rPr>
                      <w:sz w:val="21"/>
                      <w:szCs w:val="21"/>
                      <w:u w:val="single"/>
                    </w:rPr>
                  </w:pPr>
                  <w:r>
                    <w:rPr>
                      <w:rFonts w:ascii="宋体" w:hAnsi="宋体"/>
                      <w:sz w:val="21"/>
                      <w:szCs w:val="21"/>
                      <w:u w:val="single"/>
                    </w:rPr>
                    <w:t>昼间</w:t>
                  </w:r>
                </w:p>
              </w:tc>
              <w:tc>
                <w:tcPr>
                  <w:tcW w:w="890" w:type="pct"/>
                  <w:tcBorders>
                    <w:top w:val="single" w:color="auto" w:sz="4" w:space="0"/>
                    <w:left w:val="single" w:color="auto" w:sz="4" w:space="0"/>
                    <w:bottom w:val="single" w:color="auto" w:sz="4" w:space="0"/>
                    <w:right w:val="single" w:color="auto" w:sz="4" w:space="0"/>
                  </w:tcBorders>
                  <w:vAlign w:val="center"/>
                </w:tcPr>
                <w:p w14:paraId="126DEEB3">
                  <w:pPr>
                    <w:widowControl/>
                    <w:jc w:val="center"/>
                    <w:textAlignment w:val="center"/>
                    <w:rPr>
                      <w:sz w:val="21"/>
                      <w:szCs w:val="21"/>
                      <w:u w:val="single"/>
                    </w:rPr>
                  </w:pPr>
                  <w:r>
                    <w:rPr>
                      <w:rFonts w:ascii="宋体" w:hAnsi="宋体"/>
                      <w:sz w:val="21"/>
                      <w:szCs w:val="21"/>
                      <w:u w:val="single"/>
                    </w:rPr>
                    <w:t>夜间</w:t>
                  </w:r>
                </w:p>
              </w:tc>
              <w:tc>
                <w:tcPr>
                  <w:tcW w:w="897" w:type="pct"/>
                  <w:tcBorders>
                    <w:top w:val="single" w:color="auto" w:sz="4" w:space="0"/>
                    <w:left w:val="single" w:color="auto" w:sz="4" w:space="0"/>
                    <w:bottom w:val="single" w:color="auto" w:sz="4" w:space="0"/>
                    <w:right w:val="single" w:color="auto" w:sz="4" w:space="0"/>
                  </w:tcBorders>
                  <w:vAlign w:val="center"/>
                </w:tcPr>
                <w:p w14:paraId="1E6AFE87">
                  <w:pPr>
                    <w:widowControl/>
                    <w:jc w:val="center"/>
                    <w:textAlignment w:val="center"/>
                    <w:rPr>
                      <w:sz w:val="21"/>
                      <w:szCs w:val="21"/>
                      <w:u w:val="single"/>
                    </w:rPr>
                  </w:pPr>
                  <w:r>
                    <w:rPr>
                      <w:rFonts w:ascii="宋体" w:hAnsi="宋体"/>
                      <w:sz w:val="21"/>
                      <w:szCs w:val="21"/>
                      <w:u w:val="single"/>
                    </w:rPr>
                    <w:t>昼间</w:t>
                  </w:r>
                </w:p>
              </w:tc>
              <w:tc>
                <w:tcPr>
                  <w:tcW w:w="891" w:type="pct"/>
                  <w:tcBorders>
                    <w:top w:val="single" w:color="auto" w:sz="4" w:space="0"/>
                    <w:left w:val="single" w:color="auto" w:sz="4" w:space="0"/>
                    <w:bottom w:val="single" w:color="auto" w:sz="4" w:space="0"/>
                    <w:right w:val="nil"/>
                  </w:tcBorders>
                  <w:vAlign w:val="center"/>
                </w:tcPr>
                <w:p w14:paraId="09B34F0C">
                  <w:pPr>
                    <w:widowControl/>
                    <w:jc w:val="center"/>
                    <w:textAlignment w:val="center"/>
                    <w:rPr>
                      <w:sz w:val="21"/>
                      <w:szCs w:val="21"/>
                      <w:u w:val="single"/>
                    </w:rPr>
                  </w:pPr>
                  <w:r>
                    <w:rPr>
                      <w:rFonts w:ascii="宋体" w:hAnsi="宋体"/>
                      <w:sz w:val="21"/>
                      <w:szCs w:val="21"/>
                      <w:u w:val="single"/>
                    </w:rPr>
                    <w:t>夜间</w:t>
                  </w:r>
                </w:p>
              </w:tc>
            </w:tr>
            <w:tr w14:paraId="4E05A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0" w:type="pct"/>
                  <w:tcBorders>
                    <w:top w:val="single" w:color="auto" w:sz="4" w:space="0"/>
                    <w:left w:val="nil"/>
                    <w:bottom w:val="single" w:color="auto" w:sz="4" w:space="0"/>
                    <w:right w:val="single" w:color="auto" w:sz="4" w:space="0"/>
                  </w:tcBorders>
                  <w:vAlign w:val="center"/>
                </w:tcPr>
                <w:p w14:paraId="06E86799">
                  <w:pPr>
                    <w:spacing w:before="100" w:beforeAutospacing="1" w:line="240" w:lineRule="auto"/>
                    <w:jc w:val="center"/>
                    <w:rPr>
                      <w:color w:val="000000"/>
                      <w:kern w:val="0"/>
                      <w:sz w:val="21"/>
                      <w:szCs w:val="21"/>
                      <w:u w:val="single"/>
                    </w:rPr>
                  </w:pPr>
                  <w:r>
                    <w:rPr>
                      <w:rFonts w:ascii="宋体" w:hAnsi="宋体"/>
                      <w:color w:val="000000"/>
                      <w:kern w:val="0"/>
                      <w:sz w:val="21"/>
                      <w:szCs w:val="21"/>
                      <w:u w:val="single"/>
                    </w:rPr>
                    <w:t>场界东侧外</w:t>
                  </w:r>
                  <w:r>
                    <w:rPr>
                      <w:color w:val="000000"/>
                      <w:kern w:val="0"/>
                      <w:sz w:val="21"/>
                      <w:szCs w:val="21"/>
                      <w:u w:val="single"/>
                    </w:rPr>
                    <w:t>1m</w:t>
                  </w:r>
                </w:p>
              </w:tc>
              <w:tc>
                <w:tcPr>
                  <w:tcW w:w="902" w:type="pct"/>
                  <w:tcBorders>
                    <w:top w:val="single" w:color="auto" w:sz="4" w:space="0"/>
                    <w:left w:val="single" w:color="auto" w:sz="4" w:space="0"/>
                    <w:bottom w:val="single" w:color="auto" w:sz="4" w:space="0"/>
                    <w:right w:val="single" w:color="auto" w:sz="4" w:space="0"/>
                  </w:tcBorders>
                  <w:vAlign w:val="center"/>
                </w:tcPr>
                <w:p w14:paraId="1CDB11FB">
                  <w:pPr>
                    <w:jc w:val="center"/>
                    <w:rPr>
                      <w:color w:val="000000"/>
                      <w:sz w:val="21"/>
                      <w:szCs w:val="21"/>
                      <w:u w:val="single"/>
                    </w:rPr>
                  </w:pPr>
                  <w:r>
                    <w:rPr>
                      <w:rFonts w:hint="eastAsia"/>
                      <w:color w:val="000000"/>
                      <w:sz w:val="21"/>
                      <w:szCs w:val="21"/>
                      <w:u w:val="single"/>
                    </w:rPr>
                    <w:t>54</w:t>
                  </w:r>
                </w:p>
              </w:tc>
              <w:tc>
                <w:tcPr>
                  <w:tcW w:w="890" w:type="pct"/>
                  <w:tcBorders>
                    <w:top w:val="single" w:color="auto" w:sz="4" w:space="0"/>
                    <w:left w:val="single" w:color="auto" w:sz="4" w:space="0"/>
                    <w:bottom w:val="single" w:color="auto" w:sz="4" w:space="0"/>
                    <w:right w:val="single" w:color="auto" w:sz="4" w:space="0"/>
                  </w:tcBorders>
                  <w:vAlign w:val="center"/>
                </w:tcPr>
                <w:p w14:paraId="1B4D82E8">
                  <w:pPr>
                    <w:jc w:val="center"/>
                    <w:rPr>
                      <w:color w:val="000000"/>
                      <w:sz w:val="21"/>
                      <w:szCs w:val="21"/>
                      <w:u w:val="single"/>
                    </w:rPr>
                  </w:pPr>
                  <w:r>
                    <w:rPr>
                      <w:rFonts w:hint="eastAsia"/>
                      <w:color w:val="000000"/>
                      <w:sz w:val="21"/>
                      <w:szCs w:val="21"/>
                      <w:u w:val="single"/>
                    </w:rPr>
                    <w:t>42</w:t>
                  </w:r>
                </w:p>
              </w:tc>
              <w:tc>
                <w:tcPr>
                  <w:tcW w:w="897" w:type="pct"/>
                  <w:tcBorders>
                    <w:top w:val="single" w:color="auto" w:sz="4" w:space="0"/>
                    <w:left w:val="single" w:color="auto" w:sz="4" w:space="0"/>
                    <w:bottom w:val="single" w:color="auto" w:sz="4" w:space="0"/>
                    <w:right w:val="single" w:color="auto" w:sz="4" w:space="0"/>
                  </w:tcBorders>
                  <w:vAlign w:val="center"/>
                </w:tcPr>
                <w:p w14:paraId="07A3C504">
                  <w:pPr>
                    <w:jc w:val="center"/>
                    <w:rPr>
                      <w:color w:val="000000"/>
                      <w:sz w:val="21"/>
                      <w:szCs w:val="21"/>
                      <w:u w:val="single"/>
                    </w:rPr>
                  </w:pPr>
                  <w:r>
                    <w:rPr>
                      <w:rFonts w:hint="eastAsia"/>
                      <w:color w:val="000000"/>
                      <w:sz w:val="21"/>
                      <w:szCs w:val="21"/>
                      <w:u w:val="single"/>
                    </w:rPr>
                    <w:t>55</w:t>
                  </w:r>
                </w:p>
              </w:tc>
              <w:tc>
                <w:tcPr>
                  <w:tcW w:w="891" w:type="pct"/>
                  <w:tcBorders>
                    <w:top w:val="single" w:color="auto" w:sz="4" w:space="0"/>
                    <w:left w:val="single" w:color="auto" w:sz="4" w:space="0"/>
                    <w:bottom w:val="single" w:color="auto" w:sz="4" w:space="0"/>
                    <w:right w:val="nil"/>
                  </w:tcBorders>
                  <w:vAlign w:val="center"/>
                </w:tcPr>
                <w:p w14:paraId="30C9EFEA">
                  <w:pPr>
                    <w:jc w:val="center"/>
                    <w:rPr>
                      <w:color w:val="000000"/>
                      <w:sz w:val="21"/>
                      <w:szCs w:val="21"/>
                      <w:u w:val="single"/>
                    </w:rPr>
                  </w:pPr>
                  <w:r>
                    <w:rPr>
                      <w:rFonts w:hint="eastAsia"/>
                      <w:color w:val="000000"/>
                      <w:sz w:val="21"/>
                      <w:szCs w:val="21"/>
                      <w:u w:val="single"/>
                    </w:rPr>
                    <w:t>43</w:t>
                  </w:r>
                </w:p>
              </w:tc>
            </w:tr>
            <w:tr w14:paraId="19ADF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0" w:type="pct"/>
                  <w:tcBorders>
                    <w:top w:val="single" w:color="auto" w:sz="4" w:space="0"/>
                    <w:left w:val="nil"/>
                    <w:bottom w:val="single" w:color="auto" w:sz="4" w:space="0"/>
                    <w:right w:val="single" w:color="auto" w:sz="4" w:space="0"/>
                  </w:tcBorders>
                  <w:vAlign w:val="center"/>
                </w:tcPr>
                <w:p w14:paraId="49C1C880">
                  <w:pPr>
                    <w:jc w:val="center"/>
                    <w:rPr>
                      <w:color w:val="000000"/>
                      <w:sz w:val="21"/>
                      <w:szCs w:val="21"/>
                      <w:u w:val="single"/>
                    </w:rPr>
                  </w:pPr>
                  <w:r>
                    <w:rPr>
                      <w:rFonts w:ascii="宋体" w:hAnsi="宋体"/>
                      <w:color w:val="000000"/>
                      <w:sz w:val="21"/>
                      <w:szCs w:val="21"/>
                      <w:u w:val="single"/>
                    </w:rPr>
                    <w:t>场界南侧外</w:t>
                  </w:r>
                  <w:r>
                    <w:rPr>
                      <w:color w:val="000000"/>
                      <w:sz w:val="21"/>
                      <w:szCs w:val="21"/>
                      <w:u w:val="single"/>
                    </w:rPr>
                    <w:t>1m</w:t>
                  </w:r>
                </w:p>
              </w:tc>
              <w:tc>
                <w:tcPr>
                  <w:tcW w:w="902" w:type="pct"/>
                  <w:tcBorders>
                    <w:top w:val="single" w:color="auto" w:sz="4" w:space="0"/>
                    <w:left w:val="single" w:color="auto" w:sz="4" w:space="0"/>
                    <w:bottom w:val="single" w:color="auto" w:sz="4" w:space="0"/>
                    <w:right w:val="single" w:color="auto" w:sz="4" w:space="0"/>
                  </w:tcBorders>
                  <w:vAlign w:val="center"/>
                </w:tcPr>
                <w:p w14:paraId="2A35B1EA">
                  <w:pPr>
                    <w:jc w:val="center"/>
                    <w:rPr>
                      <w:color w:val="000000"/>
                      <w:sz w:val="21"/>
                      <w:szCs w:val="21"/>
                      <w:u w:val="single"/>
                    </w:rPr>
                  </w:pPr>
                  <w:r>
                    <w:rPr>
                      <w:rFonts w:hint="eastAsia"/>
                      <w:color w:val="000000"/>
                      <w:sz w:val="21"/>
                      <w:szCs w:val="21"/>
                      <w:u w:val="single"/>
                    </w:rPr>
                    <w:t>56</w:t>
                  </w:r>
                </w:p>
              </w:tc>
              <w:tc>
                <w:tcPr>
                  <w:tcW w:w="890" w:type="pct"/>
                  <w:tcBorders>
                    <w:top w:val="single" w:color="auto" w:sz="4" w:space="0"/>
                    <w:left w:val="single" w:color="auto" w:sz="4" w:space="0"/>
                    <w:bottom w:val="single" w:color="auto" w:sz="4" w:space="0"/>
                    <w:right w:val="single" w:color="auto" w:sz="4" w:space="0"/>
                  </w:tcBorders>
                  <w:vAlign w:val="center"/>
                </w:tcPr>
                <w:p w14:paraId="68F7288F">
                  <w:pPr>
                    <w:jc w:val="center"/>
                    <w:rPr>
                      <w:color w:val="000000"/>
                      <w:sz w:val="21"/>
                      <w:szCs w:val="21"/>
                      <w:u w:val="single"/>
                    </w:rPr>
                  </w:pPr>
                  <w:r>
                    <w:rPr>
                      <w:rFonts w:hint="eastAsia"/>
                      <w:color w:val="000000"/>
                      <w:sz w:val="21"/>
                      <w:szCs w:val="21"/>
                      <w:u w:val="single"/>
                    </w:rPr>
                    <w:t>43</w:t>
                  </w:r>
                </w:p>
              </w:tc>
              <w:tc>
                <w:tcPr>
                  <w:tcW w:w="897" w:type="pct"/>
                  <w:tcBorders>
                    <w:top w:val="single" w:color="auto" w:sz="4" w:space="0"/>
                    <w:left w:val="single" w:color="auto" w:sz="4" w:space="0"/>
                    <w:bottom w:val="single" w:color="auto" w:sz="4" w:space="0"/>
                    <w:right w:val="single" w:color="auto" w:sz="4" w:space="0"/>
                  </w:tcBorders>
                  <w:vAlign w:val="center"/>
                </w:tcPr>
                <w:p w14:paraId="6CDBEBE2">
                  <w:pPr>
                    <w:jc w:val="center"/>
                    <w:rPr>
                      <w:color w:val="000000"/>
                      <w:sz w:val="21"/>
                      <w:szCs w:val="21"/>
                      <w:u w:val="single"/>
                    </w:rPr>
                  </w:pPr>
                  <w:r>
                    <w:rPr>
                      <w:rFonts w:hint="eastAsia"/>
                      <w:color w:val="000000"/>
                      <w:sz w:val="21"/>
                      <w:szCs w:val="21"/>
                      <w:u w:val="single"/>
                    </w:rPr>
                    <w:t>56</w:t>
                  </w:r>
                </w:p>
              </w:tc>
              <w:tc>
                <w:tcPr>
                  <w:tcW w:w="891" w:type="pct"/>
                  <w:tcBorders>
                    <w:top w:val="single" w:color="auto" w:sz="4" w:space="0"/>
                    <w:left w:val="single" w:color="auto" w:sz="4" w:space="0"/>
                    <w:bottom w:val="single" w:color="auto" w:sz="4" w:space="0"/>
                    <w:right w:val="nil"/>
                  </w:tcBorders>
                  <w:vAlign w:val="center"/>
                </w:tcPr>
                <w:p w14:paraId="4BF5398F">
                  <w:pPr>
                    <w:jc w:val="center"/>
                    <w:rPr>
                      <w:color w:val="000000"/>
                      <w:sz w:val="21"/>
                      <w:szCs w:val="21"/>
                      <w:u w:val="single"/>
                    </w:rPr>
                  </w:pPr>
                  <w:r>
                    <w:rPr>
                      <w:rFonts w:hint="eastAsia"/>
                      <w:color w:val="000000"/>
                      <w:sz w:val="21"/>
                      <w:szCs w:val="21"/>
                      <w:u w:val="single"/>
                    </w:rPr>
                    <w:t>45</w:t>
                  </w:r>
                </w:p>
              </w:tc>
            </w:tr>
            <w:tr w14:paraId="39FE4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0" w:type="pct"/>
                  <w:tcBorders>
                    <w:top w:val="single" w:color="auto" w:sz="4" w:space="0"/>
                    <w:left w:val="nil"/>
                    <w:bottom w:val="single" w:color="auto" w:sz="4" w:space="0"/>
                    <w:right w:val="single" w:color="auto" w:sz="4" w:space="0"/>
                  </w:tcBorders>
                  <w:vAlign w:val="center"/>
                </w:tcPr>
                <w:p w14:paraId="41187674">
                  <w:pPr>
                    <w:jc w:val="center"/>
                    <w:rPr>
                      <w:color w:val="000000"/>
                      <w:sz w:val="21"/>
                      <w:szCs w:val="21"/>
                      <w:u w:val="single"/>
                    </w:rPr>
                  </w:pPr>
                  <w:r>
                    <w:rPr>
                      <w:rFonts w:ascii="宋体" w:hAnsi="宋体"/>
                      <w:color w:val="000000"/>
                      <w:sz w:val="21"/>
                      <w:szCs w:val="21"/>
                      <w:u w:val="single"/>
                    </w:rPr>
                    <w:t>场界西侧外</w:t>
                  </w:r>
                  <w:r>
                    <w:rPr>
                      <w:color w:val="000000"/>
                      <w:sz w:val="21"/>
                      <w:szCs w:val="21"/>
                      <w:u w:val="single"/>
                    </w:rPr>
                    <w:t>1m</w:t>
                  </w:r>
                </w:p>
              </w:tc>
              <w:tc>
                <w:tcPr>
                  <w:tcW w:w="902" w:type="pct"/>
                  <w:tcBorders>
                    <w:top w:val="single" w:color="auto" w:sz="4" w:space="0"/>
                    <w:left w:val="single" w:color="auto" w:sz="4" w:space="0"/>
                    <w:bottom w:val="single" w:color="auto" w:sz="4" w:space="0"/>
                    <w:right w:val="single" w:color="auto" w:sz="4" w:space="0"/>
                  </w:tcBorders>
                  <w:vAlign w:val="center"/>
                </w:tcPr>
                <w:p w14:paraId="62851DE0">
                  <w:pPr>
                    <w:jc w:val="center"/>
                    <w:rPr>
                      <w:color w:val="000000"/>
                      <w:sz w:val="21"/>
                      <w:szCs w:val="21"/>
                      <w:u w:val="single"/>
                    </w:rPr>
                  </w:pPr>
                  <w:r>
                    <w:rPr>
                      <w:rFonts w:hint="eastAsia"/>
                      <w:color w:val="000000"/>
                      <w:sz w:val="21"/>
                      <w:szCs w:val="21"/>
                      <w:u w:val="single"/>
                    </w:rPr>
                    <w:t>53</w:t>
                  </w:r>
                </w:p>
              </w:tc>
              <w:tc>
                <w:tcPr>
                  <w:tcW w:w="890" w:type="pct"/>
                  <w:tcBorders>
                    <w:top w:val="single" w:color="auto" w:sz="4" w:space="0"/>
                    <w:left w:val="single" w:color="auto" w:sz="4" w:space="0"/>
                    <w:bottom w:val="single" w:color="auto" w:sz="4" w:space="0"/>
                    <w:right w:val="single" w:color="auto" w:sz="4" w:space="0"/>
                  </w:tcBorders>
                  <w:vAlign w:val="center"/>
                </w:tcPr>
                <w:p w14:paraId="27D7FD22">
                  <w:pPr>
                    <w:jc w:val="center"/>
                    <w:rPr>
                      <w:color w:val="000000"/>
                      <w:sz w:val="21"/>
                      <w:szCs w:val="21"/>
                      <w:u w:val="single"/>
                    </w:rPr>
                  </w:pPr>
                  <w:r>
                    <w:rPr>
                      <w:rFonts w:hint="eastAsia"/>
                      <w:color w:val="000000"/>
                      <w:sz w:val="21"/>
                      <w:szCs w:val="21"/>
                      <w:u w:val="single"/>
                    </w:rPr>
                    <w:t>43</w:t>
                  </w:r>
                </w:p>
              </w:tc>
              <w:tc>
                <w:tcPr>
                  <w:tcW w:w="897" w:type="pct"/>
                  <w:tcBorders>
                    <w:top w:val="single" w:color="auto" w:sz="4" w:space="0"/>
                    <w:left w:val="single" w:color="auto" w:sz="4" w:space="0"/>
                    <w:bottom w:val="single" w:color="auto" w:sz="4" w:space="0"/>
                    <w:right w:val="single" w:color="auto" w:sz="4" w:space="0"/>
                  </w:tcBorders>
                  <w:vAlign w:val="center"/>
                </w:tcPr>
                <w:p w14:paraId="2416C444">
                  <w:pPr>
                    <w:jc w:val="center"/>
                    <w:rPr>
                      <w:color w:val="000000"/>
                      <w:sz w:val="21"/>
                      <w:szCs w:val="21"/>
                      <w:u w:val="single"/>
                    </w:rPr>
                  </w:pPr>
                  <w:r>
                    <w:rPr>
                      <w:rFonts w:hint="eastAsia"/>
                      <w:color w:val="000000"/>
                      <w:sz w:val="21"/>
                      <w:szCs w:val="21"/>
                      <w:u w:val="single"/>
                    </w:rPr>
                    <w:t>54</w:t>
                  </w:r>
                </w:p>
              </w:tc>
              <w:tc>
                <w:tcPr>
                  <w:tcW w:w="891" w:type="pct"/>
                  <w:tcBorders>
                    <w:top w:val="single" w:color="auto" w:sz="4" w:space="0"/>
                    <w:left w:val="single" w:color="auto" w:sz="4" w:space="0"/>
                    <w:bottom w:val="single" w:color="auto" w:sz="4" w:space="0"/>
                    <w:right w:val="nil"/>
                  </w:tcBorders>
                  <w:vAlign w:val="center"/>
                </w:tcPr>
                <w:p w14:paraId="1874200D">
                  <w:pPr>
                    <w:jc w:val="center"/>
                    <w:rPr>
                      <w:color w:val="000000"/>
                      <w:sz w:val="21"/>
                      <w:szCs w:val="21"/>
                      <w:u w:val="single"/>
                    </w:rPr>
                  </w:pPr>
                  <w:r>
                    <w:rPr>
                      <w:rFonts w:hint="eastAsia"/>
                      <w:color w:val="000000"/>
                      <w:sz w:val="21"/>
                      <w:szCs w:val="21"/>
                      <w:u w:val="single"/>
                    </w:rPr>
                    <w:t>43</w:t>
                  </w:r>
                </w:p>
              </w:tc>
            </w:tr>
            <w:tr w14:paraId="6D5D2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0" w:type="pct"/>
                  <w:tcBorders>
                    <w:top w:val="single" w:color="auto" w:sz="4" w:space="0"/>
                    <w:left w:val="nil"/>
                    <w:bottom w:val="single" w:color="auto" w:sz="4" w:space="0"/>
                    <w:right w:val="single" w:color="auto" w:sz="4" w:space="0"/>
                  </w:tcBorders>
                  <w:vAlign w:val="center"/>
                </w:tcPr>
                <w:p w14:paraId="6A08ED82">
                  <w:pPr>
                    <w:jc w:val="center"/>
                    <w:rPr>
                      <w:color w:val="000000"/>
                      <w:sz w:val="21"/>
                      <w:szCs w:val="21"/>
                      <w:u w:val="single"/>
                    </w:rPr>
                  </w:pPr>
                  <w:r>
                    <w:rPr>
                      <w:rFonts w:ascii="宋体" w:hAnsi="宋体"/>
                      <w:color w:val="000000"/>
                      <w:sz w:val="21"/>
                      <w:szCs w:val="21"/>
                      <w:u w:val="single"/>
                    </w:rPr>
                    <w:t>场界北侧外</w:t>
                  </w:r>
                  <w:r>
                    <w:rPr>
                      <w:color w:val="000000"/>
                      <w:sz w:val="21"/>
                      <w:szCs w:val="21"/>
                      <w:u w:val="single"/>
                    </w:rPr>
                    <w:t>1m</w:t>
                  </w:r>
                </w:p>
              </w:tc>
              <w:tc>
                <w:tcPr>
                  <w:tcW w:w="902" w:type="pct"/>
                  <w:tcBorders>
                    <w:top w:val="single" w:color="auto" w:sz="4" w:space="0"/>
                    <w:left w:val="single" w:color="auto" w:sz="4" w:space="0"/>
                    <w:bottom w:val="single" w:color="auto" w:sz="4" w:space="0"/>
                    <w:right w:val="single" w:color="auto" w:sz="4" w:space="0"/>
                  </w:tcBorders>
                  <w:vAlign w:val="center"/>
                </w:tcPr>
                <w:p w14:paraId="738C89C9">
                  <w:pPr>
                    <w:jc w:val="center"/>
                    <w:rPr>
                      <w:color w:val="000000"/>
                      <w:sz w:val="21"/>
                      <w:szCs w:val="21"/>
                      <w:u w:val="single"/>
                    </w:rPr>
                  </w:pPr>
                  <w:r>
                    <w:rPr>
                      <w:rFonts w:hint="eastAsia"/>
                      <w:color w:val="000000"/>
                      <w:sz w:val="21"/>
                      <w:szCs w:val="21"/>
                      <w:u w:val="single"/>
                    </w:rPr>
                    <w:t>54</w:t>
                  </w:r>
                </w:p>
              </w:tc>
              <w:tc>
                <w:tcPr>
                  <w:tcW w:w="890" w:type="pct"/>
                  <w:tcBorders>
                    <w:top w:val="single" w:color="auto" w:sz="4" w:space="0"/>
                    <w:left w:val="single" w:color="auto" w:sz="4" w:space="0"/>
                    <w:bottom w:val="single" w:color="auto" w:sz="4" w:space="0"/>
                    <w:right w:val="single" w:color="auto" w:sz="4" w:space="0"/>
                  </w:tcBorders>
                  <w:vAlign w:val="center"/>
                </w:tcPr>
                <w:p w14:paraId="718EE3FF">
                  <w:pPr>
                    <w:jc w:val="center"/>
                    <w:rPr>
                      <w:color w:val="000000"/>
                      <w:sz w:val="21"/>
                      <w:szCs w:val="21"/>
                      <w:u w:val="single"/>
                    </w:rPr>
                  </w:pPr>
                  <w:r>
                    <w:rPr>
                      <w:rFonts w:hint="eastAsia"/>
                      <w:color w:val="000000"/>
                      <w:sz w:val="21"/>
                      <w:szCs w:val="21"/>
                      <w:u w:val="single"/>
                    </w:rPr>
                    <w:t>44</w:t>
                  </w:r>
                </w:p>
              </w:tc>
              <w:tc>
                <w:tcPr>
                  <w:tcW w:w="897" w:type="pct"/>
                  <w:tcBorders>
                    <w:top w:val="single" w:color="auto" w:sz="4" w:space="0"/>
                    <w:left w:val="single" w:color="auto" w:sz="4" w:space="0"/>
                    <w:bottom w:val="single" w:color="auto" w:sz="4" w:space="0"/>
                    <w:right w:val="single" w:color="auto" w:sz="4" w:space="0"/>
                  </w:tcBorders>
                  <w:vAlign w:val="center"/>
                </w:tcPr>
                <w:p w14:paraId="11CD90C5">
                  <w:pPr>
                    <w:jc w:val="center"/>
                    <w:rPr>
                      <w:color w:val="000000"/>
                      <w:sz w:val="21"/>
                      <w:szCs w:val="21"/>
                      <w:u w:val="single"/>
                    </w:rPr>
                  </w:pPr>
                  <w:r>
                    <w:rPr>
                      <w:rFonts w:hint="eastAsia"/>
                      <w:color w:val="000000"/>
                      <w:sz w:val="21"/>
                      <w:szCs w:val="21"/>
                      <w:u w:val="single"/>
                    </w:rPr>
                    <w:t>54</w:t>
                  </w:r>
                </w:p>
              </w:tc>
              <w:tc>
                <w:tcPr>
                  <w:tcW w:w="891" w:type="pct"/>
                  <w:tcBorders>
                    <w:top w:val="single" w:color="auto" w:sz="4" w:space="0"/>
                    <w:left w:val="single" w:color="auto" w:sz="4" w:space="0"/>
                    <w:bottom w:val="single" w:color="auto" w:sz="4" w:space="0"/>
                    <w:right w:val="nil"/>
                  </w:tcBorders>
                  <w:vAlign w:val="center"/>
                </w:tcPr>
                <w:p w14:paraId="16379509">
                  <w:pPr>
                    <w:jc w:val="center"/>
                    <w:rPr>
                      <w:color w:val="000000"/>
                      <w:sz w:val="21"/>
                      <w:szCs w:val="21"/>
                      <w:u w:val="single"/>
                    </w:rPr>
                  </w:pPr>
                  <w:r>
                    <w:rPr>
                      <w:rFonts w:hint="eastAsia"/>
                      <w:color w:val="000000"/>
                      <w:sz w:val="21"/>
                      <w:szCs w:val="21"/>
                      <w:u w:val="single"/>
                    </w:rPr>
                    <w:t>43</w:t>
                  </w:r>
                </w:p>
              </w:tc>
            </w:tr>
            <w:tr w14:paraId="08B89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0" w:type="pct"/>
                  <w:tcBorders>
                    <w:top w:val="single" w:color="auto" w:sz="4" w:space="0"/>
                    <w:left w:val="nil"/>
                    <w:bottom w:val="single" w:color="auto" w:sz="12" w:space="0"/>
                    <w:right w:val="single" w:color="auto" w:sz="4" w:space="0"/>
                  </w:tcBorders>
                  <w:vAlign w:val="center"/>
                </w:tcPr>
                <w:p w14:paraId="29D37405">
                  <w:pPr>
                    <w:jc w:val="center"/>
                    <w:rPr>
                      <w:color w:val="000000"/>
                      <w:sz w:val="21"/>
                      <w:szCs w:val="21"/>
                      <w:u w:val="single"/>
                    </w:rPr>
                  </w:pPr>
                  <w:r>
                    <w:rPr>
                      <w:rFonts w:ascii="宋体" w:hAnsi="宋体"/>
                      <w:color w:val="000000"/>
                      <w:sz w:val="21"/>
                      <w:szCs w:val="21"/>
                      <w:u w:val="single"/>
                    </w:rPr>
                    <w:t>标准限值</w:t>
                  </w:r>
                </w:p>
              </w:tc>
              <w:tc>
                <w:tcPr>
                  <w:tcW w:w="902" w:type="pct"/>
                  <w:tcBorders>
                    <w:top w:val="single" w:color="auto" w:sz="4" w:space="0"/>
                    <w:left w:val="single" w:color="auto" w:sz="4" w:space="0"/>
                    <w:bottom w:val="single" w:color="auto" w:sz="12" w:space="0"/>
                    <w:right w:val="single" w:color="auto" w:sz="4" w:space="0"/>
                  </w:tcBorders>
                  <w:vAlign w:val="center"/>
                </w:tcPr>
                <w:p w14:paraId="3016A155">
                  <w:pPr>
                    <w:jc w:val="center"/>
                    <w:rPr>
                      <w:color w:val="000000"/>
                      <w:sz w:val="21"/>
                      <w:szCs w:val="21"/>
                      <w:u w:val="single"/>
                    </w:rPr>
                  </w:pPr>
                  <w:r>
                    <w:rPr>
                      <w:rFonts w:hint="eastAsia"/>
                      <w:color w:val="000000"/>
                      <w:sz w:val="21"/>
                      <w:szCs w:val="21"/>
                      <w:u w:val="single"/>
                    </w:rPr>
                    <w:t>60</w:t>
                  </w:r>
                </w:p>
              </w:tc>
              <w:tc>
                <w:tcPr>
                  <w:tcW w:w="890" w:type="pct"/>
                  <w:tcBorders>
                    <w:top w:val="single" w:color="auto" w:sz="4" w:space="0"/>
                    <w:left w:val="single" w:color="auto" w:sz="4" w:space="0"/>
                    <w:bottom w:val="single" w:color="auto" w:sz="12" w:space="0"/>
                    <w:right w:val="single" w:color="auto" w:sz="4" w:space="0"/>
                  </w:tcBorders>
                  <w:vAlign w:val="center"/>
                </w:tcPr>
                <w:p w14:paraId="6F381896">
                  <w:pPr>
                    <w:jc w:val="center"/>
                    <w:rPr>
                      <w:color w:val="000000"/>
                      <w:sz w:val="21"/>
                      <w:szCs w:val="21"/>
                      <w:u w:val="single"/>
                    </w:rPr>
                  </w:pPr>
                  <w:r>
                    <w:rPr>
                      <w:rFonts w:hint="eastAsia"/>
                      <w:color w:val="000000"/>
                      <w:sz w:val="21"/>
                      <w:szCs w:val="21"/>
                      <w:u w:val="single"/>
                    </w:rPr>
                    <w:t>50</w:t>
                  </w:r>
                </w:p>
              </w:tc>
              <w:tc>
                <w:tcPr>
                  <w:tcW w:w="897" w:type="pct"/>
                  <w:tcBorders>
                    <w:top w:val="single" w:color="auto" w:sz="4" w:space="0"/>
                    <w:left w:val="single" w:color="auto" w:sz="4" w:space="0"/>
                    <w:bottom w:val="single" w:color="auto" w:sz="12" w:space="0"/>
                    <w:right w:val="single" w:color="auto" w:sz="4" w:space="0"/>
                  </w:tcBorders>
                  <w:vAlign w:val="center"/>
                </w:tcPr>
                <w:p w14:paraId="5614231C">
                  <w:pPr>
                    <w:jc w:val="center"/>
                    <w:rPr>
                      <w:color w:val="000000"/>
                      <w:sz w:val="21"/>
                      <w:szCs w:val="21"/>
                      <w:u w:val="single"/>
                    </w:rPr>
                  </w:pPr>
                  <w:r>
                    <w:rPr>
                      <w:rFonts w:hint="eastAsia"/>
                      <w:color w:val="000000"/>
                      <w:sz w:val="21"/>
                      <w:szCs w:val="21"/>
                      <w:u w:val="single"/>
                    </w:rPr>
                    <w:t>60</w:t>
                  </w:r>
                </w:p>
              </w:tc>
              <w:tc>
                <w:tcPr>
                  <w:tcW w:w="891" w:type="pct"/>
                  <w:tcBorders>
                    <w:top w:val="single" w:color="auto" w:sz="4" w:space="0"/>
                    <w:left w:val="single" w:color="auto" w:sz="4" w:space="0"/>
                    <w:bottom w:val="single" w:color="auto" w:sz="12" w:space="0"/>
                    <w:right w:val="nil"/>
                  </w:tcBorders>
                  <w:vAlign w:val="center"/>
                </w:tcPr>
                <w:p w14:paraId="5D93C34F">
                  <w:pPr>
                    <w:jc w:val="center"/>
                    <w:rPr>
                      <w:color w:val="000000"/>
                      <w:sz w:val="21"/>
                      <w:szCs w:val="21"/>
                      <w:u w:val="single"/>
                    </w:rPr>
                  </w:pPr>
                  <w:r>
                    <w:rPr>
                      <w:rFonts w:hint="eastAsia"/>
                      <w:color w:val="000000"/>
                      <w:sz w:val="21"/>
                      <w:szCs w:val="21"/>
                      <w:u w:val="single"/>
                    </w:rPr>
                    <w:t>50</w:t>
                  </w:r>
                </w:p>
              </w:tc>
            </w:tr>
          </w:tbl>
          <w:p w14:paraId="2D2888CB">
            <w:pPr>
              <w:ind w:firstLine="480" w:firstLineChars="200"/>
              <w:rPr>
                <w:szCs w:val="24"/>
                <w:u w:val="single"/>
              </w:rPr>
            </w:pPr>
            <w:r>
              <w:rPr>
                <w:rFonts w:hint="eastAsia" w:ascii="宋体" w:hAnsi="宋体"/>
                <w:szCs w:val="24"/>
                <w:u w:val="single"/>
              </w:rPr>
              <w:t>由监测数据可知，监测期间，卫生院厂界四周噪声监测值均满足《声环境质量标准》（</w:t>
            </w:r>
            <w:r>
              <w:rPr>
                <w:rFonts w:hint="eastAsia"/>
                <w:szCs w:val="24"/>
                <w:u w:val="single"/>
              </w:rPr>
              <w:t>GB3096-2008</w:t>
            </w:r>
            <w:r>
              <w:rPr>
                <w:rFonts w:hint="eastAsia" w:ascii="宋体" w:hAnsi="宋体"/>
                <w:szCs w:val="24"/>
                <w:u w:val="single"/>
              </w:rPr>
              <w:t xml:space="preserve">）中 </w:t>
            </w:r>
            <w:r>
              <w:rPr>
                <w:rFonts w:hint="eastAsia"/>
                <w:szCs w:val="24"/>
                <w:u w:val="single"/>
              </w:rPr>
              <w:t xml:space="preserve">2 </w:t>
            </w:r>
            <w:r>
              <w:rPr>
                <w:rFonts w:hint="eastAsia" w:ascii="宋体" w:hAnsi="宋体"/>
                <w:szCs w:val="24"/>
                <w:u w:val="single"/>
              </w:rPr>
              <w:t>类标准要求。</w:t>
            </w:r>
          </w:p>
          <w:p w14:paraId="0714A379">
            <w:pPr>
              <w:ind w:firstLine="482"/>
              <w:jc w:val="both"/>
              <w:rPr>
                <w:b/>
                <w:szCs w:val="24"/>
              </w:rPr>
            </w:pPr>
            <w:r>
              <w:rPr>
                <w:rFonts w:hint="eastAsia"/>
                <w:b/>
                <w:szCs w:val="24"/>
              </w:rPr>
              <w:t>4</w:t>
            </w:r>
            <w:r>
              <w:rPr>
                <w:rFonts w:hint="eastAsia" w:ascii="宋体" w:hAnsi="宋体"/>
                <w:b/>
                <w:szCs w:val="24"/>
              </w:rPr>
              <w:t>、生态环境现状</w:t>
            </w:r>
          </w:p>
          <w:p w14:paraId="3DD016A0">
            <w:pPr>
              <w:ind w:firstLine="480" w:firstLineChars="200"/>
              <w:rPr>
                <w:szCs w:val="24"/>
              </w:rPr>
            </w:pPr>
            <w:r>
              <w:rPr>
                <w:rFonts w:hint="eastAsia" w:ascii="宋体" w:hAnsi="宋体"/>
                <w:szCs w:val="24"/>
              </w:rPr>
              <w:t>根据《建设项目环境影响报告表编制技术指南（污染影响类）（试行）》，产业园区外建设项目新增用地且用地范围内含有生态环境保护目标时，应进行生态现状调查。本项目所在区域为永州市双牌县茶林镇大河江村，区域的土地利用格局以居民居住用地、商业用地为主；区域内动物为乡镇主要常见动、植物；通过走访调查，项目所在区域内没有珍惜植物和古树木。</w:t>
            </w:r>
          </w:p>
          <w:p w14:paraId="7300BE68">
            <w:pPr>
              <w:ind w:firstLine="482"/>
              <w:jc w:val="both"/>
              <w:rPr>
                <w:b/>
                <w:szCs w:val="24"/>
              </w:rPr>
            </w:pPr>
            <w:r>
              <w:rPr>
                <w:rFonts w:hint="eastAsia"/>
                <w:b/>
                <w:szCs w:val="24"/>
              </w:rPr>
              <w:t>5</w:t>
            </w:r>
            <w:r>
              <w:rPr>
                <w:rFonts w:hint="eastAsia" w:ascii="宋体" w:hAnsi="宋体"/>
                <w:b/>
                <w:szCs w:val="24"/>
              </w:rPr>
              <w:t>、地下水、土壤环境质量现状</w:t>
            </w:r>
          </w:p>
          <w:p w14:paraId="7E958427">
            <w:pPr>
              <w:ind w:firstLine="480" w:firstLineChars="200"/>
              <w:rPr>
                <w:szCs w:val="24"/>
              </w:rPr>
            </w:pPr>
            <w:r>
              <w:rPr>
                <w:rFonts w:hint="eastAsia" w:ascii="宋体" w:hAnsi="宋体"/>
                <w:szCs w:val="24"/>
              </w:rPr>
              <w:t>根据《建设项目环境影响报告表编制技术指南（污染影响类）（试行）》，本项目可不开展地下水、土壤环境质量现状调查。</w:t>
            </w:r>
          </w:p>
          <w:p w14:paraId="48FBCD6B">
            <w:pPr>
              <w:ind w:firstLine="482"/>
              <w:jc w:val="both"/>
              <w:rPr>
                <w:b/>
                <w:szCs w:val="24"/>
              </w:rPr>
            </w:pPr>
            <w:r>
              <w:rPr>
                <w:rFonts w:hint="eastAsia"/>
                <w:b/>
                <w:szCs w:val="24"/>
              </w:rPr>
              <w:t>6</w:t>
            </w:r>
            <w:r>
              <w:rPr>
                <w:rFonts w:hint="eastAsia" w:ascii="宋体" w:hAnsi="宋体"/>
                <w:b/>
                <w:szCs w:val="24"/>
              </w:rPr>
              <w:t>、电磁辐射</w:t>
            </w:r>
          </w:p>
          <w:p w14:paraId="7F046872">
            <w:pPr>
              <w:ind w:firstLine="480" w:firstLineChars="200"/>
              <w:rPr>
                <w:szCs w:val="24"/>
              </w:rPr>
            </w:pPr>
            <w:r>
              <w:rPr>
                <w:rFonts w:hint="eastAsia" w:ascii="宋体" w:hAnsi="宋体"/>
                <w:szCs w:val="24"/>
              </w:rPr>
              <w:t>新建或改建、扩建广播电台、差转台、电视塔台、卫星地球上行站、雷达等电磁辐射类项目，应根据相关技术导则对项目电磁辐射现状开展监测与评价。本次环评不包含放射性、辐射等项目环境影响评价内容，其相关内容需另行委托有资质的单位进行评价。</w:t>
            </w:r>
          </w:p>
        </w:tc>
      </w:tr>
      <w:tr w14:paraId="1FB6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Borders>
              <w:top w:val="single" w:color="auto" w:sz="4" w:space="0"/>
              <w:left w:val="single" w:color="auto" w:sz="4" w:space="0"/>
              <w:bottom w:val="single" w:color="auto" w:sz="4" w:space="0"/>
              <w:right w:val="single" w:color="auto" w:sz="4" w:space="0"/>
            </w:tcBorders>
            <w:vAlign w:val="center"/>
          </w:tcPr>
          <w:p w14:paraId="7D823E2E">
            <w:pPr>
              <w:jc w:val="center"/>
              <w:rPr>
                <w:kern w:val="0"/>
                <w:szCs w:val="24"/>
              </w:rPr>
            </w:pPr>
            <w:r>
              <w:rPr>
                <w:rFonts w:hint="eastAsia" w:ascii="宋体" w:hAnsi="宋体"/>
                <w:kern w:val="0"/>
                <w:szCs w:val="24"/>
              </w:rPr>
              <w:t>环境保护目标</w:t>
            </w:r>
          </w:p>
        </w:tc>
        <w:tc>
          <w:tcPr>
            <w:tcW w:w="8495" w:type="dxa"/>
            <w:tcBorders>
              <w:top w:val="single" w:color="auto" w:sz="4" w:space="0"/>
              <w:left w:val="single" w:color="auto" w:sz="4" w:space="0"/>
              <w:bottom w:val="single" w:color="auto" w:sz="4" w:space="0"/>
              <w:right w:val="single" w:color="auto" w:sz="4" w:space="0"/>
            </w:tcBorders>
          </w:tcPr>
          <w:p w14:paraId="089878A1">
            <w:pPr>
              <w:ind w:firstLine="480" w:firstLineChars="200"/>
              <w:rPr>
                <w:szCs w:val="24"/>
              </w:rPr>
            </w:pPr>
            <w:r>
              <w:rPr>
                <w:rFonts w:hint="eastAsia" w:ascii="宋体" w:hAnsi="宋体"/>
                <w:szCs w:val="24"/>
              </w:rPr>
              <w:t>据调查厂界外</w:t>
            </w:r>
            <w:r>
              <w:rPr>
                <w:rFonts w:hint="eastAsia"/>
                <w:szCs w:val="24"/>
              </w:rPr>
              <w:t xml:space="preserve"> 500m </w:t>
            </w:r>
            <w:r>
              <w:rPr>
                <w:rFonts w:hint="eastAsia" w:ascii="宋体" w:hAnsi="宋体"/>
                <w:szCs w:val="24"/>
              </w:rPr>
              <w:t xml:space="preserve">范围内无自然保护区、风景名胜区等环境敏感点：厂界外 </w:t>
            </w:r>
            <w:r>
              <w:rPr>
                <w:rFonts w:hint="eastAsia"/>
                <w:szCs w:val="24"/>
              </w:rPr>
              <w:t xml:space="preserve">500m </w:t>
            </w:r>
            <w:r>
              <w:rPr>
                <w:rFonts w:hint="eastAsia" w:ascii="宋体" w:hAnsi="宋体"/>
                <w:szCs w:val="24"/>
              </w:rPr>
              <w:t>范围内无地下水集中式饮用水水源和热水、矿泉水、温泉等特殊地下水资源。</w:t>
            </w:r>
          </w:p>
          <w:p w14:paraId="5C586D29">
            <w:pPr>
              <w:ind w:firstLine="480" w:firstLineChars="200"/>
              <w:rPr>
                <w:szCs w:val="24"/>
              </w:rPr>
            </w:pPr>
            <w:r>
              <w:rPr>
                <w:rFonts w:hint="eastAsia" w:ascii="宋体" w:hAnsi="宋体"/>
                <w:szCs w:val="24"/>
              </w:rPr>
              <w:t>根据现场勘察，本项目的环境保护目标见下表。</w:t>
            </w:r>
          </w:p>
          <w:p w14:paraId="4760B255">
            <w:pPr>
              <w:jc w:val="center"/>
              <w:rPr>
                <w:b/>
                <w:bCs/>
                <w:szCs w:val="24"/>
              </w:rPr>
            </w:pPr>
            <w:r>
              <w:rPr>
                <w:rFonts w:hint="eastAsia" w:ascii="宋体" w:hAnsi="宋体"/>
                <w:b/>
                <w:bCs/>
                <w:szCs w:val="24"/>
              </w:rPr>
              <w:t>表</w:t>
            </w:r>
            <w:r>
              <w:rPr>
                <w:rFonts w:hint="eastAsia"/>
                <w:b/>
                <w:bCs/>
                <w:szCs w:val="24"/>
              </w:rPr>
              <w:t>3</w:t>
            </w:r>
            <w:r>
              <w:rPr>
                <w:b/>
                <w:bCs/>
                <w:szCs w:val="24"/>
              </w:rPr>
              <w:t xml:space="preserve">-4 </w:t>
            </w:r>
            <w:r>
              <w:rPr>
                <w:rFonts w:hint="eastAsia" w:ascii="宋体" w:hAnsi="宋体"/>
                <w:b/>
                <w:bCs/>
                <w:szCs w:val="24"/>
              </w:rPr>
              <w:t>环境保护目标一览表</w:t>
            </w:r>
          </w:p>
          <w:tbl>
            <w:tblPr>
              <w:tblStyle w:val="6"/>
              <w:tblW w:w="5000" w:type="pct"/>
              <w:tblInd w:w="13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612"/>
              <w:gridCol w:w="1828"/>
              <w:gridCol w:w="1712"/>
              <w:gridCol w:w="2249"/>
            </w:tblGrid>
            <w:tr w14:paraId="60437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4" w:type="pct"/>
                  <w:tcBorders>
                    <w:top w:val="single" w:color="auto" w:sz="12" w:space="0"/>
                    <w:left w:val="single" w:color="auto" w:sz="12" w:space="0"/>
                    <w:bottom w:val="single" w:color="auto" w:sz="4" w:space="0"/>
                    <w:right w:val="single" w:color="auto" w:sz="4" w:space="0"/>
                  </w:tcBorders>
                  <w:vAlign w:val="center"/>
                </w:tcPr>
                <w:p w14:paraId="63A64B0E">
                  <w:pPr>
                    <w:spacing w:line="240" w:lineRule="auto"/>
                    <w:jc w:val="center"/>
                    <w:rPr>
                      <w:sz w:val="21"/>
                      <w:szCs w:val="21"/>
                    </w:rPr>
                  </w:pPr>
                  <w:r>
                    <w:rPr>
                      <w:rFonts w:ascii="宋体" w:hAnsi="宋体"/>
                      <w:sz w:val="21"/>
                      <w:szCs w:val="21"/>
                    </w:rPr>
                    <w:t>类别</w:t>
                  </w:r>
                </w:p>
              </w:tc>
              <w:tc>
                <w:tcPr>
                  <w:tcW w:w="977" w:type="pct"/>
                  <w:tcBorders>
                    <w:top w:val="single" w:color="auto" w:sz="12" w:space="0"/>
                    <w:left w:val="single" w:color="auto" w:sz="4" w:space="0"/>
                    <w:bottom w:val="single" w:color="auto" w:sz="4" w:space="0"/>
                    <w:right w:val="single" w:color="auto" w:sz="4" w:space="0"/>
                  </w:tcBorders>
                  <w:vAlign w:val="center"/>
                </w:tcPr>
                <w:p w14:paraId="7D9A52AA">
                  <w:pPr>
                    <w:spacing w:line="240" w:lineRule="auto"/>
                    <w:jc w:val="center"/>
                    <w:rPr>
                      <w:sz w:val="21"/>
                      <w:szCs w:val="21"/>
                    </w:rPr>
                  </w:pPr>
                  <w:r>
                    <w:rPr>
                      <w:rFonts w:ascii="宋体" w:hAnsi="宋体"/>
                      <w:sz w:val="21"/>
                      <w:szCs w:val="21"/>
                    </w:rPr>
                    <w:t>环境保护目标</w:t>
                  </w:r>
                </w:p>
              </w:tc>
              <w:tc>
                <w:tcPr>
                  <w:tcW w:w="1108" w:type="pct"/>
                  <w:tcBorders>
                    <w:top w:val="single" w:color="auto" w:sz="12" w:space="0"/>
                    <w:left w:val="single" w:color="auto" w:sz="4" w:space="0"/>
                    <w:bottom w:val="single" w:color="auto" w:sz="4" w:space="0"/>
                    <w:right w:val="single" w:color="auto" w:sz="4" w:space="0"/>
                  </w:tcBorders>
                  <w:vAlign w:val="center"/>
                </w:tcPr>
                <w:p w14:paraId="24624A42">
                  <w:pPr>
                    <w:spacing w:line="240" w:lineRule="auto"/>
                    <w:jc w:val="center"/>
                    <w:rPr>
                      <w:sz w:val="21"/>
                      <w:szCs w:val="21"/>
                    </w:rPr>
                  </w:pPr>
                  <w:r>
                    <w:rPr>
                      <w:rFonts w:ascii="宋体" w:hAnsi="宋体"/>
                      <w:sz w:val="21"/>
                      <w:szCs w:val="21"/>
                    </w:rPr>
                    <w:t>环境功能、规模</w:t>
                  </w:r>
                </w:p>
              </w:tc>
              <w:tc>
                <w:tcPr>
                  <w:tcW w:w="1038" w:type="pct"/>
                  <w:tcBorders>
                    <w:top w:val="single" w:color="auto" w:sz="12" w:space="0"/>
                    <w:left w:val="single" w:color="auto" w:sz="4" w:space="0"/>
                    <w:bottom w:val="single" w:color="auto" w:sz="4" w:space="0"/>
                    <w:right w:val="single" w:color="auto" w:sz="4" w:space="0"/>
                  </w:tcBorders>
                  <w:vAlign w:val="center"/>
                </w:tcPr>
                <w:p w14:paraId="69C77B40">
                  <w:pPr>
                    <w:spacing w:line="240" w:lineRule="auto"/>
                    <w:jc w:val="center"/>
                    <w:rPr>
                      <w:sz w:val="21"/>
                      <w:szCs w:val="21"/>
                    </w:rPr>
                  </w:pPr>
                  <w:r>
                    <w:rPr>
                      <w:rFonts w:ascii="宋体" w:hAnsi="宋体"/>
                      <w:sz w:val="21"/>
                      <w:szCs w:val="21"/>
                    </w:rPr>
                    <w:t>相对项目方位及距离</w:t>
                  </w:r>
                </w:p>
              </w:tc>
              <w:tc>
                <w:tcPr>
                  <w:tcW w:w="1363" w:type="pct"/>
                  <w:tcBorders>
                    <w:top w:val="single" w:color="auto" w:sz="12" w:space="0"/>
                    <w:left w:val="single" w:color="auto" w:sz="4" w:space="0"/>
                    <w:bottom w:val="single" w:color="auto" w:sz="4" w:space="0"/>
                    <w:right w:val="single" w:color="auto" w:sz="12" w:space="0"/>
                  </w:tcBorders>
                  <w:vAlign w:val="center"/>
                </w:tcPr>
                <w:p w14:paraId="24D025B6">
                  <w:pPr>
                    <w:spacing w:line="240" w:lineRule="auto"/>
                    <w:jc w:val="center"/>
                    <w:rPr>
                      <w:sz w:val="21"/>
                      <w:szCs w:val="21"/>
                    </w:rPr>
                  </w:pPr>
                  <w:r>
                    <w:rPr>
                      <w:rFonts w:ascii="宋体" w:hAnsi="宋体"/>
                      <w:sz w:val="21"/>
                      <w:szCs w:val="21"/>
                    </w:rPr>
                    <w:t>环境功能及保护级别</w:t>
                  </w:r>
                </w:p>
              </w:tc>
            </w:tr>
            <w:tr w14:paraId="51019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4" w:type="pct"/>
                  <w:vMerge w:val="restart"/>
                  <w:tcBorders>
                    <w:top w:val="single" w:color="auto" w:sz="4" w:space="0"/>
                    <w:left w:val="single" w:color="auto" w:sz="12" w:space="0"/>
                    <w:bottom w:val="single" w:color="auto" w:sz="4" w:space="0"/>
                    <w:right w:val="single" w:color="auto" w:sz="4" w:space="0"/>
                  </w:tcBorders>
                  <w:vAlign w:val="center"/>
                </w:tcPr>
                <w:p w14:paraId="17B8BFBC">
                  <w:pPr>
                    <w:spacing w:line="240" w:lineRule="auto"/>
                    <w:jc w:val="center"/>
                    <w:rPr>
                      <w:sz w:val="21"/>
                      <w:szCs w:val="21"/>
                    </w:rPr>
                  </w:pPr>
                  <w:r>
                    <w:rPr>
                      <w:rFonts w:hint="eastAsia" w:ascii="宋体" w:hAnsi="宋体"/>
                      <w:sz w:val="21"/>
                      <w:szCs w:val="21"/>
                    </w:rPr>
                    <w:t>大气环境</w:t>
                  </w:r>
                </w:p>
              </w:tc>
              <w:tc>
                <w:tcPr>
                  <w:tcW w:w="977" w:type="pct"/>
                  <w:tcBorders>
                    <w:top w:val="single" w:color="auto" w:sz="4" w:space="0"/>
                    <w:left w:val="single" w:color="auto" w:sz="4" w:space="0"/>
                    <w:bottom w:val="single" w:color="auto" w:sz="4" w:space="0"/>
                    <w:right w:val="single" w:color="auto" w:sz="4" w:space="0"/>
                  </w:tcBorders>
                  <w:vAlign w:val="center"/>
                </w:tcPr>
                <w:p w14:paraId="25A05342">
                  <w:pPr>
                    <w:spacing w:line="240" w:lineRule="auto"/>
                    <w:jc w:val="center"/>
                    <w:rPr>
                      <w:sz w:val="21"/>
                      <w:szCs w:val="21"/>
                    </w:rPr>
                  </w:pPr>
                  <w:r>
                    <w:rPr>
                      <w:rFonts w:hint="eastAsia" w:ascii="宋体" w:hAnsi="宋体"/>
                      <w:sz w:val="21"/>
                      <w:szCs w:val="21"/>
                    </w:rPr>
                    <w:t>茶林镇大江村居民点</w:t>
                  </w:r>
                </w:p>
              </w:tc>
              <w:tc>
                <w:tcPr>
                  <w:tcW w:w="1108" w:type="pct"/>
                  <w:tcBorders>
                    <w:top w:val="single" w:color="auto" w:sz="4" w:space="0"/>
                    <w:left w:val="single" w:color="auto" w:sz="4" w:space="0"/>
                    <w:bottom w:val="single" w:color="auto" w:sz="4" w:space="0"/>
                    <w:right w:val="single" w:color="auto" w:sz="4" w:space="0"/>
                  </w:tcBorders>
                  <w:vAlign w:val="center"/>
                </w:tcPr>
                <w:p w14:paraId="12A6DB27">
                  <w:pPr>
                    <w:spacing w:line="240" w:lineRule="auto"/>
                    <w:jc w:val="center"/>
                    <w:rPr>
                      <w:sz w:val="21"/>
                      <w:szCs w:val="21"/>
                    </w:rPr>
                  </w:pPr>
                  <w:r>
                    <w:rPr>
                      <w:rFonts w:hint="eastAsia" w:ascii="宋体" w:hAnsi="宋体"/>
                      <w:sz w:val="21"/>
                      <w:szCs w:val="21"/>
                    </w:rPr>
                    <w:t>居民点，约</w:t>
                  </w:r>
                  <w:r>
                    <w:rPr>
                      <w:sz w:val="21"/>
                      <w:szCs w:val="21"/>
                    </w:rPr>
                    <w:t>3000</w:t>
                  </w:r>
                  <w:r>
                    <w:rPr>
                      <w:rFonts w:hint="eastAsia" w:ascii="宋体" w:hAnsi="宋体"/>
                      <w:sz w:val="21"/>
                      <w:szCs w:val="21"/>
                    </w:rPr>
                    <w:t>人</w:t>
                  </w:r>
                </w:p>
              </w:tc>
              <w:tc>
                <w:tcPr>
                  <w:tcW w:w="1038" w:type="pct"/>
                  <w:tcBorders>
                    <w:top w:val="single" w:color="auto" w:sz="4" w:space="0"/>
                    <w:left w:val="single" w:color="auto" w:sz="4" w:space="0"/>
                    <w:bottom w:val="single" w:color="auto" w:sz="4" w:space="0"/>
                    <w:right w:val="single" w:color="auto" w:sz="4" w:space="0"/>
                  </w:tcBorders>
                  <w:vAlign w:val="center"/>
                </w:tcPr>
                <w:p w14:paraId="26322848">
                  <w:pPr>
                    <w:spacing w:line="240" w:lineRule="auto"/>
                    <w:jc w:val="center"/>
                    <w:rPr>
                      <w:sz w:val="21"/>
                      <w:szCs w:val="21"/>
                    </w:rPr>
                  </w:pPr>
                  <w:r>
                    <w:rPr>
                      <w:sz w:val="21"/>
                      <w:szCs w:val="21"/>
                    </w:rPr>
                    <w:t>1~500m</w:t>
                  </w:r>
                </w:p>
              </w:tc>
              <w:tc>
                <w:tcPr>
                  <w:tcW w:w="1363" w:type="pct"/>
                  <w:vMerge w:val="restart"/>
                  <w:tcBorders>
                    <w:top w:val="single" w:color="auto" w:sz="4" w:space="0"/>
                    <w:left w:val="single" w:color="auto" w:sz="4" w:space="0"/>
                    <w:bottom w:val="single" w:color="auto" w:sz="4" w:space="0"/>
                    <w:right w:val="single" w:color="auto" w:sz="12" w:space="0"/>
                  </w:tcBorders>
                  <w:vAlign w:val="center"/>
                </w:tcPr>
                <w:p w14:paraId="6D402613">
                  <w:pPr>
                    <w:spacing w:line="240" w:lineRule="auto"/>
                    <w:jc w:val="center"/>
                    <w:rPr>
                      <w:sz w:val="21"/>
                      <w:szCs w:val="21"/>
                    </w:rPr>
                  </w:pPr>
                  <w:r>
                    <w:rPr>
                      <w:rFonts w:hint="eastAsia" w:ascii="宋体" w:hAnsi="宋体"/>
                      <w:sz w:val="21"/>
                      <w:szCs w:val="21"/>
                    </w:rPr>
                    <w:t>《环境空气质量标准》（</w:t>
                  </w:r>
                  <w:r>
                    <w:rPr>
                      <w:rFonts w:hint="eastAsia"/>
                      <w:sz w:val="21"/>
                      <w:szCs w:val="21"/>
                    </w:rPr>
                    <w:t>GB3095-2012</w:t>
                  </w:r>
                  <w:r>
                    <w:rPr>
                      <w:rFonts w:hint="eastAsia" w:ascii="宋体" w:hAnsi="宋体"/>
                      <w:sz w:val="21"/>
                      <w:szCs w:val="21"/>
                    </w:rPr>
                    <w:t>）二级标准</w:t>
                  </w:r>
                </w:p>
              </w:tc>
            </w:tr>
            <w:tr w14:paraId="12D76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4438ADCD">
                  <w:pPr>
                    <w:widowControl/>
                    <w:spacing w:line="240" w:lineRule="auto"/>
                    <w:rPr>
                      <w:sz w:val="21"/>
                      <w:szCs w:val="21"/>
                    </w:rPr>
                  </w:pPr>
                </w:p>
              </w:tc>
              <w:tc>
                <w:tcPr>
                  <w:tcW w:w="977" w:type="pct"/>
                  <w:tcBorders>
                    <w:top w:val="single" w:color="auto" w:sz="4" w:space="0"/>
                    <w:left w:val="single" w:color="auto" w:sz="4" w:space="0"/>
                    <w:bottom w:val="single" w:color="auto" w:sz="4" w:space="0"/>
                    <w:right w:val="single" w:color="auto" w:sz="4" w:space="0"/>
                  </w:tcBorders>
                  <w:vAlign w:val="center"/>
                </w:tcPr>
                <w:p w14:paraId="4D706F6F">
                  <w:pPr>
                    <w:spacing w:line="240" w:lineRule="auto"/>
                    <w:jc w:val="center"/>
                    <w:rPr>
                      <w:sz w:val="21"/>
                      <w:szCs w:val="21"/>
                    </w:rPr>
                  </w:pPr>
                  <w:r>
                    <w:rPr>
                      <w:rFonts w:hint="eastAsia" w:ascii="宋体" w:hAnsi="宋体"/>
                      <w:sz w:val="21"/>
                      <w:szCs w:val="21"/>
                    </w:rPr>
                    <w:t>大江村村民委员会</w:t>
                  </w:r>
                </w:p>
              </w:tc>
              <w:tc>
                <w:tcPr>
                  <w:tcW w:w="1108" w:type="pct"/>
                  <w:tcBorders>
                    <w:top w:val="single" w:color="auto" w:sz="4" w:space="0"/>
                    <w:left w:val="single" w:color="auto" w:sz="4" w:space="0"/>
                    <w:bottom w:val="single" w:color="auto" w:sz="4" w:space="0"/>
                    <w:right w:val="single" w:color="auto" w:sz="4" w:space="0"/>
                  </w:tcBorders>
                  <w:vAlign w:val="center"/>
                </w:tcPr>
                <w:p w14:paraId="6D6FC69E">
                  <w:pPr>
                    <w:spacing w:line="240" w:lineRule="auto"/>
                    <w:jc w:val="center"/>
                    <w:rPr>
                      <w:sz w:val="21"/>
                      <w:szCs w:val="21"/>
                    </w:rPr>
                  </w:pPr>
                  <w:r>
                    <w:rPr>
                      <w:rFonts w:hint="eastAsia" w:ascii="宋体" w:hAnsi="宋体"/>
                      <w:sz w:val="21"/>
                      <w:szCs w:val="21"/>
                    </w:rPr>
                    <w:t>办公，</w:t>
                  </w:r>
                  <w:r>
                    <w:rPr>
                      <w:rFonts w:hint="eastAsia"/>
                      <w:sz w:val="21"/>
                      <w:szCs w:val="21"/>
                    </w:rPr>
                    <w:t>3</w:t>
                  </w:r>
                  <w:r>
                    <w:rPr>
                      <w:sz w:val="21"/>
                      <w:szCs w:val="21"/>
                    </w:rPr>
                    <w:t>0</w:t>
                  </w:r>
                  <w:r>
                    <w:rPr>
                      <w:rFonts w:hint="eastAsia" w:ascii="宋体" w:hAnsi="宋体"/>
                      <w:sz w:val="21"/>
                      <w:szCs w:val="21"/>
                    </w:rPr>
                    <w:t>人</w:t>
                  </w:r>
                </w:p>
              </w:tc>
              <w:tc>
                <w:tcPr>
                  <w:tcW w:w="1038" w:type="pct"/>
                  <w:tcBorders>
                    <w:top w:val="single" w:color="auto" w:sz="4" w:space="0"/>
                    <w:left w:val="single" w:color="auto" w:sz="4" w:space="0"/>
                    <w:bottom w:val="single" w:color="auto" w:sz="4" w:space="0"/>
                    <w:right w:val="single" w:color="auto" w:sz="4" w:space="0"/>
                  </w:tcBorders>
                  <w:vAlign w:val="center"/>
                </w:tcPr>
                <w:p w14:paraId="74239EAC">
                  <w:pPr>
                    <w:spacing w:line="240" w:lineRule="auto"/>
                    <w:jc w:val="center"/>
                    <w:rPr>
                      <w:sz w:val="21"/>
                      <w:szCs w:val="21"/>
                    </w:rPr>
                  </w:pPr>
                  <w:r>
                    <w:rPr>
                      <w:rFonts w:hint="eastAsia" w:ascii="宋体" w:hAnsi="宋体"/>
                      <w:sz w:val="21"/>
                      <w:szCs w:val="21"/>
                    </w:rPr>
                    <w:t>南，</w:t>
                  </w:r>
                  <w:r>
                    <w:rPr>
                      <w:sz w:val="21"/>
                      <w:szCs w:val="21"/>
                    </w:rPr>
                    <w:t>269m</w:t>
                  </w:r>
                </w:p>
              </w:tc>
              <w:tc>
                <w:tcPr>
                  <w:tcW w:w="0" w:type="auto"/>
                  <w:vMerge w:val="continue"/>
                  <w:tcBorders>
                    <w:top w:val="single" w:color="auto" w:sz="4" w:space="0"/>
                    <w:left w:val="single" w:color="auto" w:sz="4" w:space="0"/>
                    <w:bottom w:val="single" w:color="auto" w:sz="4" w:space="0"/>
                    <w:right w:val="single" w:color="auto" w:sz="12" w:space="0"/>
                  </w:tcBorders>
                  <w:vAlign w:val="center"/>
                </w:tcPr>
                <w:p w14:paraId="158B0F51">
                  <w:pPr>
                    <w:widowControl/>
                    <w:spacing w:line="240" w:lineRule="auto"/>
                    <w:rPr>
                      <w:sz w:val="21"/>
                      <w:szCs w:val="21"/>
                    </w:rPr>
                  </w:pPr>
                </w:p>
              </w:tc>
            </w:tr>
            <w:tr w14:paraId="15CBE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4" w:type="pct"/>
                  <w:tcBorders>
                    <w:top w:val="single" w:color="auto" w:sz="4" w:space="0"/>
                    <w:left w:val="single" w:color="auto" w:sz="12" w:space="0"/>
                    <w:bottom w:val="single" w:color="auto" w:sz="4" w:space="0"/>
                    <w:right w:val="single" w:color="auto" w:sz="4" w:space="0"/>
                  </w:tcBorders>
                  <w:vAlign w:val="center"/>
                </w:tcPr>
                <w:p w14:paraId="6B994DCA">
                  <w:pPr>
                    <w:spacing w:line="240" w:lineRule="auto"/>
                    <w:jc w:val="center"/>
                    <w:rPr>
                      <w:sz w:val="21"/>
                      <w:szCs w:val="21"/>
                    </w:rPr>
                  </w:pPr>
                  <w:r>
                    <w:rPr>
                      <w:rFonts w:hint="eastAsia" w:ascii="宋体" w:hAnsi="宋体"/>
                      <w:sz w:val="21"/>
                      <w:szCs w:val="21"/>
                    </w:rPr>
                    <w:t>地表水环境</w:t>
                  </w:r>
                </w:p>
              </w:tc>
              <w:tc>
                <w:tcPr>
                  <w:tcW w:w="977" w:type="pct"/>
                  <w:tcBorders>
                    <w:top w:val="single" w:color="auto" w:sz="4" w:space="0"/>
                    <w:left w:val="single" w:color="auto" w:sz="4" w:space="0"/>
                    <w:bottom w:val="single" w:color="auto" w:sz="4" w:space="0"/>
                    <w:right w:val="single" w:color="auto" w:sz="4" w:space="0"/>
                  </w:tcBorders>
                  <w:vAlign w:val="center"/>
                </w:tcPr>
                <w:p w14:paraId="734A3571">
                  <w:pPr>
                    <w:spacing w:line="240" w:lineRule="auto"/>
                    <w:jc w:val="center"/>
                    <w:rPr>
                      <w:sz w:val="21"/>
                      <w:szCs w:val="21"/>
                    </w:rPr>
                  </w:pPr>
                  <w:r>
                    <w:rPr>
                      <w:rFonts w:hint="eastAsia" w:ascii="宋体" w:hAnsi="宋体"/>
                      <w:sz w:val="21"/>
                      <w:szCs w:val="21"/>
                    </w:rPr>
                    <w:t>小河江</w:t>
                  </w:r>
                </w:p>
              </w:tc>
              <w:tc>
                <w:tcPr>
                  <w:tcW w:w="1108" w:type="pct"/>
                  <w:tcBorders>
                    <w:top w:val="single" w:color="auto" w:sz="4" w:space="0"/>
                    <w:left w:val="single" w:color="auto" w:sz="4" w:space="0"/>
                    <w:bottom w:val="single" w:color="auto" w:sz="4" w:space="0"/>
                    <w:right w:val="single" w:color="auto" w:sz="4" w:space="0"/>
                  </w:tcBorders>
                  <w:vAlign w:val="center"/>
                </w:tcPr>
                <w:p w14:paraId="00F12205">
                  <w:pPr>
                    <w:spacing w:line="240" w:lineRule="auto"/>
                    <w:jc w:val="center"/>
                    <w:rPr>
                      <w:sz w:val="21"/>
                      <w:szCs w:val="21"/>
                    </w:rPr>
                  </w:pPr>
                  <w:r>
                    <w:rPr>
                      <w:rFonts w:hint="eastAsia" w:ascii="宋体" w:hAnsi="宋体"/>
                      <w:sz w:val="21"/>
                      <w:szCs w:val="21"/>
                    </w:rPr>
                    <w:t>灌溉</w:t>
                  </w:r>
                </w:p>
              </w:tc>
              <w:tc>
                <w:tcPr>
                  <w:tcW w:w="1038" w:type="pct"/>
                  <w:tcBorders>
                    <w:top w:val="single" w:color="auto" w:sz="4" w:space="0"/>
                    <w:left w:val="single" w:color="auto" w:sz="4" w:space="0"/>
                    <w:bottom w:val="single" w:color="auto" w:sz="4" w:space="0"/>
                    <w:right w:val="single" w:color="auto" w:sz="4" w:space="0"/>
                  </w:tcBorders>
                  <w:vAlign w:val="center"/>
                </w:tcPr>
                <w:p w14:paraId="3DB2D7EF">
                  <w:pPr>
                    <w:spacing w:line="240" w:lineRule="auto"/>
                    <w:jc w:val="center"/>
                    <w:rPr>
                      <w:sz w:val="21"/>
                      <w:szCs w:val="21"/>
                    </w:rPr>
                  </w:pPr>
                  <w:r>
                    <w:rPr>
                      <w:rFonts w:hint="eastAsia" w:ascii="宋体" w:hAnsi="宋体"/>
                      <w:sz w:val="21"/>
                      <w:szCs w:val="21"/>
                    </w:rPr>
                    <w:t>西，</w:t>
                  </w:r>
                  <w:r>
                    <w:rPr>
                      <w:sz w:val="21"/>
                      <w:szCs w:val="21"/>
                    </w:rPr>
                    <w:t>442m</w:t>
                  </w:r>
                </w:p>
              </w:tc>
              <w:tc>
                <w:tcPr>
                  <w:tcW w:w="1363" w:type="pct"/>
                  <w:tcBorders>
                    <w:top w:val="single" w:color="auto" w:sz="4" w:space="0"/>
                    <w:left w:val="single" w:color="auto" w:sz="4" w:space="0"/>
                    <w:bottom w:val="single" w:color="auto" w:sz="4" w:space="0"/>
                    <w:right w:val="single" w:color="auto" w:sz="12" w:space="0"/>
                  </w:tcBorders>
                  <w:vAlign w:val="center"/>
                </w:tcPr>
                <w:p w14:paraId="1112B58F">
                  <w:pPr>
                    <w:spacing w:line="240" w:lineRule="auto"/>
                    <w:jc w:val="center"/>
                    <w:rPr>
                      <w:sz w:val="21"/>
                      <w:szCs w:val="21"/>
                    </w:rPr>
                  </w:pPr>
                  <w:r>
                    <w:rPr>
                      <w:rFonts w:hint="eastAsia" w:ascii="宋体" w:hAnsi="宋体"/>
                      <w:sz w:val="21"/>
                      <w:szCs w:val="21"/>
                    </w:rPr>
                    <w:t>《地表水环境质量标准》（</w:t>
                  </w:r>
                  <w:r>
                    <w:rPr>
                      <w:rFonts w:hint="eastAsia"/>
                      <w:sz w:val="21"/>
                      <w:szCs w:val="21"/>
                    </w:rPr>
                    <w:t>GB3838-2002</w:t>
                  </w:r>
                  <w:r>
                    <w:rPr>
                      <w:rFonts w:hint="eastAsia" w:ascii="宋体" w:hAnsi="宋体"/>
                      <w:sz w:val="21"/>
                      <w:szCs w:val="21"/>
                    </w:rPr>
                    <w:t>）Ⅲ类</w:t>
                  </w:r>
                </w:p>
              </w:tc>
            </w:tr>
            <w:tr w14:paraId="20B05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14" w:type="pct"/>
                  <w:tcBorders>
                    <w:top w:val="single" w:color="auto" w:sz="4" w:space="0"/>
                    <w:left w:val="single" w:color="auto" w:sz="12" w:space="0"/>
                    <w:bottom w:val="single" w:color="auto" w:sz="12" w:space="0"/>
                    <w:right w:val="single" w:color="auto" w:sz="4" w:space="0"/>
                  </w:tcBorders>
                  <w:vAlign w:val="center"/>
                </w:tcPr>
                <w:p w14:paraId="49EB1F12">
                  <w:pPr>
                    <w:spacing w:line="240" w:lineRule="auto"/>
                    <w:jc w:val="center"/>
                    <w:rPr>
                      <w:sz w:val="21"/>
                      <w:szCs w:val="21"/>
                    </w:rPr>
                  </w:pPr>
                  <w:r>
                    <w:rPr>
                      <w:rFonts w:hint="eastAsia" w:ascii="宋体" w:hAnsi="宋体"/>
                      <w:sz w:val="21"/>
                      <w:szCs w:val="21"/>
                    </w:rPr>
                    <w:t>声环境</w:t>
                  </w:r>
                </w:p>
              </w:tc>
              <w:tc>
                <w:tcPr>
                  <w:tcW w:w="3123" w:type="pct"/>
                  <w:gridSpan w:val="3"/>
                  <w:tcBorders>
                    <w:top w:val="single" w:color="auto" w:sz="4" w:space="0"/>
                    <w:left w:val="single" w:color="auto" w:sz="4" w:space="0"/>
                    <w:bottom w:val="single" w:color="auto" w:sz="12" w:space="0"/>
                    <w:right w:val="single" w:color="auto" w:sz="4" w:space="0"/>
                  </w:tcBorders>
                  <w:vAlign w:val="center"/>
                </w:tcPr>
                <w:p w14:paraId="5C13D599">
                  <w:pPr>
                    <w:spacing w:line="240" w:lineRule="auto"/>
                    <w:jc w:val="center"/>
                    <w:rPr>
                      <w:sz w:val="21"/>
                      <w:szCs w:val="21"/>
                      <w:u w:val="single"/>
                    </w:rPr>
                  </w:pPr>
                  <w:r>
                    <w:rPr>
                      <w:rFonts w:hint="eastAsia" w:ascii="宋体" w:hAnsi="宋体"/>
                      <w:sz w:val="21"/>
                      <w:szCs w:val="21"/>
                    </w:rPr>
                    <w:t>项目</w:t>
                  </w:r>
                  <w:r>
                    <w:rPr>
                      <w:rFonts w:hint="eastAsia"/>
                      <w:sz w:val="21"/>
                      <w:szCs w:val="21"/>
                    </w:rPr>
                    <w:t>50m</w:t>
                  </w:r>
                  <w:r>
                    <w:rPr>
                      <w:rFonts w:hint="eastAsia" w:ascii="宋体" w:hAnsi="宋体"/>
                      <w:sz w:val="21"/>
                      <w:szCs w:val="21"/>
                    </w:rPr>
                    <w:t>范围内，茶林镇大江村居民点</w:t>
                  </w:r>
                </w:p>
              </w:tc>
              <w:tc>
                <w:tcPr>
                  <w:tcW w:w="1363" w:type="pct"/>
                  <w:tcBorders>
                    <w:top w:val="single" w:color="auto" w:sz="4" w:space="0"/>
                    <w:left w:val="single" w:color="auto" w:sz="4" w:space="0"/>
                    <w:bottom w:val="single" w:color="auto" w:sz="12" w:space="0"/>
                    <w:right w:val="single" w:color="auto" w:sz="12" w:space="0"/>
                  </w:tcBorders>
                  <w:vAlign w:val="center"/>
                </w:tcPr>
                <w:p w14:paraId="7FF6232C">
                  <w:pPr>
                    <w:spacing w:line="240" w:lineRule="auto"/>
                    <w:jc w:val="center"/>
                    <w:rPr>
                      <w:sz w:val="21"/>
                      <w:szCs w:val="21"/>
                    </w:rPr>
                  </w:pPr>
                  <w:r>
                    <w:rPr>
                      <w:rFonts w:hint="eastAsia" w:ascii="宋体" w:hAnsi="宋体"/>
                      <w:sz w:val="21"/>
                      <w:szCs w:val="21"/>
                    </w:rPr>
                    <w:t>《声环境质量标准》（</w:t>
                  </w:r>
                  <w:r>
                    <w:rPr>
                      <w:rFonts w:hint="eastAsia"/>
                      <w:sz w:val="21"/>
                      <w:szCs w:val="21"/>
                    </w:rPr>
                    <w:t>GB3096</w:t>
                  </w:r>
                  <w:r>
                    <w:rPr>
                      <w:rFonts w:hint="eastAsia" w:ascii="宋体" w:hAnsi="宋体"/>
                      <w:sz w:val="21"/>
                      <w:szCs w:val="21"/>
                    </w:rPr>
                    <w:t>－</w:t>
                  </w:r>
                  <w:r>
                    <w:rPr>
                      <w:rFonts w:hint="eastAsia"/>
                      <w:sz w:val="21"/>
                      <w:szCs w:val="21"/>
                    </w:rPr>
                    <w:t>2008</w:t>
                  </w:r>
                  <w:r>
                    <w:rPr>
                      <w:rFonts w:hint="eastAsia" w:ascii="宋体" w:hAnsi="宋体"/>
                      <w:sz w:val="21"/>
                      <w:szCs w:val="21"/>
                    </w:rPr>
                    <w:t>）中的</w:t>
                  </w:r>
                  <w:r>
                    <w:rPr>
                      <w:rFonts w:hint="eastAsia"/>
                      <w:sz w:val="21"/>
                      <w:szCs w:val="21"/>
                    </w:rPr>
                    <w:t>2</w:t>
                  </w:r>
                  <w:r>
                    <w:rPr>
                      <w:rFonts w:hint="eastAsia" w:ascii="宋体" w:hAnsi="宋体"/>
                      <w:sz w:val="21"/>
                      <w:szCs w:val="21"/>
                    </w:rPr>
                    <w:t>类</w:t>
                  </w:r>
                </w:p>
              </w:tc>
            </w:tr>
          </w:tbl>
          <w:p w14:paraId="27451153">
            <w:pPr>
              <w:jc w:val="both"/>
              <w:rPr>
                <w:b/>
                <w:szCs w:val="24"/>
              </w:rPr>
            </w:pPr>
          </w:p>
        </w:tc>
      </w:tr>
      <w:tr w14:paraId="26F1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Borders>
              <w:top w:val="single" w:color="auto" w:sz="4" w:space="0"/>
              <w:left w:val="single" w:color="auto" w:sz="4" w:space="0"/>
              <w:bottom w:val="single" w:color="auto" w:sz="4" w:space="0"/>
              <w:right w:val="single" w:color="auto" w:sz="4" w:space="0"/>
            </w:tcBorders>
            <w:vAlign w:val="center"/>
          </w:tcPr>
          <w:p w14:paraId="3613DF0A">
            <w:pPr>
              <w:jc w:val="center"/>
              <w:rPr>
                <w:kern w:val="0"/>
                <w:szCs w:val="24"/>
              </w:rPr>
            </w:pPr>
            <w:r>
              <w:rPr>
                <w:rFonts w:hint="eastAsia" w:ascii="宋体" w:hAnsi="宋体"/>
                <w:kern w:val="0"/>
                <w:szCs w:val="24"/>
              </w:rPr>
              <w:t>污染</w:t>
            </w:r>
          </w:p>
          <w:p w14:paraId="3360658A">
            <w:pPr>
              <w:jc w:val="center"/>
              <w:rPr>
                <w:kern w:val="0"/>
                <w:szCs w:val="24"/>
              </w:rPr>
            </w:pPr>
            <w:r>
              <w:rPr>
                <w:rFonts w:hint="eastAsia" w:ascii="宋体" w:hAnsi="宋体"/>
                <w:kern w:val="0"/>
                <w:szCs w:val="24"/>
              </w:rPr>
              <w:t>物排</w:t>
            </w:r>
          </w:p>
          <w:p w14:paraId="14242FFC">
            <w:pPr>
              <w:jc w:val="center"/>
              <w:rPr>
                <w:kern w:val="0"/>
                <w:szCs w:val="24"/>
              </w:rPr>
            </w:pPr>
            <w:r>
              <w:rPr>
                <w:rFonts w:hint="eastAsia" w:ascii="宋体" w:hAnsi="宋体"/>
                <w:kern w:val="0"/>
                <w:szCs w:val="24"/>
              </w:rPr>
              <w:t>放控</w:t>
            </w:r>
          </w:p>
          <w:p w14:paraId="4B5189A6">
            <w:pPr>
              <w:jc w:val="center"/>
              <w:rPr>
                <w:kern w:val="0"/>
                <w:szCs w:val="24"/>
              </w:rPr>
            </w:pPr>
            <w:r>
              <w:rPr>
                <w:rFonts w:hint="eastAsia" w:ascii="宋体" w:hAnsi="宋体"/>
                <w:kern w:val="0"/>
                <w:szCs w:val="24"/>
              </w:rPr>
              <w:t>制标</w:t>
            </w:r>
          </w:p>
          <w:p w14:paraId="121A7A80">
            <w:pPr>
              <w:jc w:val="center"/>
              <w:rPr>
                <w:kern w:val="0"/>
                <w:szCs w:val="24"/>
              </w:rPr>
            </w:pPr>
            <w:r>
              <w:rPr>
                <w:rFonts w:hint="eastAsia" w:ascii="宋体" w:hAnsi="宋体"/>
                <w:kern w:val="0"/>
                <w:szCs w:val="24"/>
              </w:rPr>
              <w:t>准</w:t>
            </w:r>
          </w:p>
        </w:tc>
        <w:tc>
          <w:tcPr>
            <w:tcW w:w="8495" w:type="dxa"/>
            <w:tcBorders>
              <w:top w:val="single" w:color="auto" w:sz="4" w:space="0"/>
              <w:left w:val="single" w:color="auto" w:sz="4" w:space="0"/>
              <w:bottom w:val="single" w:color="auto" w:sz="4" w:space="0"/>
              <w:right w:val="single" w:color="auto" w:sz="4" w:space="0"/>
            </w:tcBorders>
          </w:tcPr>
          <w:p w14:paraId="1CDA4822">
            <w:pPr>
              <w:jc w:val="both"/>
              <w:rPr>
                <w:b/>
                <w:szCs w:val="24"/>
              </w:rPr>
            </w:pPr>
            <w:r>
              <w:rPr>
                <w:rFonts w:hint="eastAsia"/>
                <w:b/>
                <w:szCs w:val="24"/>
              </w:rPr>
              <w:t>1</w:t>
            </w:r>
            <w:r>
              <w:rPr>
                <w:rFonts w:hint="eastAsia" w:ascii="宋体" w:hAnsi="宋体"/>
                <w:b/>
                <w:szCs w:val="24"/>
              </w:rPr>
              <w:t>、废气排放标准</w:t>
            </w:r>
          </w:p>
          <w:p w14:paraId="7D0E0CB3">
            <w:pPr>
              <w:ind w:firstLine="480" w:firstLineChars="200"/>
              <w:rPr>
                <w:szCs w:val="24"/>
              </w:rPr>
            </w:pPr>
            <w:r>
              <w:rPr>
                <w:rFonts w:hint="eastAsia" w:ascii="宋体" w:hAnsi="宋体"/>
                <w:szCs w:val="24"/>
              </w:rPr>
              <w:t>营运期间，污水处理设施恶臭废气中的氨、硫化氢、臭气浓度执行《医疗机构水污染物排放标准》（</w:t>
            </w:r>
            <w:r>
              <w:rPr>
                <w:rFonts w:hint="eastAsia"/>
                <w:szCs w:val="24"/>
              </w:rPr>
              <w:t>GB1846-2005</w:t>
            </w:r>
            <w:r>
              <w:rPr>
                <w:rFonts w:hint="eastAsia" w:ascii="宋体" w:hAnsi="宋体"/>
                <w:szCs w:val="24"/>
              </w:rPr>
              <w:t>）中表</w:t>
            </w:r>
            <w:r>
              <w:rPr>
                <w:rFonts w:hint="eastAsia"/>
                <w:szCs w:val="24"/>
              </w:rPr>
              <w:t>3</w:t>
            </w:r>
            <w:r>
              <w:rPr>
                <w:rFonts w:hint="eastAsia" w:ascii="宋体" w:hAnsi="宋体"/>
                <w:szCs w:val="24"/>
              </w:rPr>
              <w:t>“污水处理站周边环境大气污染物最高允许浓度”；食堂油烟排放需满足《饮食业油烟排放标准（试行）》（</w:t>
            </w:r>
            <w:r>
              <w:rPr>
                <w:rFonts w:hint="eastAsia"/>
                <w:szCs w:val="24"/>
              </w:rPr>
              <w:t>GB18483-2001</w:t>
            </w:r>
            <w:r>
              <w:rPr>
                <w:rFonts w:hint="eastAsia" w:ascii="宋体" w:hAnsi="宋体"/>
                <w:szCs w:val="24"/>
              </w:rPr>
              <w:t>）中</w:t>
            </w:r>
            <w:r>
              <w:rPr>
                <w:rFonts w:hint="eastAsia"/>
                <w:szCs w:val="24"/>
              </w:rPr>
              <w:t>2.0mg/m</w:t>
            </w:r>
            <w:r>
              <w:rPr>
                <w:rFonts w:hint="eastAsia"/>
                <w:szCs w:val="24"/>
                <w:vertAlign w:val="superscript"/>
              </w:rPr>
              <w:t>3</w:t>
            </w:r>
            <w:r>
              <w:rPr>
                <w:rFonts w:hint="eastAsia" w:ascii="宋体" w:hAnsi="宋体"/>
                <w:szCs w:val="24"/>
              </w:rPr>
              <w:t>标准。</w:t>
            </w:r>
          </w:p>
          <w:p w14:paraId="1F0A32C1">
            <w:pPr>
              <w:jc w:val="center"/>
              <w:rPr>
                <w:b/>
                <w:bCs/>
                <w:szCs w:val="24"/>
              </w:rPr>
            </w:pPr>
            <w:r>
              <w:rPr>
                <w:rFonts w:hint="eastAsia" w:ascii="宋体" w:hAnsi="宋体"/>
                <w:b/>
                <w:bCs/>
                <w:szCs w:val="24"/>
              </w:rPr>
              <w:t>表</w:t>
            </w:r>
            <w:r>
              <w:rPr>
                <w:rFonts w:hint="eastAsia"/>
                <w:b/>
                <w:bCs/>
                <w:szCs w:val="24"/>
              </w:rPr>
              <w:t>3</w:t>
            </w:r>
            <w:r>
              <w:rPr>
                <w:b/>
                <w:bCs/>
                <w:szCs w:val="24"/>
              </w:rPr>
              <w:t xml:space="preserve">-5 </w:t>
            </w:r>
            <w:r>
              <w:rPr>
                <w:rFonts w:hint="eastAsia" w:ascii="宋体" w:hAnsi="宋体"/>
                <w:b/>
                <w:bCs/>
                <w:szCs w:val="24"/>
              </w:rPr>
              <w:t>污水处理站周边大气污染物最高允许浓度</w:t>
            </w:r>
          </w:p>
          <w:tbl>
            <w:tblPr>
              <w:tblStyle w:val="6"/>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63"/>
              <w:gridCol w:w="2680"/>
              <w:gridCol w:w="3404"/>
            </w:tblGrid>
            <w:tr w14:paraId="5BA5C5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454" w:hRule="atLeast"/>
                <w:jc w:val="center"/>
              </w:trPr>
              <w:tc>
                <w:tcPr>
                  <w:tcW w:w="1311" w:type="pct"/>
                  <w:tcBorders>
                    <w:top w:val="single" w:color="000000" w:sz="12" w:space="0"/>
                    <w:left w:val="single" w:color="000000" w:sz="12" w:space="0"/>
                    <w:bottom w:val="single" w:color="000000" w:sz="4" w:space="0"/>
                    <w:right w:val="single" w:color="000000" w:sz="4" w:space="0"/>
                  </w:tcBorders>
                  <w:vAlign w:val="center"/>
                </w:tcPr>
                <w:p w14:paraId="6549D62D">
                  <w:pPr>
                    <w:jc w:val="center"/>
                    <w:rPr>
                      <w:sz w:val="21"/>
                      <w:szCs w:val="21"/>
                    </w:rPr>
                  </w:pPr>
                  <w:r>
                    <w:rPr>
                      <w:rFonts w:ascii="宋体" w:hAnsi="宋体"/>
                      <w:sz w:val="21"/>
                      <w:szCs w:val="21"/>
                    </w:rPr>
                    <w:t>污染物名称</w:t>
                  </w:r>
                </w:p>
              </w:tc>
              <w:tc>
                <w:tcPr>
                  <w:tcW w:w="1624" w:type="pct"/>
                  <w:tcBorders>
                    <w:top w:val="single" w:color="000000" w:sz="12" w:space="0"/>
                    <w:left w:val="single" w:color="000000" w:sz="4" w:space="0"/>
                    <w:bottom w:val="single" w:color="000000" w:sz="4" w:space="0"/>
                    <w:right w:val="single" w:color="000000" w:sz="4" w:space="0"/>
                  </w:tcBorders>
                  <w:vAlign w:val="center"/>
                </w:tcPr>
                <w:p w14:paraId="5CAA61CD">
                  <w:pPr>
                    <w:jc w:val="center"/>
                    <w:rPr>
                      <w:sz w:val="21"/>
                      <w:szCs w:val="21"/>
                    </w:rPr>
                  </w:pPr>
                  <w:r>
                    <w:rPr>
                      <w:rFonts w:ascii="宋体" w:hAnsi="宋体"/>
                      <w:sz w:val="21"/>
                      <w:szCs w:val="21"/>
                    </w:rPr>
                    <w:t>浓度限值</w:t>
                  </w:r>
                  <w:r>
                    <w:rPr>
                      <w:sz w:val="21"/>
                      <w:szCs w:val="21"/>
                    </w:rPr>
                    <w:t>mg/m</w:t>
                  </w:r>
                  <w:r>
                    <w:rPr>
                      <w:sz w:val="21"/>
                      <w:szCs w:val="21"/>
                      <w:vertAlign w:val="superscript"/>
                    </w:rPr>
                    <w:t>3</w:t>
                  </w:r>
                </w:p>
              </w:tc>
              <w:tc>
                <w:tcPr>
                  <w:tcW w:w="2063" w:type="pct"/>
                  <w:tcBorders>
                    <w:top w:val="single" w:color="000000" w:sz="12" w:space="0"/>
                    <w:left w:val="single" w:color="000000" w:sz="4" w:space="0"/>
                    <w:bottom w:val="single" w:color="000000" w:sz="4" w:space="0"/>
                    <w:right w:val="single" w:color="000000" w:sz="12" w:space="0"/>
                  </w:tcBorders>
                  <w:vAlign w:val="center"/>
                </w:tcPr>
                <w:p w14:paraId="0F76CD11">
                  <w:pPr>
                    <w:jc w:val="center"/>
                    <w:rPr>
                      <w:sz w:val="21"/>
                      <w:szCs w:val="21"/>
                    </w:rPr>
                  </w:pPr>
                  <w:r>
                    <w:rPr>
                      <w:rFonts w:ascii="宋体" w:hAnsi="宋体"/>
                      <w:sz w:val="21"/>
                      <w:szCs w:val="21"/>
                    </w:rPr>
                    <w:t>依据</w:t>
                  </w:r>
                </w:p>
              </w:tc>
            </w:tr>
            <w:tr w14:paraId="2AFCD6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311" w:type="pct"/>
                  <w:tcBorders>
                    <w:top w:val="single" w:color="000000" w:sz="4" w:space="0"/>
                    <w:left w:val="single" w:color="000000" w:sz="12" w:space="0"/>
                    <w:bottom w:val="single" w:color="000000" w:sz="4" w:space="0"/>
                    <w:right w:val="single" w:color="000000" w:sz="4" w:space="0"/>
                  </w:tcBorders>
                  <w:vAlign w:val="center"/>
                </w:tcPr>
                <w:p w14:paraId="019AF9F8">
                  <w:pPr>
                    <w:jc w:val="center"/>
                    <w:rPr>
                      <w:sz w:val="21"/>
                      <w:szCs w:val="21"/>
                    </w:rPr>
                  </w:pPr>
                  <w:r>
                    <w:rPr>
                      <w:sz w:val="21"/>
                      <w:szCs w:val="21"/>
                    </w:rPr>
                    <w:t>H</w:t>
                  </w:r>
                  <w:r>
                    <w:rPr>
                      <w:sz w:val="21"/>
                      <w:szCs w:val="21"/>
                      <w:vertAlign w:val="subscript"/>
                    </w:rPr>
                    <w:t>2</w:t>
                  </w:r>
                  <w:r>
                    <w:rPr>
                      <w:sz w:val="21"/>
                      <w:szCs w:val="21"/>
                    </w:rPr>
                    <w:t>S</w:t>
                  </w:r>
                </w:p>
              </w:tc>
              <w:tc>
                <w:tcPr>
                  <w:tcW w:w="1624" w:type="pct"/>
                  <w:tcBorders>
                    <w:top w:val="single" w:color="000000" w:sz="4" w:space="0"/>
                    <w:left w:val="single" w:color="000000" w:sz="4" w:space="0"/>
                    <w:bottom w:val="single" w:color="000000" w:sz="4" w:space="0"/>
                    <w:right w:val="single" w:color="000000" w:sz="4" w:space="0"/>
                  </w:tcBorders>
                  <w:vAlign w:val="center"/>
                </w:tcPr>
                <w:p w14:paraId="31746215">
                  <w:pPr>
                    <w:jc w:val="center"/>
                    <w:rPr>
                      <w:sz w:val="21"/>
                      <w:szCs w:val="21"/>
                    </w:rPr>
                  </w:pPr>
                  <w:r>
                    <w:rPr>
                      <w:sz w:val="21"/>
                      <w:szCs w:val="21"/>
                    </w:rPr>
                    <w:t>0.03</w:t>
                  </w:r>
                </w:p>
              </w:tc>
              <w:tc>
                <w:tcPr>
                  <w:tcW w:w="2063" w:type="pct"/>
                  <w:vMerge w:val="restart"/>
                  <w:tcBorders>
                    <w:top w:val="single" w:color="000000" w:sz="4" w:space="0"/>
                    <w:left w:val="single" w:color="000000" w:sz="4" w:space="0"/>
                    <w:bottom w:val="single" w:color="000000" w:sz="4" w:space="0"/>
                    <w:right w:val="single" w:color="000000" w:sz="12" w:space="0"/>
                  </w:tcBorders>
                  <w:vAlign w:val="center"/>
                </w:tcPr>
                <w:p w14:paraId="58E381F1">
                  <w:pPr>
                    <w:jc w:val="center"/>
                    <w:rPr>
                      <w:sz w:val="21"/>
                      <w:szCs w:val="21"/>
                    </w:rPr>
                  </w:pPr>
                  <w:r>
                    <w:rPr>
                      <w:rFonts w:ascii="宋体" w:hAnsi="宋体"/>
                      <w:sz w:val="21"/>
                      <w:szCs w:val="21"/>
                    </w:rPr>
                    <w:t>《医疗机构水污染物排放标准》（</w:t>
                  </w:r>
                  <w:r>
                    <w:rPr>
                      <w:sz w:val="21"/>
                      <w:szCs w:val="21"/>
                    </w:rPr>
                    <w:t>GB18466-2005</w:t>
                  </w:r>
                  <w:r>
                    <w:rPr>
                      <w:rFonts w:ascii="宋体" w:hAnsi="宋体"/>
                      <w:sz w:val="21"/>
                      <w:szCs w:val="21"/>
                    </w:rPr>
                    <w:t>）表</w:t>
                  </w:r>
                  <w:r>
                    <w:rPr>
                      <w:sz w:val="21"/>
                      <w:szCs w:val="21"/>
                    </w:rPr>
                    <w:t>3</w:t>
                  </w:r>
                  <w:r>
                    <w:rPr>
                      <w:rFonts w:ascii="宋体" w:hAnsi="宋体"/>
                      <w:sz w:val="21"/>
                      <w:szCs w:val="21"/>
                    </w:rPr>
                    <w:t>中污水处理站周边大气污染物最高允许浓度</w:t>
                  </w:r>
                </w:p>
              </w:tc>
            </w:tr>
            <w:tr w14:paraId="7EB21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311" w:type="pct"/>
                  <w:tcBorders>
                    <w:top w:val="single" w:color="000000" w:sz="4" w:space="0"/>
                    <w:left w:val="single" w:color="000000" w:sz="12" w:space="0"/>
                    <w:bottom w:val="single" w:color="000000" w:sz="4" w:space="0"/>
                    <w:right w:val="single" w:color="000000" w:sz="4" w:space="0"/>
                  </w:tcBorders>
                  <w:vAlign w:val="center"/>
                </w:tcPr>
                <w:p w14:paraId="40B8FE89">
                  <w:pPr>
                    <w:jc w:val="center"/>
                    <w:rPr>
                      <w:sz w:val="21"/>
                      <w:szCs w:val="21"/>
                    </w:rPr>
                  </w:pPr>
                  <w:r>
                    <w:rPr>
                      <w:sz w:val="21"/>
                      <w:szCs w:val="21"/>
                    </w:rPr>
                    <w:t>NH</w:t>
                  </w:r>
                  <w:r>
                    <w:rPr>
                      <w:sz w:val="21"/>
                      <w:szCs w:val="21"/>
                      <w:vertAlign w:val="subscript"/>
                    </w:rPr>
                    <w:t>3</w:t>
                  </w:r>
                </w:p>
              </w:tc>
              <w:tc>
                <w:tcPr>
                  <w:tcW w:w="1624" w:type="pct"/>
                  <w:tcBorders>
                    <w:top w:val="single" w:color="000000" w:sz="4" w:space="0"/>
                    <w:left w:val="single" w:color="000000" w:sz="4" w:space="0"/>
                    <w:bottom w:val="single" w:color="000000" w:sz="4" w:space="0"/>
                    <w:right w:val="single" w:color="000000" w:sz="4" w:space="0"/>
                  </w:tcBorders>
                  <w:vAlign w:val="center"/>
                </w:tcPr>
                <w:p w14:paraId="1409A98F">
                  <w:pPr>
                    <w:jc w:val="center"/>
                    <w:rPr>
                      <w:sz w:val="21"/>
                      <w:szCs w:val="21"/>
                    </w:rPr>
                  </w:pPr>
                  <w:r>
                    <w:rPr>
                      <w:sz w:val="21"/>
                      <w:szCs w:val="21"/>
                    </w:rPr>
                    <w:t>1.0</w:t>
                  </w:r>
                </w:p>
              </w:tc>
              <w:tc>
                <w:tcPr>
                  <w:tcW w:w="0" w:type="auto"/>
                  <w:vMerge w:val="continue"/>
                  <w:tcBorders>
                    <w:top w:val="single" w:color="000000" w:sz="4" w:space="0"/>
                    <w:left w:val="single" w:color="000000" w:sz="4" w:space="0"/>
                    <w:bottom w:val="single" w:color="000000" w:sz="4" w:space="0"/>
                    <w:right w:val="single" w:color="000000" w:sz="12" w:space="0"/>
                  </w:tcBorders>
                  <w:vAlign w:val="center"/>
                </w:tcPr>
                <w:p w14:paraId="51BA99FB">
                  <w:pPr>
                    <w:widowControl/>
                    <w:spacing w:line="240" w:lineRule="auto"/>
                    <w:rPr>
                      <w:sz w:val="21"/>
                      <w:szCs w:val="21"/>
                    </w:rPr>
                  </w:pPr>
                </w:p>
              </w:tc>
            </w:tr>
            <w:tr w14:paraId="39A77E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311" w:type="pct"/>
                  <w:tcBorders>
                    <w:top w:val="single" w:color="000000" w:sz="4" w:space="0"/>
                    <w:left w:val="single" w:color="000000" w:sz="12" w:space="0"/>
                    <w:bottom w:val="single" w:color="000000" w:sz="12" w:space="0"/>
                    <w:right w:val="single" w:color="000000" w:sz="4" w:space="0"/>
                  </w:tcBorders>
                  <w:vAlign w:val="center"/>
                </w:tcPr>
                <w:p w14:paraId="10A386EC">
                  <w:pPr>
                    <w:jc w:val="center"/>
                    <w:rPr>
                      <w:sz w:val="21"/>
                      <w:szCs w:val="21"/>
                    </w:rPr>
                  </w:pPr>
                  <w:r>
                    <w:rPr>
                      <w:rFonts w:ascii="宋体" w:hAnsi="宋体"/>
                      <w:sz w:val="21"/>
                      <w:szCs w:val="21"/>
                    </w:rPr>
                    <w:t>臭气浓度（无量纲）</w:t>
                  </w:r>
                </w:p>
              </w:tc>
              <w:tc>
                <w:tcPr>
                  <w:tcW w:w="1624" w:type="pct"/>
                  <w:tcBorders>
                    <w:top w:val="single" w:color="000000" w:sz="4" w:space="0"/>
                    <w:left w:val="single" w:color="000000" w:sz="4" w:space="0"/>
                    <w:bottom w:val="single" w:color="000000" w:sz="12" w:space="0"/>
                    <w:right w:val="single" w:color="000000" w:sz="4" w:space="0"/>
                  </w:tcBorders>
                  <w:vAlign w:val="center"/>
                </w:tcPr>
                <w:p w14:paraId="6C7BC8CC">
                  <w:pPr>
                    <w:jc w:val="center"/>
                    <w:rPr>
                      <w:sz w:val="21"/>
                      <w:szCs w:val="21"/>
                    </w:rPr>
                  </w:pPr>
                  <w:r>
                    <w:rPr>
                      <w:sz w:val="21"/>
                      <w:szCs w:val="21"/>
                    </w:rPr>
                    <w:t>10</w:t>
                  </w:r>
                </w:p>
              </w:tc>
              <w:tc>
                <w:tcPr>
                  <w:tcW w:w="0" w:type="auto"/>
                  <w:vMerge w:val="continue"/>
                  <w:tcBorders>
                    <w:top w:val="single" w:color="000000" w:sz="4" w:space="0"/>
                    <w:left w:val="single" w:color="000000" w:sz="4" w:space="0"/>
                    <w:bottom w:val="single" w:color="000000" w:sz="4" w:space="0"/>
                    <w:right w:val="single" w:color="000000" w:sz="12" w:space="0"/>
                  </w:tcBorders>
                  <w:vAlign w:val="center"/>
                </w:tcPr>
                <w:p w14:paraId="63D33BBC">
                  <w:pPr>
                    <w:widowControl/>
                    <w:spacing w:line="240" w:lineRule="auto"/>
                    <w:rPr>
                      <w:sz w:val="21"/>
                      <w:szCs w:val="21"/>
                    </w:rPr>
                  </w:pPr>
                </w:p>
              </w:tc>
            </w:tr>
          </w:tbl>
          <w:p w14:paraId="69AA0159">
            <w:pPr>
              <w:jc w:val="both"/>
              <w:rPr>
                <w:b/>
                <w:szCs w:val="24"/>
              </w:rPr>
            </w:pPr>
            <w:r>
              <w:rPr>
                <w:rFonts w:hint="eastAsia"/>
                <w:b/>
                <w:szCs w:val="24"/>
              </w:rPr>
              <w:t>2</w:t>
            </w:r>
            <w:r>
              <w:rPr>
                <w:rFonts w:hint="eastAsia" w:ascii="宋体" w:hAnsi="宋体"/>
                <w:b/>
                <w:szCs w:val="24"/>
              </w:rPr>
              <w:t>、废水排放标准</w:t>
            </w:r>
          </w:p>
          <w:p w14:paraId="3A02A6CC">
            <w:pPr>
              <w:ind w:firstLine="480" w:firstLineChars="200"/>
              <w:rPr>
                <w:szCs w:val="24"/>
              </w:rPr>
            </w:pPr>
            <w:r>
              <w:rPr>
                <w:rFonts w:hint="eastAsia" w:ascii="宋体" w:hAnsi="宋体"/>
                <w:szCs w:val="24"/>
              </w:rPr>
              <w:t>项目项目医疗废水经过自建污水系统（隔油池</w:t>
            </w:r>
            <w:r>
              <w:rPr>
                <w:rFonts w:hint="eastAsia"/>
                <w:szCs w:val="24"/>
              </w:rPr>
              <w:t>+</w:t>
            </w:r>
            <w:r>
              <w:rPr>
                <w:rFonts w:hint="eastAsia" w:ascii="宋体" w:hAnsi="宋体"/>
                <w:szCs w:val="24"/>
              </w:rPr>
              <w:t>化粪池</w:t>
            </w:r>
            <w:r>
              <w:rPr>
                <w:rFonts w:hint="eastAsia"/>
                <w:szCs w:val="24"/>
              </w:rPr>
              <w:t>+</w:t>
            </w:r>
            <w:r>
              <w:rPr>
                <w:rFonts w:hint="eastAsia" w:ascii="宋体" w:hAnsi="宋体"/>
                <w:szCs w:val="24"/>
              </w:rPr>
              <w:t>沉淀</w:t>
            </w:r>
            <w:r>
              <w:rPr>
                <w:rFonts w:hint="eastAsia"/>
                <w:szCs w:val="24"/>
              </w:rPr>
              <w:t>+</w:t>
            </w:r>
            <w:r>
              <w:rPr>
                <w:rFonts w:hint="eastAsia" w:ascii="宋体" w:hAnsi="宋体"/>
                <w:szCs w:val="24"/>
              </w:rPr>
              <w:t>消毒工艺）处理满足《</w:t>
            </w:r>
            <w:bookmarkStart w:id="51" w:name="OLE_LINK9"/>
            <w:r>
              <w:rPr>
                <w:rFonts w:hint="eastAsia" w:ascii="宋体" w:hAnsi="宋体"/>
                <w:szCs w:val="24"/>
              </w:rPr>
              <w:t>医疗机构水污染物排放标准</w:t>
            </w:r>
            <w:bookmarkEnd w:id="51"/>
            <w:r>
              <w:rPr>
                <w:rFonts w:hint="eastAsia" w:ascii="宋体" w:hAnsi="宋体"/>
                <w:szCs w:val="24"/>
              </w:rPr>
              <w:t>》（</w:t>
            </w:r>
            <w:r>
              <w:rPr>
                <w:rFonts w:hint="eastAsia"/>
                <w:szCs w:val="24"/>
              </w:rPr>
              <w:t>GB18466-2005</w:t>
            </w:r>
            <w:r>
              <w:rPr>
                <w:rFonts w:hint="eastAsia" w:ascii="宋体" w:hAnsi="宋体"/>
                <w:szCs w:val="24"/>
              </w:rPr>
              <w:t>）表</w:t>
            </w:r>
            <w:r>
              <w:rPr>
                <w:rFonts w:hint="eastAsia"/>
                <w:szCs w:val="24"/>
              </w:rPr>
              <w:t>2</w:t>
            </w:r>
            <w:r>
              <w:rPr>
                <w:rFonts w:hint="eastAsia" w:ascii="宋体" w:hAnsi="宋体"/>
                <w:szCs w:val="24"/>
              </w:rPr>
              <w:t>中的预处理标准后排入茶林镇污水处理厂处理达到《城镇污水处理厂污染物排放标准》中表</w:t>
            </w:r>
            <w:r>
              <w:rPr>
                <w:rFonts w:hint="eastAsia"/>
                <w:szCs w:val="24"/>
              </w:rPr>
              <w:t>1</w:t>
            </w:r>
            <w:r>
              <w:rPr>
                <w:rFonts w:hint="eastAsia" w:ascii="宋体" w:hAnsi="宋体"/>
                <w:szCs w:val="24"/>
              </w:rPr>
              <w:t>一级</w:t>
            </w:r>
            <w:r>
              <w:rPr>
                <w:rFonts w:hint="eastAsia"/>
                <w:szCs w:val="24"/>
              </w:rPr>
              <w:t>A</w:t>
            </w:r>
            <w:r>
              <w:rPr>
                <w:rFonts w:hint="eastAsia" w:ascii="宋体" w:hAnsi="宋体"/>
                <w:szCs w:val="24"/>
              </w:rPr>
              <w:t>标准后排入小河江，医院排放标准限值如下：</w:t>
            </w:r>
          </w:p>
          <w:p w14:paraId="12C5B66E">
            <w:pPr>
              <w:jc w:val="center"/>
              <w:rPr>
                <w:b/>
                <w:bCs/>
                <w:szCs w:val="24"/>
              </w:rPr>
            </w:pPr>
            <w:r>
              <w:rPr>
                <w:rFonts w:hint="eastAsia" w:ascii="宋体" w:hAnsi="宋体"/>
                <w:b/>
                <w:bCs/>
                <w:szCs w:val="24"/>
              </w:rPr>
              <w:t>表</w:t>
            </w:r>
            <w:r>
              <w:rPr>
                <w:rFonts w:hint="eastAsia"/>
                <w:b/>
                <w:bCs/>
                <w:szCs w:val="24"/>
              </w:rPr>
              <w:t>3</w:t>
            </w:r>
            <w:r>
              <w:rPr>
                <w:b/>
                <w:bCs/>
                <w:szCs w:val="24"/>
              </w:rPr>
              <w:t xml:space="preserve">-6 </w:t>
            </w:r>
            <w:r>
              <w:rPr>
                <w:rFonts w:hint="eastAsia" w:ascii="宋体" w:hAnsi="宋体"/>
                <w:b/>
                <w:bCs/>
                <w:szCs w:val="24"/>
              </w:rPr>
              <w:t>废水排放标准</w:t>
            </w:r>
            <w:r>
              <w:rPr>
                <w:rFonts w:hint="eastAsia"/>
                <w:b/>
                <w:bCs/>
                <w:szCs w:val="24"/>
              </w:rPr>
              <w:t xml:space="preserve"> </w:t>
            </w:r>
            <w:r>
              <w:rPr>
                <w:b/>
                <w:bCs/>
                <w:szCs w:val="24"/>
              </w:rPr>
              <w:t xml:space="preserve"> </w:t>
            </w:r>
            <w:r>
              <w:rPr>
                <w:rFonts w:hint="eastAsia" w:ascii="宋体" w:hAnsi="宋体"/>
                <w:b/>
                <w:bCs/>
                <w:szCs w:val="24"/>
              </w:rPr>
              <w:t>单位：</w:t>
            </w:r>
            <w:r>
              <w:rPr>
                <w:rFonts w:hint="eastAsia"/>
                <w:b/>
                <w:bCs/>
                <w:szCs w:val="24"/>
              </w:rPr>
              <w:t>mg/L</w:t>
            </w:r>
          </w:p>
          <w:tbl>
            <w:tblPr>
              <w:tblStyle w:val="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3245"/>
              <w:gridCol w:w="3774"/>
            </w:tblGrid>
            <w:tr w14:paraId="49EA5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12" w:space="0"/>
                    <w:left w:val="single" w:color="auto" w:sz="12" w:space="0"/>
                    <w:bottom w:val="single" w:color="auto" w:sz="4" w:space="0"/>
                    <w:right w:val="single" w:color="auto" w:sz="4" w:space="0"/>
                  </w:tcBorders>
                  <w:vAlign w:val="center"/>
                </w:tcPr>
                <w:p w14:paraId="45F45707">
                  <w:pPr>
                    <w:spacing w:line="240" w:lineRule="auto"/>
                    <w:jc w:val="center"/>
                    <w:rPr>
                      <w:b/>
                      <w:color w:val="000000"/>
                      <w:kern w:val="0"/>
                      <w:sz w:val="21"/>
                      <w:szCs w:val="21"/>
                    </w:rPr>
                  </w:pPr>
                  <w:r>
                    <w:rPr>
                      <w:rFonts w:hint="eastAsia" w:ascii="宋体" w:hAnsi="宋体"/>
                      <w:b/>
                      <w:color w:val="000000"/>
                      <w:kern w:val="0"/>
                      <w:sz w:val="21"/>
                      <w:szCs w:val="21"/>
                    </w:rPr>
                    <w:t>序号</w:t>
                  </w:r>
                </w:p>
              </w:tc>
              <w:tc>
                <w:tcPr>
                  <w:tcW w:w="1967" w:type="pct"/>
                  <w:tcBorders>
                    <w:top w:val="single" w:color="auto" w:sz="12" w:space="0"/>
                    <w:left w:val="single" w:color="auto" w:sz="4" w:space="0"/>
                    <w:bottom w:val="single" w:color="auto" w:sz="4" w:space="0"/>
                    <w:right w:val="single" w:color="auto" w:sz="4" w:space="0"/>
                  </w:tcBorders>
                  <w:vAlign w:val="center"/>
                </w:tcPr>
                <w:p w14:paraId="49BB82CE">
                  <w:pPr>
                    <w:spacing w:line="240" w:lineRule="auto"/>
                    <w:jc w:val="center"/>
                    <w:rPr>
                      <w:b/>
                      <w:color w:val="000000"/>
                      <w:kern w:val="0"/>
                      <w:sz w:val="21"/>
                      <w:szCs w:val="21"/>
                    </w:rPr>
                  </w:pPr>
                  <w:r>
                    <w:rPr>
                      <w:rFonts w:hint="eastAsia" w:ascii="宋体" w:hAnsi="宋体"/>
                      <w:b/>
                      <w:color w:val="000000"/>
                      <w:kern w:val="0"/>
                      <w:sz w:val="21"/>
                      <w:szCs w:val="21"/>
                    </w:rPr>
                    <w:t>项目</w:t>
                  </w:r>
                </w:p>
              </w:tc>
              <w:tc>
                <w:tcPr>
                  <w:tcW w:w="2288" w:type="pct"/>
                  <w:tcBorders>
                    <w:top w:val="single" w:color="auto" w:sz="12" w:space="0"/>
                    <w:left w:val="single" w:color="auto" w:sz="4" w:space="0"/>
                    <w:bottom w:val="single" w:color="auto" w:sz="4" w:space="0"/>
                    <w:right w:val="single" w:color="auto" w:sz="12" w:space="0"/>
                  </w:tcBorders>
                  <w:vAlign w:val="center"/>
                </w:tcPr>
                <w:p w14:paraId="3995FBD1">
                  <w:pPr>
                    <w:spacing w:line="240" w:lineRule="auto"/>
                    <w:jc w:val="center"/>
                    <w:rPr>
                      <w:b/>
                      <w:color w:val="000000"/>
                      <w:kern w:val="0"/>
                      <w:sz w:val="21"/>
                      <w:szCs w:val="21"/>
                    </w:rPr>
                  </w:pPr>
                  <w:r>
                    <w:rPr>
                      <w:rFonts w:hint="eastAsia" w:ascii="宋体" w:hAnsi="宋体"/>
                      <w:b/>
                      <w:color w:val="000000"/>
                      <w:kern w:val="0"/>
                      <w:sz w:val="21"/>
                      <w:szCs w:val="21"/>
                    </w:rPr>
                    <w:t>标准限值（</w:t>
                  </w:r>
                  <w:r>
                    <w:rPr>
                      <w:rFonts w:hint="eastAsia"/>
                      <w:b/>
                      <w:color w:val="000000"/>
                      <w:kern w:val="0"/>
                      <w:sz w:val="21"/>
                      <w:szCs w:val="21"/>
                    </w:rPr>
                    <w:t>mg/L</w:t>
                  </w:r>
                  <w:r>
                    <w:rPr>
                      <w:rFonts w:hint="eastAsia" w:ascii="宋体" w:hAnsi="宋体"/>
                      <w:b/>
                      <w:color w:val="000000"/>
                      <w:kern w:val="0"/>
                      <w:sz w:val="21"/>
                      <w:szCs w:val="21"/>
                    </w:rPr>
                    <w:t>）</w:t>
                  </w:r>
                </w:p>
              </w:tc>
            </w:tr>
            <w:tr w14:paraId="2AB68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4" w:space="0"/>
                    <w:right w:val="single" w:color="auto" w:sz="4" w:space="0"/>
                  </w:tcBorders>
                  <w:vAlign w:val="center"/>
                </w:tcPr>
                <w:p w14:paraId="3E5B465E">
                  <w:pPr>
                    <w:spacing w:line="240" w:lineRule="auto"/>
                    <w:jc w:val="center"/>
                    <w:rPr>
                      <w:color w:val="000000"/>
                      <w:kern w:val="0"/>
                      <w:sz w:val="21"/>
                      <w:szCs w:val="21"/>
                    </w:rPr>
                  </w:pPr>
                  <w:r>
                    <w:rPr>
                      <w:rFonts w:hint="eastAsia"/>
                      <w:color w:val="000000"/>
                      <w:kern w:val="0"/>
                      <w:sz w:val="21"/>
                      <w:szCs w:val="21"/>
                    </w:rPr>
                    <w:t>1</w:t>
                  </w:r>
                </w:p>
              </w:tc>
              <w:tc>
                <w:tcPr>
                  <w:tcW w:w="1967" w:type="pct"/>
                  <w:tcBorders>
                    <w:top w:val="single" w:color="auto" w:sz="4" w:space="0"/>
                    <w:left w:val="single" w:color="auto" w:sz="4" w:space="0"/>
                    <w:bottom w:val="single" w:color="auto" w:sz="4" w:space="0"/>
                    <w:right w:val="single" w:color="auto" w:sz="4" w:space="0"/>
                  </w:tcBorders>
                  <w:vAlign w:val="center"/>
                </w:tcPr>
                <w:p w14:paraId="4EA759B7">
                  <w:pPr>
                    <w:widowControl/>
                    <w:spacing w:line="240" w:lineRule="auto"/>
                    <w:jc w:val="center"/>
                    <w:textAlignment w:val="center"/>
                    <w:rPr>
                      <w:color w:val="000000"/>
                      <w:kern w:val="0"/>
                      <w:sz w:val="21"/>
                      <w:szCs w:val="21"/>
                    </w:rPr>
                  </w:pPr>
                  <w:r>
                    <w:rPr>
                      <w:color w:val="000000"/>
                      <w:kern w:val="0"/>
                      <w:sz w:val="21"/>
                      <w:szCs w:val="21"/>
                    </w:rPr>
                    <w:t>pH</w:t>
                  </w:r>
                </w:p>
              </w:tc>
              <w:tc>
                <w:tcPr>
                  <w:tcW w:w="2288" w:type="pct"/>
                  <w:tcBorders>
                    <w:top w:val="single" w:color="auto" w:sz="4" w:space="0"/>
                    <w:left w:val="single" w:color="auto" w:sz="4" w:space="0"/>
                    <w:bottom w:val="single" w:color="auto" w:sz="4" w:space="0"/>
                    <w:right w:val="single" w:color="auto" w:sz="12" w:space="0"/>
                  </w:tcBorders>
                  <w:vAlign w:val="center"/>
                </w:tcPr>
                <w:p w14:paraId="0529ABF5">
                  <w:pPr>
                    <w:spacing w:line="240" w:lineRule="auto"/>
                    <w:jc w:val="center"/>
                    <w:rPr>
                      <w:color w:val="000000"/>
                      <w:kern w:val="0"/>
                      <w:sz w:val="21"/>
                      <w:szCs w:val="21"/>
                    </w:rPr>
                  </w:pPr>
                  <w:r>
                    <w:rPr>
                      <w:rFonts w:hint="eastAsia"/>
                      <w:color w:val="000000"/>
                      <w:kern w:val="0"/>
                      <w:sz w:val="21"/>
                      <w:szCs w:val="21"/>
                    </w:rPr>
                    <w:t>6~9</w:t>
                  </w:r>
                </w:p>
              </w:tc>
            </w:tr>
            <w:tr w14:paraId="5F5AF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4" w:space="0"/>
                    <w:right w:val="single" w:color="auto" w:sz="4" w:space="0"/>
                  </w:tcBorders>
                  <w:vAlign w:val="center"/>
                </w:tcPr>
                <w:p w14:paraId="3868DDFC">
                  <w:pPr>
                    <w:spacing w:line="240" w:lineRule="auto"/>
                    <w:jc w:val="center"/>
                    <w:rPr>
                      <w:color w:val="000000"/>
                      <w:kern w:val="0"/>
                      <w:sz w:val="21"/>
                      <w:szCs w:val="21"/>
                    </w:rPr>
                  </w:pPr>
                  <w:r>
                    <w:rPr>
                      <w:rFonts w:hint="eastAsia"/>
                      <w:color w:val="000000"/>
                      <w:kern w:val="0"/>
                      <w:sz w:val="21"/>
                      <w:szCs w:val="21"/>
                    </w:rPr>
                    <w:t>2</w:t>
                  </w:r>
                </w:p>
              </w:tc>
              <w:tc>
                <w:tcPr>
                  <w:tcW w:w="1967" w:type="pct"/>
                  <w:tcBorders>
                    <w:top w:val="single" w:color="auto" w:sz="4" w:space="0"/>
                    <w:left w:val="single" w:color="auto" w:sz="4" w:space="0"/>
                    <w:bottom w:val="single" w:color="auto" w:sz="4" w:space="0"/>
                    <w:right w:val="single" w:color="auto" w:sz="4" w:space="0"/>
                  </w:tcBorders>
                  <w:vAlign w:val="center"/>
                </w:tcPr>
                <w:p w14:paraId="2A18E138">
                  <w:pPr>
                    <w:widowControl/>
                    <w:spacing w:line="240" w:lineRule="auto"/>
                    <w:jc w:val="center"/>
                    <w:textAlignment w:val="center"/>
                    <w:rPr>
                      <w:color w:val="000000"/>
                      <w:kern w:val="0"/>
                      <w:sz w:val="21"/>
                      <w:szCs w:val="21"/>
                    </w:rPr>
                  </w:pPr>
                  <w:r>
                    <w:rPr>
                      <w:color w:val="000000"/>
                      <w:kern w:val="0"/>
                      <w:sz w:val="21"/>
                      <w:szCs w:val="21"/>
                    </w:rPr>
                    <w:t>COD</w:t>
                  </w:r>
                </w:p>
              </w:tc>
              <w:tc>
                <w:tcPr>
                  <w:tcW w:w="2288" w:type="pct"/>
                  <w:tcBorders>
                    <w:top w:val="single" w:color="auto" w:sz="4" w:space="0"/>
                    <w:left w:val="single" w:color="auto" w:sz="4" w:space="0"/>
                    <w:bottom w:val="single" w:color="auto" w:sz="4" w:space="0"/>
                    <w:right w:val="single" w:color="auto" w:sz="12" w:space="0"/>
                  </w:tcBorders>
                  <w:vAlign w:val="center"/>
                </w:tcPr>
                <w:p w14:paraId="1784DE90">
                  <w:pPr>
                    <w:spacing w:line="240" w:lineRule="auto"/>
                    <w:jc w:val="center"/>
                    <w:rPr>
                      <w:color w:val="000000"/>
                      <w:kern w:val="0"/>
                      <w:sz w:val="21"/>
                      <w:szCs w:val="21"/>
                    </w:rPr>
                  </w:pPr>
                  <w:r>
                    <w:rPr>
                      <w:color w:val="000000"/>
                      <w:kern w:val="0"/>
                      <w:sz w:val="21"/>
                      <w:szCs w:val="21"/>
                    </w:rPr>
                    <w:t>250</w:t>
                  </w:r>
                </w:p>
              </w:tc>
            </w:tr>
            <w:tr w14:paraId="6C492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4" w:space="0"/>
                    <w:right w:val="single" w:color="auto" w:sz="4" w:space="0"/>
                  </w:tcBorders>
                  <w:vAlign w:val="center"/>
                </w:tcPr>
                <w:p w14:paraId="40AE758B">
                  <w:pPr>
                    <w:spacing w:line="240" w:lineRule="auto"/>
                    <w:jc w:val="center"/>
                    <w:rPr>
                      <w:color w:val="000000"/>
                      <w:kern w:val="0"/>
                      <w:sz w:val="21"/>
                      <w:szCs w:val="21"/>
                    </w:rPr>
                  </w:pPr>
                  <w:r>
                    <w:rPr>
                      <w:rFonts w:hint="eastAsia"/>
                      <w:color w:val="000000"/>
                      <w:kern w:val="0"/>
                      <w:sz w:val="21"/>
                      <w:szCs w:val="21"/>
                    </w:rPr>
                    <w:t>3</w:t>
                  </w:r>
                </w:p>
              </w:tc>
              <w:tc>
                <w:tcPr>
                  <w:tcW w:w="1967" w:type="pct"/>
                  <w:tcBorders>
                    <w:top w:val="single" w:color="auto" w:sz="4" w:space="0"/>
                    <w:left w:val="single" w:color="auto" w:sz="4" w:space="0"/>
                    <w:bottom w:val="single" w:color="auto" w:sz="4" w:space="0"/>
                    <w:right w:val="single" w:color="auto" w:sz="4" w:space="0"/>
                  </w:tcBorders>
                  <w:vAlign w:val="center"/>
                </w:tcPr>
                <w:p w14:paraId="7FE02E0F">
                  <w:pPr>
                    <w:widowControl/>
                    <w:spacing w:line="240" w:lineRule="auto"/>
                    <w:jc w:val="center"/>
                    <w:textAlignment w:val="center"/>
                    <w:rPr>
                      <w:color w:val="000000"/>
                      <w:kern w:val="0"/>
                      <w:sz w:val="21"/>
                      <w:szCs w:val="21"/>
                    </w:rPr>
                  </w:pPr>
                  <w:r>
                    <w:rPr>
                      <w:color w:val="000000"/>
                      <w:kern w:val="0"/>
                      <w:sz w:val="21"/>
                      <w:szCs w:val="21"/>
                    </w:rPr>
                    <w:t>BOD</w:t>
                  </w:r>
                  <w:r>
                    <w:rPr>
                      <w:color w:val="000000"/>
                      <w:kern w:val="0"/>
                      <w:sz w:val="21"/>
                      <w:szCs w:val="21"/>
                      <w:vertAlign w:val="subscript"/>
                    </w:rPr>
                    <w:t>5</w:t>
                  </w:r>
                </w:p>
              </w:tc>
              <w:tc>
                <w:tcPr>
                  <w:tcW w:w="2288" w:type="pct"/>
                  <w:tcBorders>
                    <w:top w:val="single" w:color="auto" w:sz="4" w:space="0"/>
                    <w:left w:val="single" w:color="auto" w:sz="4" w:space="0"/>
                    <w:bottom w:val="single" w:color="auto" w:sz="4" w:space="0"/>
                    <w:right w:val="single" w:color="auto" w:sz="12" w:space="0"/>
                  </w:tcBorders>
                  <w:vAlign w:val="center"/>
                </w:tcPr>
                <w:p w14:paraId="5653EA1D">
                  <w:pPr>
                    <w:spacing w:line="240" w:lineRule="auto"/>
                    <w:jc w:val="center"/>
                    <w:rPr>
                      <w:color w:val="000000"/>
                      <w:kern w:val="0"/>
                      <w:sz w:val="21"/>
                      <w:szCs w:val="21"/>
                    </w:rPr>
                  </w:pPr>
                  <w:r>
                    <w:rPr>
                      <w:color w:val="000000"/>
                      <w:kern w:val="0"/>
                      <w:sz w:val="21"/>
                      <w:szCs w:val="21"/>
                    </w:rPr>
                    <w:t>100</w:t>
                  </w:r>
                </w:p>
              </w:tc>
            </w:tr>
            <w:tr w14:paraId="491B9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4" w:space="0"/>
                    <w:right w:val="single" w:color="auto" w:sz="4" w:space="0"/>
                  </w:tcBorders>
                  <w:vAlign w:val="center"/>
                </w:tcPr>
                <w:p w14:paraId="4E5CE4B4">
                  <w:pPr>
                    <w:spacing w:line="240" w:lineRule="auto"/>
                    <w:jc w:val="center"/>
                    <w:rPr>
                      <w:color w:val="000000"/>
                      <w:kern w:val="0"/>
                      <w:sz w:val="21"/>
                      <w:szCs w:val="21"/>
                    </w:rPr>
                  </w:pPr>
                  <w:r>
                    <w:rPr>
                      <w:rFonts w:hint="eastAsia"/>
                      <w:color w:val="000000"/>
                      <w:kern w:val="0"/>
                      <w:sz w:val="21"/>
                      <w:szCs w:val="21"/>
                    </w:rPr>
                    <w:t>4</w:t>
                  </w:r>
                </w:p>
              </w:tc>
              <w:tc>
                <w:tcPr>
                  <w:tcW w:w="1967" w:type="pct"/>
                  <w:tcBorders>
                    <w:top w:val="single" w:color="auto" w:sz="4" w:space="0"/>
                    <w:left w:val="single" w:color="auto" w:sz="4" w:space="0"/>
                    <w:bottom w:val="single" w:color="auto" w:sz="4" w:space="0"/>
                    <w:right w:val="single" w:color="auto" w:sz="4" w:space="0"/>
                  </w:tcBorders>
                  <w:vAlign w:val="center"/>
                </w:tcPr>
                <w:p w14:paraId="5CBEAA86">
                  <w:pPr>
                    <w:widowControl/>
                    <w:spacing w:line="240" w:lineRule="auto"/>
                    <w:jc w:val="center"/>
                    <w:textAlignment w:val="center"/>
                    <w:rPr>
                      <w:color w:val="000000"/>
                      <w:kern w:val="0"/>
                      <w:sz w:val="21"/>
                      <w:szCs w:val="21"/>
                    </w:rPr>
                  </w:pPr>
                  <w:r>
                    <w:rPr>
                      <w:color w:val="000000"/>
                      <w:kern w:val="0"/>
                      <w:sz w:val="21"/>
                      <w:szCs w:val="21"/>
                    </w:rPr>
                    <w:t>NH</w:t>
                  </w:r>
                  <w:r>
                    <w:rPr>
                      <w:color w:val="000000"/>
                      <w:kern w:val="0"/>
                      <w:sz w:val="21"/>
                      <w:szCs w:val="21"/>
                      <w:vertAlign w:val="subscript"/>
                    </w:rPr>
                    <w:t>3</w:t>
                  </w:r>
                  <w:r>
                    <w:rPr>
                      <w:color w:val="000000"/>
                      <w:kern w:val="0"/>
                      <w:sz w:val="21"/>
                      <w:szCs w:val="21"/>
                    </w:rPr>
                    <w:t>-N</w:t>
                  </w:r>
                </w:p>
              </w:tc>
              <w:tc>
                <w:tcPr>
                  <w:tcW w:w="2288" w:type="pct"/>
                  <w:tcBorders>
                    <w:top w:val="single" w:color="auto" w:sz="4" w:space="0"/>
                    <w:left w:val="single" w:color="auto" w:sz="4" w:space="0"/>
                    <w:bottom w:val="single" w:color="auto" w:sz="4" w:space="0"/>
                    <w:right w:val="single" w:color="auto" w:sz="12" w:space="0"/>
                  </w:tcBorders>
                  <w:vAlign w:val="center"/>
                </w:tcPr>
                <w:p w14:paraId="19A0CE6B">
                  <w:pPr>
                    <w:spacing w:line="240" w:lineRule="auto"/>
                    <w:jc w:val="center"/>
                    <w:rPr>
                      <w:color w:val="000000"/>
                      <w:kern w:val="0"/>
                      <w:sz w:val="21"/>
                      <w:szCs w:val="21"/>
                    </w:rPr>
                  </w:pPr>
                  <w:r>
                    <w:rPr>
                      <w:color w:val="000000"/>
                      <w:kern w:val="0"/>
                      <w:sz w:val="21"/>
                      <w:szCs w:val="21"/>
                    </w:rPr>
                    <w:t>/</w:t>
                  </w:r>
                </w:p>
              </w:tc>
            </w:tr>
            <w:tr w14:paraId="2F895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4" w:space="0"/>
                    <w:right w:val="single" w:color="auto" w:sz="4" w:space="0"/>
                  </w:tcBorders>
                  <w:vAlign w:val="center"/>
                </w:tcPr>
                <w:p w14:paraId="434B60AD">
                  <w:pPr>
                    <w:spacing w:line="240" w:lineRule="auto"/>
                    <w:jc w:val="center"/>
                    <w:rPr>
                      <w:color w:val="000000"/>
                      <w:kern w:val="0"/>
                      <w:sz w:val="21"/>
                      <w:szCs w:val="21"/>
                    </w:rPr>
                  </w:pPr>
                  <w:r>
                    <w:rPr>
                      <w:rFonts w:hint="eastAsia"/>
                      <w:color w:val="000000"/>
                      <w:kern w:val="0"/>
                      <w:sz w:val="21"/>
                      <w:szCs w:val="21"/>
                    </w:rPr>
                    <w:t>5</w:t>
                  </w:r>
                </w:p>
              </w:tc>
              <w:tc>
                <w:tcPr>
                  <w:tcW w:w="1967" w:type="pct"/>
                  <w:tcBorders>
                    <w:top w:val="single" w:color="auto" w:sz="4" w:space="0"/>
                    <w:left w:val="single" w:color="auto" w:sz="4" w:space="0"/>
                    <w:bottom w:val="single" w:color="auto" w:sz="4" w:space="0"/>
                    <w:right w:val="single" w:color="auto" w:sz="4" w:space="0"/>
                  </w:tcBorders>
                  <w:vAlign w:val="center"/>
                </w:tcPr>
                <w:p w14:paraId="3DC8971A">
                  <w:pPr>
                    <w:widowControl/>
                    <w:spacing w:line="240" w:lineRule="auto"/>
                    <w:jc w:val="center"/>
                    <w:textAlignment w:val="center"/>
                    <w:rPr>
                      <w:color w:val="000000"/>
                      <w:kern w:val="0"/>
                      <w:sz w:val="21"/>
                      <w:szCs w:val="21"/>
                    </w:rPr>
                  </w:pPr>
                  <w:r>
                    <w:rPr>
                      <w:rFonts w:hint="eastAsia" w:ascii="宋体" w:hAnsi="宋体"/>
                      <w:color w:val="000000"/>
                      <w:sz w:val="21"/>
                      <w:szCs w:val="21"/>
                    </w:rPr>
                    <w:t>动植物油</w:t>
                  </w:r>
                </w:p>
              </w:tc>
              <w:tc>
                <w:tcPr>
                  <w:tcW w:w="2288" w:type="pct"/>
                  <w:tcBorders>
                    <w:top w:val="single" w:color="auto" w:sz="4" w:space="0"/>
                    <w:left w:val="single" w:color="auto" w:sz="4" w:space="0"/>
                    <w:bottom w:val="single" w:color="auto" w:sz="4" w:space="0"/>
                    <w:right w:val="single" w:color="auto" w:sz="12" w:space="0"/>
                  </w:tcBorders>
                  <w:vAlign w:val="center"/>
                </w:tcPr>
                <w:p w14:paraId="53599A82">
                  <w:pPr>
                    <w:spacing w:line="240" w:lineRule="auto"/>
                    <w:jc w:val="center"/>
                    <w:rPr>
                      <w:color w:val="000000"/>
                      <w:kern w:val="0"/>
                      <w:sz w:val="21"/>
                      <w:szCs w:val="21"/>
                    </w:rPr>
                  </w:pPr>
                  <w:r>
                    <w:rPr>
                      <w:color w:val="000000"/>
                      <w:kern w:val="0"/>
                      <w:sz w:val="21"/>
                      <w:szCs w:val="21"/>
                    </w:rPr>
                    <w:t>20</w:t>
                  </w:r>
                </w:p>
              </w:tc>
            </w:tr>
            <w:tr w14:paraId="146E2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4" w:space="0"/>
                    <w:right w:val="single" w:color="auto" w:sz="4" w:space="0"/>
                  </w:tcBorders>
                  <w:vAlign w:val="center"/>
                </w:tcPr>
                <w:p w14:paraId="4260D2DD">
                  <w:pPr>
                    <w:spacing w:line="240" w:lineRule="auto"/>
                    <w:jc w:val="center"/>
                    <w:rPr>
                      <w:color w:val="000000"/>
                      <w:kern w:val="0"/>
                      <w:sz w:val="21"/>
                      <w:szCs w:val="21"/>
                    </w:rPr>
                  </w:pPr>
                  <w:r>
                    <w:rPr>
                      <w:rFonts w:hint="eastAsia"/>
                      <w:color w:val="000000"/>
                      <w:kern w:val="0"/>
                      <w:sz w:val="21"/>
                      <w:szCs w:val="21"/>
                    </w:rPr>
                    <w:t>6</w:t>
                  </w:r>
                </w:p>
              </w:tc>
              <w:tc>
                <w:tcPr>
                  <w:tcW w:w="1967" w:type="pct"/>
                  <w:tcBorders>
                    <w:top w:val="single" w:color="auto" w:sz="4" w:space="0"/>
                    <w:left w:val="single" w:color="auto" w:sz="4" w:space="0"/>
                    <w:bottom w:val="single" w:color="auto" w:sz="4" w:space="0"/>
                    <w:right w:val="single" w:color="auto" w:sz="4" w:space="0"/>
                  </w:tcBorders>
                  <w:vAlign w:val="center"/>
                </w:tcPr>
                <w:p w14:paraId="178637A3">
                  <w:pPr>
                    <w:widowControl/>
                    <w:spacing w:line="240" w:lineRule="auto"/>
                    <w:jc w:val="center"/>
                    <w:textAlignment w:val="center"/>
                    <w:rPr>
                      <w:color w:val="000000"/>
                      <w:kern w:val="0"/>
                      <w:sz w:val="21"/>
                      <w:szCs w:val="21"/>
                    </w:rPr>
                  </w:pPr>
                  <w:r>
                    <w:rPr>
                      <w:color w:val="000000"/>
                      <w:kern w:val="0"/>
                      <w:sz w:val="21"/>
                      <w:szCs w:val="21"/>
                    </w:rPr>
                    <w:t>SS</w:t>
                  </w:r>
                </w:p>
              </w:tc>
              <w:tc>
                <w:tcPr>
                  <w:tcW w:w="2288" w:type="pct"/>
                  <w:tcBorders>
                    <w:top w:val="single" w:color="auto" w:sz="4" w:space="0"/>
                    <w:left w:val="single" w:color="auto" w:sz="4" w:space="0"/>
                    <w:bottom w:val="single" w:color="auto" w:sz="4" w:space="0"/>
                    <w:right w:val="single" w:color="auto" w:sz="12" w:space="0"/>
                  </w:tcBorders>
                  <w:vAlign w:val="center"/>
                </w:tcPr>
                <w:p w14:paraId="13112968">
                  <w:pPr>
                    <w:spacing w:line="240" w:lineRule="auto"/>
                    <w:jc w:val="center"/>
                    <w:rPr>
                      <w:color w:val="000000"/>
                      <w:kern w:val="0"/>
                      <w:sz w:val="21"/>
                      <w:szCs w:val="21"/>
                    </w:rPr>
                  </w:pPr>
                  <w:r>
                    <w:rPr>
                      <w:color w:val="000000"/>
                      <w:kern w:val="0"/>
                      <w:sz w:val="21"/>
                      <w:szCs w:val="21"/>
                    </w:rPr>
                    <w:t>60</w:t>
                  </w:r>
                </w:p>
              </w:tc>
            </w:tr>
            <w:tr w14:paraId="18F06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pct"/>
                  <w:tcBorders>
                    <w:top w:val="single" w:color="auto" w:sz="4" w:space="0"/>
                    <w:left w:val="single" w:color="auto" w:sz="12" w:space="0"/>
                    <w:bottom w:val="single" w:color="auto" w:sz="12" w:space="0"/>
                    <w:right w:val="single" w:color="auto" w:sz="4" w:space="0"/>
                  </w:tcBorders>
                  <w:vAlign w:val="center"/>
                </w:tcPr>
                <w:p w14:paraId="6219A9D6">
                  <w:pPr>
                    <w:spacing w:line="240" w:lineRule="auto"/>
                    <w:jc w:val="center"/>
                    <w:rPr>
                      <w:color w:val="000000"/>
                      <w:kern w:val="0"/>
                      <w:sz w:val="21"/>
                      <w:szCs w:val="21"/>
                    </w:rPr>
                  </w:pPr>
                  <w:r>
                    <w:rPr>
                      <w:rFonts w:hint="eastAsia"/>
                      <w:color w:val="000000"/>
                      <w:kern w:val="0"/>
                      <w:sz w:val="21"/>
                      <w:szCs w:val="21"/>
                    </w:rPr>
                    <w:t>7</w:t>
                  </w:r>
                </w:p>
              </w:tc>
              <w:tc>
                <w:tcPr>
                  <w:tcW w:w="1967" w:type="pct"/>
                  <w:tcBorders>
                    <w:top w:val="single" w:color="auto" w:sz="4" w:space="0"/>
                    <w:left w:val="single" w:color="auto" w:sz="4" w:space="0"/>
                    <w:bottom w:val="single" w:color="auto" w:sz="12" w:space="0"/>
                    <w:right w:val="single" w:color="auto" w:sz="4" w:space="0"/>
                  </w:tcBorders>
                  <w:vAlign w:val="center"/>
                </w:tcPr>
                <w:p w14:paraId="0D95632B">
                  <w:pPr>
                    <w:widowControl/>
                    <w:spacing w:line="240" w:lineRule="auto"/>
                    <w:jc w:val="center"/>
                    <w:textAlignment w:val="center"/>
                    <w:rPr>
                      <w:color w:val="000000"/>
                      <w:kern w:val="0"/>
                      <w:sz w:val="21"/>
                      <w:szCs w:val="21"/>
                    </w:rPr>
                  </w:pPr>
                  <w:r>
                    <w:rPr>
                      <w:rFonts w:hint="eastAsia" w:ascii="宋体" w:hAnsi="宋体"/>
                      <w:color w:val="000000"/>
                      <w:sz w:val="21"/>
                      <w:szCs w:val="21"/>
                    </w:rPr>
                    <w:t>粪大肠杆菌群数（</w:t>
                  </w:r>
                  <w:r>
                    <w:rPr>
                      <w:color w:val="000000"/>
                      <w:kern w:val="0"/>
                      <w:sz w:val="21"/>
                      <w:szCs w:val="21"/>
                    </w:rPr>
                    <w:t>MPN/L</w:t>
                  </w:r>
                  <w:r>
                    <w:rPr>
                      <w:rFonts w:hint="eastAsia" w:ascii="宋体" w:hAnsi="宋体"/>
                      <w:color w:val="000000"/>
                      <w:sz w:val="21"/>
                      <w:szCs w:val="21"/>
                    </w:rPr>
                    <w:t>）</w:t>
                  </w:r>
                </w:p>
              </w:tc>
              <w:tc>
                <w:tcPr>
                  <w:tcW w:w="2288" w:type="pct"/>
                  <w:tcBorders>
                    <w:top w:val="single" w:color="auto" w:sz="4" w:space="0"/>
                    <w:left w:val="single" w:color="auto" w:sz="4" w:space="0"/>
                    <w:bottom w:val="single" w:color="auto" w:sz="12" w:space="0"/>
                    <w:right w:val="single" w:color="auto" w:sz="12" w:space="0"/>
                  </w:tcBorders>
                  <w:vAlign w:val="center"/>
                </w:tcPr>
                <w:p w14:paraId="370A15BB">
                  <w:pPr>
                    <w:spacing w:line="240" w:lineRule="auto"/>
                    <w:jc w:val="center"/>
                    <w:rPr>
                      <w:color w:val="000000"/>
                      <w:kern w:val="0"/>
                      <w:sz w:val="21"/>
                      <w:szCs w:val="21"/>
                    </w:rPr>
                  </w:pPr>
                  <w:r>
                    <w:rPr>
                      <w:rFonts w:hint="eastAsia"/>
                      <w:color w:val="000000"/>
                      <w:kern w:val="0"/>
                      <w:sz w:val="21"/>
                      <w:szCs w:val="21"/>
                    </w:rPr>
                    <w:t>500</w:t>
                  </w:r>
                  <w:r>
                    <w:rPr>
                      <w:color w:val="000000"/>
                      <w:kern w:val="0"/>
                      <w:sz w:val="21"/>
                      <w:szCs w:val="21"/>
                    </w:rPr>
                    <w:t>0</w:t>
                  </w:r>
                </w:p>
              </w:tc>
            </w:tr>
          </w:tbl>
          <w:p w14:paraId="59C8E8CC">
            <w:pPr>
              <w:jc w:val="both"/>
              <w:rPr>
                <w:b/>
                <w:szCs w:val="24"/>
              </w:rPr>
            </w:pPr>
            <w:r>
              <w:rPr>
                <w:rFonts w:hint="eastAsia"/>
                <w:b/>
                <w:szCs w:val="24"/>
              </w:rPr>
              <w:t>3</w:t>
            </w:r>
            <w:r>
              <w:rPr>
                <w:rFonts w:hint="eastAsia" w:ascii="宋体" w:hAnsi="宋体"/>
                <w:b/>
                <w:szCs w:val="24"/>
              </w:rPr>
              <w:t>、噪声排放标准</w:t>
            </w:r>
          </w:p>
          <w:p w14:paraId="0B97AEDB">
            <w:pPr>
              <w:ind w:firstLine="480" w:firstLineChars="200"/>
              <w:rPr>
                <w:szCs w:val="24"/>
              </w:rPr>
            </w:pPr>
            <w:r>
              <w:rPr>
                <w:rFonts w:hint="eastAsia" w:ascii="宋体" w:hAnsi="宋体"/>
                <w:szCs w:val="24"/>
              </w:rPr>
              <w:t>运营期厂界噪声执行《工业企业厂界环境噪声排放标准》（</w:t>
            </w:r>
            <w:r>
              <w:rPr>
                <w:rFonts w:hint="eastAsia"/>
                <w:szCs w:val="24"/>
              </w:rPr>
              <w:t>GB12348-2008</w:t>
            </w:r>
            <w:r>
              <w:rPr>
                <w:rFonts w:hint="eastAsia" w:ascii="宋体" w:hAnsi="宋体"/>
                <w:szCs w:val="24"/>
              </w:rPr>
              <w:t>）中的</w:t>
            </w:r>
            <w:r>
              <w:rPr>
                <w:rFonts w:hint="eastAsia"/>
                <w:szCs w:val="24"/>
              </w:rPr>
              <w:t>2</w:t>
            </w:r>
            <w:r>
              <w:rPr>
                <w:rFonts w:hint="eastAsia" w:ascii="宋体" w:hAnsi="宋体"/>
                <w:szCs w:val="24"/>
              </w:rPr>
              <w:t>类功能区标准。</w:t>
            </w:r>
          </w:p>
          <w:p w14:paraId="551BCBBE">
            <w:pPr>
              <w:jc w:val="center"/>
              <w:rPr>
                <w:b/>
                <w:bCs/>
                <w:szCs w:val="24"/>
              </w:rPr>
            </w:pPr>
            <w:r>
              <w:rPr>
                <w:rFonts w:hint="eastAsia" w:ascii="宋体" w:hAnsi="宋体"/>
                <w:b/>
                <w:bCs/>
                <w:szCs w:val="24"/>
              </w:rPr>
              <w:t>表</w:t>
            </w:r>
            <w:r>
              <w:rPr>
                <w:rFonts w:hint="eastAsia"/>
                <w:b/>
                <w:bCs/>
                <w:szCs w:val="24"/>
              </w:rPr>
              <w:t>3</w:t>
            </w:r>
            <w:r>
              <w:rPr>
                <w:b/>
                <w:bCs/>
                <w:szCs w:val="24"/>
              </w:rPr>
              <w:t>-7</w:t>
            </w:r>
            <w:r>
              <w:rPr>
                <w:rFonts w:hint="eastAsia" w:ascii="宋体" w:hAnsi="宋体"/>
                <w:b/>
                <w:bCs/>
                <w:szCs w:val="24"/>
              </w:rPr>
              <w:t>工业企业厂界环境噪声排放标准</w:t>
            </w:r>
            <w:r>
              <w:rPr>
                <w:rFonts w:hint="eastAsia"/>
                <w:b/>
                <w:bCs/>
                <w:szCs w:val="24"/>
              </w:rPr>
              <w:t xml:space="preserve"> </w:t>
            </w:r>
            <w:r>
              <w:rPr>
                <w:b/>
                <w:bCs/>
                <w:szCs w:val="24"/>
              </w:rPr>
              <w:t xml:space="preserve"> </w:t>
            </w:r>
            <w:r>
              <w:rPr>
                <w:rFonts w:hint="eastAsia" w:ascii="宋体" w:hAnsi="宋体"/>
                <w:b/>
                <w:bCs/>
                <w:szCs w:val="24"/>
              </w:rPr>
              <w:t>单位：</w:t>
            </w:r>
            <w:r>
              <w:rPr>
                <w:rFonts w:hint="eastAsia"/>
                <w:b/>
                <w:bCs/>
                <w:szCs w:val="24"/>
              </w:rPr>
              <w:t>dB</w:t>
            </w:r>
            <w:r>
              <w:rPr>
                <w:rFonts w:hint="eastAsia" w:ascii="宋体" w:hAnsi="宋体"/>
                <w:b/>
                <w:bCs/>
                <w:szCs w:val="24"/>
              </w:rPr>
              <w:t>（</w:t>
            </w:r>
            <w:r>
              <w:rPr>
                <w:rFonts w:hint="eastAsia"/>
                <w:b/>
                <w:bCs/>
                <w:szCs w:val="24"/>
              </w:rPr>
              <w:t>A</w:t>
            </w:r>
            <w:r>
              <w:rPr>
                <w:rFonts w:hint="eastAsia" w:ascii="宋体" w:hAnsi="宋体"/>
                <w:b/>
                <w:bCs/>
                <w:szCs w:val="24"/>
              </w:rPr>
              <w:t>）</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3173"/>
              <w:gridCol w:w="3048"/>
            </w:tblGrid>
            <w:tr w14:paraId="47F43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229" w:type="pct"/>
                  <w:tcBorders>
                    <w:top w:val="single" w:color="auto" w:sz="12" w:space="0"/>
                    <w:left w:val="single" w:color="auto" w:sz="12" w:space="0"/>
                    <w:bottom w:val="single" w:color="auto" w:sz="4" w:space="0"/>
                    <w:right w:val="single" w:color="auto" w:sz="4" w:space="0"/>
                  </w:tcBorders>
                  <w:vAlign w:val="center"/>
                </w:tcPr>
                <w:p w14:paraId="26641D1B">
                  <w:pPr>
                    <w:jc w:val="center"/>
                    <w:rPr>
                      <w:b/>
                      <w:bCs/>
                      <w:sz w:val="21"/>
                      <w:szCs w:val="21"/>
                    </w:rPr>
                  </w:pPr>
                  <w:r>
                    <w:rPr>
                      <w:rFonts w:hint="eastAsia" w:ascii="宋体" w:hAnsi="宋体"/>
                      <w:b/>
                      <w:bCs/>
                      <w:sz w:val="21"/>
                      <w:szCs w:val="21"/>
                    </w:rPr>
                    <w:t>类别</w:t>
                  </w:r>
                  <w:r>
                    <w:rPr>
                      <w:rFonts w:hint="eastAsia" w:hAnsi="宋体"/>
                      <w:b/>
                      <w:bCs/>
                      <w:sz w:val="21"/>
                      <w:szCs w:val="21"/>
                    </w:rPr>
                    <w:t xml:space="preserve"> </w:t>
                  </w:r>
                </w:p>
              </w:tc>
              <w:tc>
                <w:tcPr>
                  <w:tcW w:w="1923" w:type="pct"/>
                  <w:tcBorders>
                    <w:top w:val="single" w:color="auto" w:sz="12" w:space="0"/>
                    <w:left w:val="single" w:color="auto" w:sz="4" w:space="0"/>
                    <w:bottom w:val="single" w:color="auto" w:sz="4" w:space="0"/>
                    <w:right w:val="single" w:color="auto" w:sz="4" w:space="0"/>
                  </w:tcBorders>
                  <w:vAlign w:val="center"/>
                </w:tcPr>
                <w:p w14:paraId="69BD498E">
                  <w:pPr>
                    <w:jc w:val="center"/>
                    <w:rPr>
                      <w:b/>
                      <w:bCs/>
                      <w:sz w:val="21"/>
                      <w:szCs w:val="21"/>
                    </w:rPr>
                  </w:pPr>
                  <w:r>
                    <w:rPr>
                      <w:rFonts w:ascii="宋体" w:hAnsi="宋体"/>
                      <w:b/>
                      <w:bCs/>
                      <w:sz w:val="21"/>
                      <w:szCs w:val="21"/>
                    </w:rPr>
                    <w:t>昼间</w:t>
                  </w:r>
                </w:p>
              </w:tc>
              <w:tc>
                <w:tcPr>
                  <w:tcW w:w="1847" w:type="pct"/>
                  <w:tcBorders>
                    <w:top w:val="single" w:color="auto" w:sz="12" w:space="0"/>
                    <w:left w:val="single" w:color="auto" w:sz="4" w:space="0"/>
                    <w:bottom w:val="single" w:color="auto" w:sz="4" w:space="0"/>
                    <w:right w:val="single" w:color="auto" w:sz="12" w:space="0"/>
                  </w:tcBorders>
                  <w:vAlign w:val="center"/>
                </w:tcPr>
                <w:p w14:paraId="1DBBC7FF">
                  <w:pPr>
                    <w:jc w:val="center"/>
                    <w:rPr>
                      <w:b/>
                      <w:bCs/>
                      <w:sz w:val="21"/>
                      <w:szCs w:val="21"/>
                    </w:rPr>
                  </w:pPr>
                  <w:r>
                    <w:rPr>
                      <w:rFonts w:ascii="宋体" w:hAnsi="宋体"/>
                      <w:b/>
                      <w:bCs/>
                      <w:sz w:val="21"/>
                      <w:szCs w:val="21"/>
                    </w:rPr>
                    <w:t>夜间</w:t>
                  </w:r>
                </w:p>
              </w:tc>
            </w:tr>
            <w:tr w14:paraId="30582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229" w:type="pct"/>
                  <w:tcBorders>
                    <w:top w:val="single" w:color="auto" w:sz="4" w:space="0"/>
                    <w:left w:val="single" w:color="auto" w:sz="12" w:space="0"/>
                    <w:bottom w:val="single" w:color="auto" w:sz="12" w:space="0"/>
                    <w:right w:val="single" w:color="auto" w:sz="4" w:space="0"/>
                  </w:tcBorders>
                  <w:vAlign w:val="center"/>
                </w:tcPr>
                <w:p w14:paraId="7F950078">
                  <w:pPr>
                    <w:jc w:val="center"/>
                    <w:rPr>
                      <w:sz w:val="21"/>
                      <w:szCs w:val="21"/>
                    </w:rPr>
                  </w:pPr>
                  <w:r>
                    <w:rPr>
                      <w:sz w:val="21"/>
                      <w:szCs w:val="21"/>
                    </w:rPr>
                    <w:t>2</w:t>
                  </w:r>
                </w:p>
              </w:tc>
              <w:tc>
                <w:tcPr>
                  <w:tcW w:w="1923" w:type="pct"/>
                  <w:tcBorders>
                    <w:top w:val="single" w:color="auto" w:sz="4" w:space="0"/>
                    <w:left w:val="single" w:color="auto" w:sz="4" w:space="0"/>
                    <w:bottom w:val="single" w:color="auto" w:sz="12" w:space="0"/>
                    <w:right w:val="single" w:color="auto" w:sz="4" w:space="0"/>
                  </w:tcBorders>
                  <w:vAlign w:val="center"/>
                </w:tcPr>
                <w:p w14:paraId="123FFE92">
                  <w:pPr>
                    <w:jc w:val="center"/>
                    <w:rPr>
                      <w:sz w:val="21"/>
                      <w:szCs w:val="21"/>
                    </w:rPr>
                  </w:pPr>
                  <w:r>
                    <w:rPr>
                      <w:sz w:val="21"/>
                      <w:szCs w:val="21"/>
                    </w:rPr>
                    <w:t>60</w:t>
                  </w:r>
                </w:p>
              </w:tc>
              <w:tc>
                <w:tcPr>
                  <w:tcW w:w="1847" w:type="pct"/>
                  <w:tcBorders>
                    <w:top w:val="single" w:color="auto" w:sz="4" w:space="0"/>
                    <w:left w:val="single" w:color="auto" w:sz="4" w:space="0"/>
                    <w:bottom w:val="single" w:color="auto" w:sz="12" w:space="0"/>
                    <w:right w:val="single" w:color="auto" w:sz="12" w:space="0"/>
                  </w:tcBorders>
                  <w:vAlign w:val="center"/>
                </w:tcPr>
                <w:p w14:paraId="3C15EDFF">
                  <w:pPr>
                    <w:jc w:val="center"/>
                    <w:rPr>
                      <w:sz w:val="21"/>
                      <w:szCs w:val="21"/>
                    </w:rPr>
                  </w:pPr>
                  <w:r>
                    <w:rPr>
                      <w:sz w:val="21"/>
                      <w:szCs w:val="21"/>
                    </w:rPr>
                    <w:t>50</w:t>
                  </w:r>
                </w:p>
              </w:tc>
            </w:tr>
          </w:tbl>
          <w:p w14:paraId="41501E16">
            <w:pPr>
              <w:ind w:firstLine="482"/>
              <w:jc w:val="both"/>
              <w:rPr>
                <w:b/>
                <w:szCs w:val="24"/>
              </w:rPr>
            </w:pPr>
            <w:r>
              <w:rPr>
                <w:rFonts w:hint="eastAsia"/>
                <w:b/>
                <w:szCs w:val="24"/>
              </w:rPr>
              <w:t>4</w:t>
            </w:r>
            <w:r>
              <w:rPr>
                <w:rFonts w:hint="eastAsia" w:ascii="宋体" w:hAnsi="宋体"/>
                <w:b/>
                <w:szCs w:val="24"/>
              </w:rPr>
              <w:t>、固废</w:t>
            </w:r>
          </w:p>
          <w:p w14:paraId="399F14E6">
            <w:pPr>
              <w:ind w:firstLine="480" w:firstLineChars="200"/>
              <w:rPr>
                <w:szCs w:val="24"/>
              </w:rPr>
            </w:pPr>
            <w:r>
              <w:rPr>
                <w:rFonts w:hint="eastAsia" w:ascii="宋体" w:hAnsi="宋体"/>
                <w:szCs w:val="24"/>
              </w:rPr>
              <w:t>一般工业固体废物执行《一般工业固体废物贮存和填埋污染控制标准》（</w:t>
            </w:r>
            <w:r>
              <w:rPr>
                <w:rFonts w:hint="eastAsia"/>
                <w:szCs w:val="24"/>
              </w:rPr>
              <w:t>GB18599-2020</w:t>
            </w:r>
            <w:r>
              <w:rPr>
                <w:rFonts w:hint="eastAsia" w:ascii="宋体" w:hAnsi="宋体"/>
                <w:szCs w:val="24"/>
              </w:rPr>
              <w:t>）；医疗废物贮存执行《危险废物贮存污染控制标准》（</w:t>
            </w:r>
            <w:r>
              <w:rPr>
                <w:rFonts w:hint="eastAsia"/>
                <w:szCs w:val="24"/>
              </w:rPr>
              <w:t>GB18597-2023</w:t>
            </w:r>
            <w:r>
              <w:rPr>
                <w:rFonts w:hint="eastAsia" w:ascii="宋体" w:hAnsi="宋体"/>
                <w:szCs w:val="24"/>
              </w:rPr>
              <w:t>）；污泥执行《医疗机构水污染物排放标准》（</w:t>
            </w:r>
            <w:r>
              <w:rPr>
                <w:rFonts w:hint="eastAsia"/>
                <w:szCs w:val="24"/>
              </w:rPr>
              <w:t>GB18466-2005</w:t>
            </w:r>
            <w:r>
              <w:rPr>
                <w:rFonts w:hint="eastAsia" w:ascii="宋体" w:hAnsi="宋体"/>
                <w:szCs w:val="24"/>
              </w:rPr>
              <w:t>）表</w:t>
            </w:r>
            <w:r>
              <w:rPr>
                <w:rFonts w:hint="eastAsia"/>
                <w:szCs w:val="24"/>
              </w:rPr>
              <w:t>4</w:t>
            </w:r>
            <w:r>
              <w:rPr>
                <w:rFonts w:hint="eastAsia" w:ascii="宋体" w:hAnsi="宋体"/>
                <w:szCs w:val="24"/>
              </w:rPr>
              <w:t>中医疗机构污泥控制标准；生活垃圾执行《生活垃圾填埋污染控制标准》（</w:t>
            </w:r>
            <w:r>
              <w:rPr>
                <w:rFonts w:hint="eastAsia"/>
                <w:szCs w:val="24"/>
              </w:rPr>
              <w:t>GB16889-2008</w:t>
            </w:r>
            <w:r>
              <w:rPr>
                <w:rFonts w:hint="eastAsia" w:ascii="宋体" w:hAnsi="宋体"/>
                <w:szCs w:val="24"/>
              </w:rPr>
              <w:t>）。</w:t>
            </w:r>
          </w:p>
        </w:tc>
      </w:tr>
      <w:tr w14:paraId="1470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Borders>
              <w:top w:val="single" w:color="auto" w:sz="4" w:space="0"/>
              <w:left w:val="single" w:color="auto" w:sz="4" w:space="0"/>
              <w:bottom w:val="single" w:color="auto" w:sz="4" w:space="0"/>
              <w:right w:val="single" w:color="auto" w:sz="4" w:space="0"/>
            </w:tcBorders>
            <w:vAlign w:val="center"/>
          </w:tcPr>
          <w:p w14:paraId="1BA424E3">
            <w:pPr>
              <w:jc w:val="center"/>
              <w:rPr>
                <w:kern w:val="0"/>
                <w:szCs w:val="24"/>
              </w:rPr>
            </w:pPr>
            <w:r>
              <w:rPr>
                <w:rFonts w:hint="eastAsia" w:ascii="宋体" w:hAnsi="宋体"/>
                <w:kern w:val="0"/>
                <w:szCs w:val="24"/>
              </w:rPr>
              <w:t>总量</w:t>
            </w:r>
          </w:p>
          <w:p w14:paraId="0327C74D">
            <w:pPr>
              <w:jc w:val="center"/>
              <w:rPr>
                <w:kern w:val="0"/>
                <w:szCs w:val="24"/>
              </w:rPr>
            </w:pPr>
            <w:r>
              <w:rPr>
                <w:rFonts w:hint="eastAsia" w:ascii="宋体" w:hAnsi="宋体"/>
                <w:kern w:val="0"/>
                <w:szCs w:val="24"/>
              </w:rPr>
              <w:t>控制</w:t>
            </w:r>
          </w:p>
          <w:p w14:paraId="2815763E">
            <w:pPr>
              <w:jc w:val="center"/>
              <w:rPr>
                <w:kern w:val="0"/>
                <w:szCs w:val="24"/>
              </w:rPr>
            </w:pPr>
            <w:r>
              <w:rPr>
                <w:rFonts w:hint="eastAsia" w:ascii="宋体" w:hAnsi="宋体"/>
                <w:kern w:val="0"/>
                <w:szCs w:val="24"/>
              </w:rPr>
              <w:t>指标</w:t>
            </w:r>
          </w:p>
        </w:tc>
        <w:tc>
          <w:tcPr>
            <w:tcW w:w="8495" w:type="dxa"/>
            <w:tcBorders>
              <w:top w:val="single" w:color="auto" w:sz="4" w:space="0"/>
              <w:left w:val="single" w:color="auto" w:sz="4" w:space="0"/>
              <w:bottom w:val="single" w:color="auto" w:sz="4" w:space="0"/>
              <w:right w:val="single" w:color="auto" w:sz="4" w:space="0"/>
            </w:tcBorders>
            <w:vAlign w:val="center"/>
          </w:tcPr>
          <w:p w14:paraId="5A65F4E0">
            <w:pPr>
              <w:ind w:firstLine="480" w:firstLineChars="200"/>
              <w:jc w:val="both"/>
              <w:rPr>
                <w:b/>
                <w:szCs w:val="24"/>
              </w:rPr>
            </w:pPr>
            <w:r>
              <w:rPr>
                <w:rFonts w:hint="eastAsia" w:ascii="宋体" w:hAnsi="宋体"/>
                <w:kern w:val="0"/>
                <w:szCs w:val="24"/>
              </w:rPr>
              <w:t>项目医疗废水经过自建污水系统（隔油池</w:t>
            </w:r>
            <w:r>
              <w:rPr>
                <w:rFonts w:hint="eastAsia"/>
                <w:kern w:val="0"/>
                <w:szCs w:val="24"/>
              </w:rPr>
              <w:t>+</w:t>
            </w:r>
            <w:r>
              <w:rPr>
                <w:rFonts w:hint="eastAsia" w:ascii="宋体" w:hAnsi="宋体"/>
                <w:kern w:val="0"/>
                <w:szCs w:val="24"/>
              </w:rPr>
              <w:t>化粪池</w:t>
            </w:r>
            <w:r>
              <w:rPr>
                <w:rFonts w:hint="eastAsia"/>
                <w:kern w:val="0"/>
                <w:szCs w:val="24"/>
              </w:rPr>
              <w:t>+</w:t>
            </w:r>
            <w:r>
              <w:rPr>
                <w:rFonts w:hint="eastAsia" w:ascii="宋体" w:hAnsi="宋体"/>
                <w:kern w:val="0"/>
                <w:szCs w:val="24"/>
              </w:rPr>
              <w:t>沉淀</w:t>
            </w:r>
            <w:r>
              <w:rPr>
                <w:rFonts w:hint="eastAsia"/>
                <w:kern w:val="0"/>
                <w:szCs w:val="24"/>
              </w:rPr>
              <w:t>+</w:t>
            </w:r>
            <w:r>
              <w:rPr>
                <w:rFonts w:hint="eastAsia" w:ascii="宋体" w:hAnsi="宋体"/>
                <w:kern w:val="0"/>
                <w:szCs w:val="24"/>
              </w:rPr>
              <w:t>消毒工艺）处理满足《医疗机构水污染物排放标准》（</w:t>
            </w:r>
            <w:r>
              <w:rPr>
                <w:rFonts w:hint="eastAsia"/>
                <w:kern w:val="0"/>
                <w:szCs w:val="24"/>
              </w:rPr>
              <w:t>GB18466-2005</w:t>
            </w:r>
            <w:r>
              <w:rPr>
                <w:rFonts w:hint="eastAsia" w:ascii="宋体" w:hAnsi="宋体"/>
                <w:kern w:val="0"/>
                <w:szCs w:val="24"/>
              </w:rPr>
              <w:t>）表</w:t>
            </w:r>
            <w:r>
              <w:rPr>
                <w:rFonts w:hint="eastAsia"/>
                <w:kern w:val="0"/>
                <w:szCs w:val="24"/>
              </w:rPr>
              <w:t>2</w:t>
            </w:r>
            <w:r>
              <w:rPr>
                <w:rFonts w:hint="eastAsia" w:ascii="宋体" w:hAnsi="宋体"/>
                <w:kern w:val="0"/>
                <w:szCs w:val="24"/>
              </w:rPr>
              <w:t>中的预处理标准后排入茶林镇污水处理厂处理达到《城镇污水处理厂污染物排放标准》中表</w:t>
            </w:r>
            <w:r>
              <w:rPr>
                <w:rFonts w:hint="eastAsia"/>
                <w:kern w:val="0"/>
                <w:szCs w:val="24"/>
              </w:rPr>
              <w:t>1</w:t>
            </w:r>
            <w:r>
              <w:rPr>
                <w:rFonts w:hint="eastAsia" w:ascii="宋体" w:hAnsi="宋体"/>
                <w:kern w:val="0"/>
                <w:szCs w:val="24"/>
              </w:rPr>
              <w:t>一级</w:t>
            </w:r>
            <w:r>
              <w:rPr>
                <w:rFonts w:hint="eastAsia"/>
                <w:kern w:val="0"/>
                <w:szCs w:val="24"/>
              </w:rPr>
              <w:t>A</w:t>
            </w:r>
            <w:r>
              <w:rPr>
                <w:rFonts w:hint="eastAsia" w:ascii="宋体" w:hAnsi="宋体"/>
                <w:kern w:val="0"/>
                <w:szCs w:val="24"/>
              </w:rPr>
              <w:t>标准后排入小河江，本项目为社会服务型项目，纳入茶林镇污水处理厂控制指标，无需购买总量</w:t>
            </w:r>
          </w:p>
        </w:tc>
      </w:tr>
    </w:tbl>
    <w:p w14:paraId="78444DEC">
      <w:pPr>
        <w:sectPr>
          <w:pgSz w:w="11906" w:h="16838"/>
          <w:pgMar w:top="1440" w:right="1440" w:bottom="1440" w:left="1440" w:header="851" w:footer="992" w:gutter="0"/>
          <w:pgNumType w:fmt="numberInDash"/>
          <w:cols w:space="425" w:num="1"/>
          <w:docGrid w:type="lines" w:linePitch="312" w:charSpace="0"/>
        </w:sectPr>
      </w:pPr>
    </w:p>
    <w:p w14:paraId="372FDAD2">
      <w:pPr>
        <w:tabs>
          <w:tab w:val="left" w:pos="993"/>
        </w:tabs>
        <w:spacing w:line="240" w:lineRule="auto"/>
        <w:jc w:val="center"/>
        <w:outlineLvl w:val="0"/>
        <w:rPr>
          <w:b/>
          <w:bCs/>
          <w:color w:val="000000"/>
          <w:kern w:val="44"/>
          <w:sz w:val="30"/>
          <w:szCs w:val="30"/>
        </w:rPr>
      </w:pPr>
      <w:bookmarkStart w:id="52" w:name="_Toc188001854"/>
      <w:bookmarkStart w:id="53" w:name="_Toc194068219"/>
      <w:bookmarkStart w:id="54" w:name="_Toc199260720"/>
      <w:r>
        <w:rPr>
          <w:rFonts w:hint="eastAsia"/>
          <w:b/>
          <w:bCs/>
          <w:color w:val="000000"/>
          <w:kern w:val="44"/>
          <w:sz w:val="30"/>
          <w:szCs w:val="30"/>
        </w:rPr>
        <w:t>四、主要环境影响和保护措施</w:t>
      </w:r>
      <w:bookmarkEnd w:id="52"/>
      <w:bookmarkEnd w:id="53"/>
      <w:bookmarkEnd w:id="54"/>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708"/>
      </w:tblGrid>
      <w:tr w14:paraId="7027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41EA8387">
            <w:pPr>
              <w:spacing w:line="240" w:lineRule="auto"/>
              <w:jc w:val="center"/>
              <w:rPr>
                <w:sz w:val="30"/>
                <w:szCs w:val="30"/>
              </w:rPr>
            </w:pPr>
            <w:r>
              <w:rPr>
                <w:rFonts w:hint="eastAsia"/>
                <w:kern w:val="0"/>
                <w:szCs w:val="24"/>
              </w:rPr>
              <w:t>施工期环境保护措施</w:t>
            </w:r>
          </w:p>
        </w:tc>
        <w:tc>
          <w:tcPr>
            <w:tcW w:w="8708" w:type="dxa"/>
            <w:vAlign w:val="center"/>
          </w:tcPr>
          <w:p w14:paraId="5CC4B8B1">
            <w:pPr>
              <w:ind w:firstLine="480" w:firstLineChars="200"/>
              <w:jc w:val="both"/>
              <w:rPr>
                <w:szCs w:val="21"/>
              </w:rPr>
            </w:pPr>
            <w:r>
              <w:rPr>
                <w:szCs w:val="21"/>
              </w:rPr>
              <w:t>本项目施工期主要产生的环境影响有：废气、噪声、固体废物等。</w:t>
            </w:r>
          </w:p>
          <w:p w14:paraId="01EE58AA">
            <w:pPr>
              <w:ind w:firstLine="482" w:firstLineChars="200"/>
              <w:jc w:val="both"/>
              <w:rPr>
                <w:b/>
                <w:szCs w:val="21"/>
              </w:rPr>
            </w:pPr>
            <w:r>
              <w:rPr>
                <w:b/>
                <w:szCs w:val="21"/>
              </w:rPr>
              <w:t>施工期废气污染防治措施：</w:t>
            </w:r>
          </w:p>
          <w:p w14:paraId="2FCC16A0">
            <w:pPr>
              <w:ind w:firstLine="482" w:firstLineChars="200"/>
              <w:jc w:val="both"/>
              <w:rPr>
                <w:b/>
                <w:szCs w:val="21"/>
              </w:rPr>
            </w:pPr>
            <w:r>
              <w:rPr>
                <w:b/>
                <w:szCs w:val="21"/>
              </w:rPr>
              <w:t>（1）粉尘防治措施：</w:t>
            </w:r>
          </w:p>
          <w:p w14:paraId="438CB9B1">
            <w:pPr>
              <w:ind w:firstLine="480" w:firstLineChars="200"/>
              <w:jc w:val="both"/>
            </w:pPr>
            <w:r>
              <w:fldChar w:fldCharType="begin"/>
            </w:r>
            <w:r>
              <w:instrText xml:space="preserve"> = 1 \* GB3 </w:instrText>
            </w:r>
            <w:r>
              <w:fldChar w:fldCharType="separate"/>
            </w:r>
            <w:r>
              <w:rPr>
                <w:rFonts w:hint="eastAsia" w:ascii="宋体" w:hAnsi="宋体" w:cs="宋体"/>
              </w:rPr>
              <w:t>①</w:t>
            </w:r>
            <w:r>
              <w:fldChar w:fldCharType="end"/>
            </w:r>
            <w:r>
              <w:t>建设单位应将建筑施工扬尘治理纳入日常工程监督管理范畴，将建筑施工扬尘治理内容写入监理规划、细则及监理日志中，加强现场环境监理和管理。施工场内设置专职保洁员。</w:t>
            </w:r>
          </w:p>
          <w:p w14:paraId="08BC8350">
            <w:pPr>
              <w:ind w:firstLine="480" w:firstLineChars="200"/>
              <w:jc w:val="both"/>
            </w:pPr>
            <w:r>
              <w:fldChar w:fldCharType="begin"/>
            </w:r>
            <w:r>
              <w:instrText xml:space="preserve"> = 2 \* GB3 </w:instrText>
            </w:r>
            <w:r>
              <w:fldChar w:fldCharType="separate"/>
            </w:r>
            <w:r>
              <w:rPr>
                <w:rFonts w:hint="eastAsia" w:ascii="宋体" w:hAnsi="宋体" w:cs="宋体"/>
              </w:rPr>
              <w:t>②</w:t>
            </w:r>
            <w:r>
              <w:fldChar w:fldCharType="end"/>
            </w:r>
            <w:r>
              <w:t>在施工场地设置100%封闭硬质围挡，防止扬尘污染周围环境；在施工边界工地建筑结构脚手架外侧设置有效抑尘的密目防尘网（不低于2000目/100平方厘米）或防尘布，进出道路做到100%硬化。</w:t>
            </w:r>
          </w:p>
          <w:p w14:paraId="43063688">
            <w:pPr>
              <w:ind w:firstLine="480" w:firstLineChars="200"/>
              <w:jc w:val="both"/>
            </w:pPr>
            <w:r>
              <w:fldChar w:fldCharType="begin"/>
            </w:r>
            <w:r>
              <w:instrText xml:space="preserve"> = 3 \* GB3 </w:instrText>
            </w:r>
            <w:r>
              <w:fldChar w:fldCharType="separate"/>
            </w:r>
            <w:r>
              <w:rPr>
                <w:rFonts w:hint="eastAsia" w:ascii="宋体" w:hAnsi="宋体" w:cs="宋体"/>
              </w:rPr>
              <w:t>③</w:t>
            </w:r>
            <w:r>
              <w:fldChar w:fldCharType="end"/>
            </w:r>
            <w:r>
              <w:t>加强弃土管理，在弃土临时堆场四周设置挡风墙（网），减少起尘量，并合理安排堆垛位置，尽量远离敏感目标，同时应将产生的建筑垃圾和土石方立即清运，并采用100%密闭运输方式，施工区与非施工区用围挡隔离，建筑垃圾在48小时内未能清运的，应当在施工工地设置临时堆放场，临时堆放场应当设置围挡、遮盖等防尘措施；</w:t>
            </w:r>
          </w:p>
          <w:p w14:paraId="6066C829">
            <w:pPr>
              <w:ind w:firstLine="480" w:firstLineChars="200"/>
              <w:jc w:val="both"/>
            </w:pPr>
            <w:r>
              <w:rPr>
                <w:rFonts w:hint="eastAsia" w:ascii="宋体" w:hAnsi="宋体" w:cs="宋体"/>
              </w:rPr>
              <w:t>④</w:t>
            </w:r>
            <w:r>
              <w:t>土料、砂砾料等多尘物料运输过程中应堆放整齐，采用封闭车辆运输，保证物料不遗撒，并适当加湿，尽量降低运输过程中起尘量。</w:t>
            </w:r>
          </w:p>
          <w:p w14:paraId="6219B50B">
            <w:pPr>
              <w:ind w:firstLine="480" w:firstLineChars="200"/>
              <w:jc w:val="both"/>
            </w:pPr>
            <w:r>
              <w:rPr>
                <w:rFonts w:hint="eastAsia" w:ascii="宋体" w:hAnsi="宋体" w:cs="宋体"/>
              </w:rPr>
              <w:t>⑤</w:t>
            </w:r>
            <w:r>
              <w:t>严禁在施工场地设置混凝土和砂浆搅合站。</w:t>
            </w:r>
          </w:p>
          <w:p w14:paraId="0F435345">
            <w:pPr>
              <w:ind w:firstLine="480" w:firstLineChars="200"/>
              <w:jc w:val="both"/>
            </w:pPr>
            <w:r>
              <w:rPr>
                <w:rFonts w:hint="eastAsia" w:ascii="宋体" w:hAnsi="宋体" w:cs="宋体"/>
              </w:rPr>
              <w:t>⑥</w:t>
            </w:r>
            <w:r>
              <w:t>对施工生产区要采取遮盖、拦挡等措施，防治扬尘污染，堆料场区选址应位于居民点下风向，堆放时采取防风防雨措施。</w:t>
            </w:r>
          </w:p>
          <w:p w14:paraId="24DE439A">
            <w:pPr>
              <w:ind w:firstLine="480" w:firstLineChars="200"/>
              <w:jc w:val="both"/>
            </w:pPr>
            <w:r>
              <w:rPr>
                <w:rFonts w:hint="eastAsia" w:ascii="宋体" w:hAnsi="宋体" w:cs="宋体"/>
              </w:rPr>
              <w:t>⑧</w:t>
            </w:r>
            <w:r>
              <w:t>工地场界应设置高度2.5米以上的围挡，施工现场应封闭施工。遇到四级或四级以上大风天气，应停止土方作业，同时作业区覆以防尘网。对于场区内裸露地面，应覆以防尘网或者防尘布，同时在大风时段，增加洒水次数。</w:t>
            </w:r>
          </w:p>
          <w:p w14:paraId="7DD433FF">
            <w:pPr>
              <w:ind w:firstLine="480" w:firstLineChars="200"/>
              <w:jc w:val="both"/>
            </w:pPr>
            <w:r>
              <w:rPr>
                <w:rFonts w:hint="eastAsia" w:ascii="宋体" w:hAnsi="宋体" w:cs="宋体"/>
              </w:rPr>
              <w:t>⑨</w:t>
            </w:r>
            <w:r>
              <w:t>在施工期间，应根据不同空气污染指数范围和大气、高温、干燥、晴天、雨天等各种不同气象条件，明确保洁制度，场地内施工区应采用人力洒水或水枪洒水，当空气污染指数大于100或4级以上大风干燥天气时禁止土方作业和人工干扫；在空气污染指数80~100时应每隔4h保洁一次，洒水与清扫交替使用。当空气污染指数低于50时，可以在保持清洁的前提下适度降低保洁强度。</w:t>
            </w:r>
          </w:p>
          <w:p w14:paraId="50DBC1A9">
            <w:pPr>
              <w:ind w:firstLine="480" w:firstLineChars="200"/>
              <w:jc w:val="both"/>
            </w:pPr>
            <w:r>
              <w:rPr>
                <w:rFonts w:hint="eastAsia" w:ascii="宋体" w:hAnsi="宋体" w:cs="宋体"/>
              </w:rPr>
              <w:t>⑩</w:t>
            </w:r>
            <w:r>
              <w:t>施工现场大门出入口处必须设置车辆冲洗设施和污水沉淀池，对驶出施工现场的机动车辆做到100%冲洗干净后方可上路行驶，严禁施工现场内的泥土和污水污染城市道路，对车辆运输沿途应每天定时洒水，严格限制车速，设置专人清扫路面，及时清除车辆漏散物，减少尘源，将其对沿途环境的影响降到最低。</w:t>
            </w:r>
          </w:p>
          <w:p w14:paraId="19A14C56">
            <w:pPr>
              <w:ind w:firstLine="482" w:firstLineChars="200"/>
              <w:jc w:val="both"/>
              <w:rPr>
                <w:b/>
                <w:bCs/>
              </w:rPr>
            </w:pPr>
            <w:r>
              <w:rPr>
                <w:b/>
                <w:bCs/>
              </w:rPr>
              <w:t>（2）机械废气防治措施：</w:t>
            </w:r>
          </w:p>
          <w:p w14:paraId="5BFA2DD9">
            <w:pPr>
              <w:ind w:firstLine="480" w:firstLineChars="200"/>
              <w:jc w:val="both"/>
            </w:pPr>
            <w:r>
              <w:t>由于施工机械是以柴油机为主，尾气中氮氧化物的浓度较低，碳黑的浓度较高，只要注意施工机械的操作，避免突然加速和超载，减少冒烟情况，对周围环境影响不大。</w:t>
            </w:r>
          </w:p>
          <w:p w14:paraId="27BDB6EC">
            <w:pPr>
              <w:ind w:firstLine="482" w:firstLineChars="200"/>
              <w:jc w:val="both"/>
              <w:rPr>
                <w:b/>
                <w:szCs w:val="21"/>
              </w:rPr>
            </w:pPr>
            <w:r>
              <w:rPr>
                <w:b/>
                <w:szCs w:val="21"/>
              </w:rPr>
              <w:t>（3）装修废气防治措施</w:t>
            </w:r>
          </w:p>
          <w:p w14:paraId="341F5473">
            <w:pPr>
              <w:ind w:firstLine="480" w:firstLineChars="200"/>
              <w:jc w:val="both"/>
            </w:pPr>
            <w:r>
              <w:t>合理选择建筑及装修材料，在建筑装修工程阶段，需加强现场管理，建筑装修采用环保型装饰材料和建筑涂料，以避免室内空气污染现象的发生。</w:t>
            </w:r>
          </w:p>
          <w:p w14:paraId="30F79C04">
            <w:pPr>
              <w:ind w:firstLine="482" w:firstLineChars="200"/>
              <w:jc w:val="both"/>
            </w:pPr>
            <w:r>
              <w:rPr>
                <w:b/>
                <w:szCs w:val="21"/>
              </w:rPr>
              <w:t>2、施工期废水污染防治措施：</w:t>
            </w:r>
          </w:p>
          <w:p w14:paraId="26290FEF">
            <w:pPr>
              <w:ind w:firstLine="482" w:firstLineChars="200"/>
              <w:jc w:val="both"/>
              <w:rPr>
                <w:b/>
                <w:bCs/>
                <w:szCs w:val="24"/>
              </w:rPr>
            </w:pPr>
            <w:r>
              <w:rPr>
                <w:b/>
                <w:bCs/>
                <w:szCs w:val="24"/>
              </w:rPr>
              <w:t>（1）施工废水污染防治措施</w:t>
            </w:r>
          </w:p>
          <w:p w14:paraId="10550C6F">
            <w:pPr>
              <w:ind w:firstLine="480" w:firstLineChars="200"/>
              <w:jc w:val="both"/>
              <w:rPr>
                <w:szCs w:val="24"/>
              </w:rPr>
            </w:pPr>
            <w:r>
              <w:rPr>
                <w:rFonts w:hint="eastAsia" w:ascii="宋体" w:hAnsi="宋体" w:cs="宋体"/>
                <w:szCs w:val="24"/>
              </w:rPr>
              <w:t>①</w:t>
            </w:r>
            <w:r>
              <w:rPr>
                <w:szCs w:val="24"/>
              </w:rPr>
              <w:t>在施工场地地势低洼处设置沉淀池，收集施工现场排放的混凝土养护水、渗漏水等建筑废水，经沉淀处理后回用于施工现场的洒水抑尘。</w:t>
            </w:r>
          </w:p>
          <w:p w14:paraId="29CAB22D">
            <w:pPr>
              <w:ind w:firstLine="480" w:firstLineChars="200"/>
              <w:jc w:val="both"/>
              <w:rPr>
                <w:szCs w:val="24"/>
              </w:rPr>
            </w:pPr>
            <w:r>
              <w:rPr>
                <w:rFonts w:hint="eastAsia" w:ascii="宋体" w:hAnsi="宋体" w:cs="宋体"/>
                <w:szCs w:val="24"/>
              </w:rPr>
              <w:t>②</w:t>
            </w:r>
            <w:r>
              <w:rPr>
                <w:szCs w:val="24"/>
              </w:rPr>
              <w:t>施工应尽量避开雨季，禁止雨天施工。</w:t>
            </w:r>
          </w:p>
          <w:p w14:paraId="6022367F">
            <w:pPr>
              <w:ind w:firstLine="480" w:firstLineChars="200"/>
              <w:jc w:val="both"/>
              <w:rPr>
                <w:szCs w:val="24"/>
              </w:rPr>
            </w:pPr>
            <w:r>
              <w:rPr>
                <w:rFonts w:hint="eastAsia" w:ascii="宋体" w:hAnsi="宋体" w:cs="宋体"/>
                <w:szCs w:val="24"/>
              </w:rPr>
              <w:t>③</w:t>
            </w:r>
            <w:r>
              <w:rPr>
                <w:szCs w:val="24"/>
              </w:rPr>
              <w:t>施工期临时沉淀池内淤泥必须定期清理，及时运往垃圾场填埋处置。</w:t>
            </w:r>
          </w:p>
          <w:p w14:paraId="1B919149">
            <w:pPr>
              <w:ind w:firstLine="480" w:firstLineChars="200"/>
              <w:jc w:val="both"/>
              <w:rPr>
                <w:szCs w:val="24"/>
              </w:rPr>
            </w:pPr>
            <w:r>
              <w:rPr>
                <w:rFonts w:hint="eastAsia" w:ascii="宋体" w:hAnsi="宋体" w:cs="宋体"/>
                <w:szCs w:val="24"/>
              </w:rPr>
              <w:t>④</w:t>
            </w:r>
            <w:r>
              <w:rPr>
                <w:szCs w:val="24"/>
              </w:rPr>
              <w:t>施工现场的所有临时废水收集设施、处理设施均需采取防漏隔渗措施。</w:t>
            </w:r>
          </w:p>
          <w:p w14:paraId="3A7F6D9E">
            <w:pPr>
              <w:ind w:firstLine="480" w:firstLineChars="200"/>
              <w:jc w:val="both"/>
              <w:rPr>
                <w:szCs w:val="24"/>
              </w:rPr>
            </w:pPr>
            <w:r>
              <w:rPr>
                <w:rFonts w:hint="eastAsia" w:ascii="宋体" w:hAnsi="宋体" w:cs="宋体"/>
                <w:szCs w:val="24"/>
              </w:rPr>
              <w:t>⑤</w:t>
            </w:r>
            <w:r>
              <w:rPr>
                <w:szCs w:val="24"/>
              </w:rPr>
              <w:t>水泥、黄沙、石灰类的建筑材料需集中堆放，并采取一定的防雨淋措施，及时清扫施工运输工程中抛洒的上述建筑材料，以免这些物质随雨水冲刷污染附近水体。</w:t>
            </w:r>
          </w:p>
          <w:p w14:paraId="459D26E8">
            <w:pPr>
              <w:ind w:firstLine="480" w:firstLineChars="200"/>
              <w:jc w:val="both"/>
              <w:rPr>
                <w:szCs w:val="24"/>
                <w:lang w:val="zh-CN"/>
              </w:rPr>
            </w:pPr>
            <w:r>
              <w:rPr>
                <w:rFonts w:hint="eastAsia" w:ascii="宋体" w:hAnsi="宋体" w:cs="宋体"/>
                <w:szCs w:val="24"/>
              </w:rPr>
              <w:t>⑥</w:t>
            </w:r>
            <w:r>
              <w:rPr>
                <w:szCs w:val="24"/>
                <w:lang w:val="zh-CN"/>
              </w:rPr>
              <w:t>建设单位严禁任何废水未经处理随意排放，施工泥浆水须经沉淀池沉淀后全部回用；污水沉淀时间应大于2小时，因此须在工地施工出口处，设置一个30m</w:t>
            </w:r>
            <w:r>
              <w:rPr>
                <w:szCs w:val="24"/>
                <w:vertAlign w:val="superscript"/>
                <w:lang w:val="zh-CN"/>
              </w:rPr>
              <w:t>3</w:t>
            </w:r>
            <w:r>
              <w:rPr>
                <w:szCs w:val="24"/>
                <w:lang w:val="zh-CN"/>
              </w:rPr>
              <w:t>的施工期车辆清洗设施和沉淀池，以收集施工污水，清洗废水经沉淀池澄清后循环使用于生产或者路面养护，本项目设2个贮水池，污水产生量较多如不能及时回用时可进入贮水池暂时贮存，施工废水不外排。</w:t>
            </w:r>
          </w:p>
          <w:p w14:paraId="38EA6A53">
            <w:pPr>
              <w:ind w:firstLine="480" w:firstLineChars="200"/>
              <w:jc w:val="both"/>
              <w:rPr>
                <w:szCs w:val="24"/>
                <w:lang w:val="zh-CN"/>
              </w:rPr>
            </w:pPr>
            <w:r>
              <w:rPr>
                <w:rFonts w:hint="eastAsia" w:ascii="宋体" w:hAnsi="宋体" w:cs="宋体"/>
                <w:szCs w:val="24"/>
              </w:rPr>
              <w:t>⑦</w:t>
            </w:r>
            <w:r>
              <w:rPr>
                <w:szCs w:val="24"/>
                <w:lang w:val="zh-CN"/>
              </w:rPr>
              <w:t>建筑材料运输及堆放过程必须严格按照交通部有关规范规定，在施工中应根据不同建筑材料的特点，有针对性的加强保护管理措施，禁止废物和有毒物质进入水体。</w:t>
            </w:r>
          </w:p>
          <w:p w14:paraId="13FDB60A">
            <w:pPr>
              <w:ind w:firstLine="480" w:firstLineChars="200"/>
              <w:jc w:val="both"/>
              <w:rPr>
                <w:szCs w:val="24"/>
                <w:lang w:val="zh-CN"/>
              </w:rPr>
            </w:pPr>
            <w:r>
              <w:rPr>
                <w:rFonts w:hint="eastAsia" w:ascii="宋体" w:hAnsi="宋体" w:cs="宋体"/>
                <w:szCs w:val="24"/>
              </w:rPr>
              <w:t>⑧</w:t>
            </w:r>
            <w:r>
              <w:rPr>
                <w:szCs w:val="24"/>
                <w:lang w:val="zh-CN"/>
              </w:rPr>
              <w:t>土方随挖随填，随铺随压，以减少水土流失；</w:t>
            </w:r>
          </w:p>
          <w:p w14:paraId="073D66D7">
            <w:pPr>
              <w:ind w:firstLine="480" w:firstLineChars="200"/>
              <w:jc w:val="both"/>
              <w:rPr>
                <w:szCs w:val="24"/>
              </w:rPr>
            </w:pPr>
            <w:r>
              <w:rPr>
                <w:rFonts w:hint="eastAsia" w:ascii="宋体" w:hAnsi="宋体" w:cs="宋体"/>
                <w:szCs w:val="24"/>
              </w:rPr>
              <w:t>⑨</w:t>
            </w:r>
            <w:r>
              <w:rPr>
                <w:szCs w:val="24"/>
              </w:rPr>
              <w:t>项目方应加强施工机械设备的维修保养，避免施工机械燃油跑、冒、滴、漏现象的发生。定时清洁建筑施工机械表面不必要的润滑油及其它油污，尽量减少建筑施工机械设备与水体的直接接触。有关施工现场水环境污染防治的其它措施按照“建设工程施工现场环境保护工作基本标准”执行。</w:t>
            </w:r>
          </w:p>
          <w:p w14:paraId="599F0B57">
            <w:pPr>
              <w:ind w:firstLine="480" w:firstLineChars="200"/>
              <w:jc w:val="both"/>
              <w:rPr>
                <w:szCs w:val="24"/>
              </w:rPr>
            </w:pPr>
            <w:r>
              <w:rPr>
                <w:rFonts w:hint="eastAsia" w:ascii="宋体" w:hAnsi="宋体" w:cs="宋体"/>
                <w:szCs w:val="24"/>
              </w:rPr>
              <w:t>⑩</w:t>
            </w:r>
            <w:r>
              <w:rPr>
                <w:szCs w:val="24"/>
              </w:rPr>
              <w:t>有关施工现场水环境污染防治的其它措施按照“建设工程施工现场环境保护工作基本标准”执行。</w:t>
            </w:r>
          </w:p>
          <w:p w14:paraId="4582DC27">
            <w:pPr>
              <w:ind w:firstLine="482" w:firstLineChars="200"/>
              <w:jc w:val="both"/>
              <w:rPr>
                <w:b/>
                <w:szCs w:val="21"/>
              </w:rPr>
            </w:pPr>
            <w:r>
              <w:rPr>
                <w:b/>
                <w:szCs w:val="21"/>
              </w:rPr>
              <w:t>（2）施工生活污水防治措施</w:t>
            </w:r>
          </w:p>
          <w:p w14:paraId="48448BF3">
            <w:pPr>
              <w:ind w:firstLine="480" w:firstLineChars="200"/>
              <w:jc w:val="both"/>
              <w:rPr>
                <w:bCs/>
                <w:szCs w:val="21"/>
              </w:rPr>
            </w:pPr>
            <w:r>
              <w:rPr>
                <w:bCs/>
                <w:szCs w:val="21"/>
                <w:lang w:val="zh-CN"/>
              </w:rPr>
              <w:t>本项目施工期产生的生活污水包括粪便污水、清洗污水，其主要污染因子为CODcr、BOD</w:t>
            </w:r>
            <w:r>
              <w:rPr>
                <w:bCs/>
                <w:szCs w:val="21"/>
                <w:vertAlign w:val="subscript"/>
                <w:lang w:val="zh-CN"/>
              </w:rPr>
              <w:t>5</w:t>
            </w:r>
            <w:r>
              <w:rPr>
                <w:bCs/>
                <w:szCs w:val="21"/>
                <w:lang w:val="zh-CN"/>
              </w:rPr>
              <w:t>、NH</w:t>
            </w:r>
            <w:r>
              <w:rPr>
                <w:bCs/>
                <w:szCs w:val="21"/>
                <w:vertAlign w:val="subscript"/>
                <w:lang w:val="zh-CN"/>
              </w:rPr>
              <w:t>3</w:t>
            </w:r>
            <w:r>
              <w:rPr>
                <w:bCs/>
                <w:szCs w:val="21"/>
                <w:lang w:val="zh-CN"/>
              </w:rPr>
              <w:t>-N、SS，根据现场调查可知，本项目施工人员生活污水经</w:t>
            </w:r>
            <w:r>
              <w:rPr>
                <w:rFonts w:hint="eastAsia"/>
                <w:bCs/>
                <w:szCs w:val="21"/>
                <w:lang w:val="zh-CN"/>
              </w:rPr>
              <w:t>卫生院隔油池+</w:t>
            </w:r>
            <w:r>
              <w:rPr>
                <w:bCs/>
                <w:szCs w:val="21"/>
                <w:lang w:val="zh-CN"/>
              </w:rPr>
              <w:t>化粪池处理后</w:t>
            </w:r>
            <w:r>
              <w:rPr>
                <w:rFonts w:hint="eastAsia"/>
                <w:bCs/>
                <w:szCs w:val="21"/>
                <w:lang w:val="zh-CN"/>
              </w:rPr>
              <w:t>进入茶林镇污水处理厂处理达标后排入小河江</w:t>
            </w:r>
            <w:r>
              <w:rPr>
                <w:bCs/>
                <w:szCs w:val="21"/>
                <w:lang w:val="zh-CN"/>
              </w:rPr>
              <w:t>。</w:t>
            </w:r>
          </w:p>
          <w:p w14:paraId="08B9C392">
            <w:pPr>
              <w:ind w:firstLine="482" w:firstLineChars="200"/>
              <w:jc w:val="both"/>
            </w:pPr>
            <w:r>
              <w:rPr>
                <w:b/>
                <w:szCs w:val="21"/>
              </w:rPr>
              <w:t>3、施工期噪声污染防治措施：</w:t>
            </w:r>
          </w:p>
          <w:p w14:paraId="599066CB">
            <w:pPr>
              <w:ind w:firstLine="480" w:firstLineChars="200"/>
              <w:jc w:val="both"/>
              <w:rPr>
                <w:szCs w:val="24"/>
              </w:rPr>
            </w:pPr>
            <w:r>
              <w:rPr>
                <w:rFonts w:hint="eastAsia" w:ascii="宋体" w:hAnsi="宋体" w:cs="宋体"/>
                <w:szCs w:val="24"/>
              </w:rPr>
              <w:t>①</w:t>
            </w:r>
            <w:r>
              <w:rPr>
                <w:szCs w:val="24"/>
              </w:rPr>
              <w:t>施工应安排在昼间6：00~12：00、14：00~22：00期间进行，中午及夜间休息时间禁止施工；若由于工程需要，确实要进行夜间连续施工的，必须取得相应主管部门的批准，并应通过媒体或者现场公告等方式告知施工区域附近的居民，同时搞好施工组织，将大噪声施工活动放在昼间进行、避免在夜间进行大噪声施工，施工应确保上述边界夜间声级不超出《建筑施工场界噪声限值》（GB12523-2011）的限值要求，即夜间≤55dB(A)。</w:t>
            </w:r>
          </w:p>
          <w:p w14:paraId="13C460C7">
            <w:pPr>
              <w:ind w:firstLine="480" w:firstLineChars="200"/>
              <w:jc w:val="both"/>
              <w:rPr>
                <w:szCs w:val="24"/>
              </w:rPr>
            </w:pPr>
            <w:r>
              <w:rPr>
                <w:rFonts w:hint="eastAsia" w:ascii="宋体" w:hAnsi="宋体" w:cs="宋体"/>
                <w:szCs w:val="24"/>
              </w:rPr>
              <w:t>②</w:t>
            </w:r>
            <w:r>
              <w:rPr>
                <w:szCs w:val="21"/>
              </w:rPr>
              <w:t>在施工场地边界设立围挡，高度为2m</w:t>
            </w:r>
            <w:r>
              <w:rPr>
                <w:szCs w:val="24"/>
              </w:rPr>
              <w:t>。</w:t>
            </w:r>
          </w:p>
          <w:p w14:paraId="6FC15C66">
            <w:pPr>
              <w:ind w:firstLine="480" w:firstLineChars="200"/>
              <w:jc w:val="both"/>
              <w:rPr>
                <w:szCs w:val="24"/>
              </w:rPr>
            </w:pPr>
            <w:r>
              <w:rPr>
                <w:rFonts w:hint="eastAsia" w:ascii="宋体" w:hAnsi="宋体" w:cs="宋体"/>
                <w:szCs w:val="24"/>
              </w:rPr>
              <w:t>③</w:t>
            </w:r>
            <w:r>
              <w:rPr>
                <w:szCs w:val="24"/>
              </w:rPr>
              <w:t>制</w:t>
            </w:r>
            <w:r>
              <w:rPr>
                <w:rFonts w:hint="eastAsia"/>
                <w:szCs w:val="24"/>
              </w:rPr>
              <w:t>定</w:t>
            </w:r>
            <w:r>
              <w:rPr>
                <w:szCs w:val="24"/>
              </w:rPr>
              <w:t>合理的施工计划，尽可能避免高噪声设备同时施工。</w:t>
            </w:r>
          </w:p>
          <w:p w14:paraId="6802B867">
            <w:pPr>
              <w:ind w:firstLine="480" w:firstLineChars="200"/>
              <w:jc w:val="both"/>
              <w:rPr>
                <w:szCs w:val="24"/>
              </w:rPr>
            </w:pPr>
            <w:r>
              <w:rPr>
                <w:rFonts w:hint="eastAsia" w:ascii="宋体" w:hAnsi="宋体" w:cs="宋体"/>
                <w:szCs w:val="24"/>
              </w:rPr>
              <w:t>④</w:t>
            </w:r>
            <w:r>
              <w:rPr>
                <w:szCs w:val="24"/>
              </w:rPr>
              <w:t>合理布局高噪声设备，空压机、电锯等可移动的高噪声设备放置在远离环境敏感点一侧，避免在同一地点安排大量动力机械设备，以免局部声级过高。</w:t>
            </w:r>
          </w:p>
          <w:p w14:paraId="4B69314B">
            <w:pPr>
              <w:ind w:firstLine="480" w:firstLineChars="200"/>
              <w:jc w:val="both"/>
              <w:rPr>
                <w:szCs w:val="24"/>
              </w:rPr>
            </w:pPr>
            <w:r>
              <w:rPr>
                <w:rFonts w:hint="eastAsia" w:ascii="宋体" w:hAnsi="宋体" w:cs="宋体"/>
                <w:szCs w:val="24"/>
              </w:rPr>
              <w:t>⑤</w:t>
            </w:r>
            <w:r>
              <w:rPr>
                <w:szCs w:val="24"/>
              </w:rPr>
              <w:t>施工单位应尽量选用低噪声或带有隔音、消音的机械设备，如以液压机械代替燃油机械，并加强对设备的维护保养。</w:t>
            </w:r>
          </w:p>
          <w:p w14:paraId="1D94D6FA">
            <w:pPr>
              <w:ind w:firstLine="480" w:firstLineChars="200"/>
              <w:jc w:val="both"/>
              <w:rPr>
                <w:szCs w:val="24"/>
              </w:rPr>
            </w:pPr>
            <w:r>
              <w:rPr>
                <w:rFonts w:hint="eastAsia" w:ascii="宋体" w:hAnsi="宋体" w:cs="宋体"/>
                <w:szCs w:val="24"/>
              </w:rPr>
              <w:t>⑥</w:t>
            </w:r>
            <w:r>
              <w:rPr>
                <w:szCs w:val="24"/>
              </w:rPr>
              <w:t>降低人为噪声，按规定操作机械设备，模板、支架拆卸吊装过程中，遵守作业规定，减少碰撞噪音。</w:t>
            </w:r>
          </w:p>
          <w:p w14:paraId="7207E84B">
            <w:pPr>
              <w:ind w:firstLine="480" w:firstLineChars="200"/>
              <w:jc w:val="both"/>
              <w:rPr>
                <w:szCs w:val="24"/>
              </w:rPr>
            </w:pPr>
            <w:r>
              <w:rPr>
                <w:rFonts w:hint="eastAsia" w:ascii="宋体" w:hAnsi="宋体" w:cs="宋体"/>
                <w:szCs w:val="24"/>
              </w:rPr>
              <w:t>⑦</w:t>
            </w:r>
            <w:r>
              <w:rPr>
                <w:szCs w:val="24"/>
              </w:rPr>
              <w:t>对位置相对固定的高噪声机械设备，尽量在工棚内操作，不能进入棚内的，可采取围</w:t>
            </w:r>
            <w:r>
              <w:rPr>
                <w:rFonts w:hint="eastAsia"/>
                <w:szCs w:val="24"/>
              </w:rPr>
              <w:t>挡</w:t>
            </w:r>
            <w:r>
              <w:rPr>
                <w:szCs w:val="24"/>
              </w:rPr>
              <w:t>之类的单面隔声板。对各施工环节中噪声较为突出且又难以对声源进行降噪的设备装置，应采取临时围障措施，围障最好敷以吸声材料，以此达到降噪效果。</w:t>
            </w:r>
          </w:p>
          <w:p w14:paraId="34677D48">
            <w:pPr>
              <w:ind w:firstLine="480" w:firstLineChars="200"/>
              <w:jc w:val="both"/>
              <w:rPr>
                <w:szCs w:val="24"/>
              </w:rPr>
            </w:pPr>
            <w:r>
              <w:rPr>
                <w:rFonts w:hint="eastAsia" w:ascii="宋体" w:hAnsi="宋体" w:cs="宋体"/>
                <w:szCs w:val="24"/>
              </w:rPr>
              <w:t>⑧</w:t>
            </w:r>
            <w:r>
              <w:rPr>
                <w:szCs w:val="24"/>
              </w:rPr>
              <w:t>加强运输车辆的管理，按规定组织车辆运输，合理规定运输通道。施工场地内道路应尽量保持平坦，减少由于道路不平而引起的车辆颠簸噪声。</w:t>
            </w:r>
          </w:p>
          <w:p w14:paraId="013E0CB3">
            <w:pPr>
              <w:ind w:firstLine="480" w:firstLineChars="200"/>
              <w:jc w:val="both"/>
              <w:rPr>
                <w:szCs w:val="24"/>
              </w:rPr>
            </w:pPr>
            <w:r>
              <w:rPr>
                <w:rFonts w:hint="eastAsia" w:ascii="宋体" w:hAnsi="宋体" w:cs="宋体"/>
                <w:szCs w:val="24"/>
              </w:rPr>
              <w:t>⑨</w:t>
            </w:r>
            <w:r>
              <w:rPr>
                <w:szCs w:val="24"/>
              </w:rPr>
              <w:t>全封闭式施工，建设管理部门加强对施工场地的噪声管理，施工企业也应对施工噪声进行自律，文明施工，避免因施工噪声产生纠纷。</w:t>
            </w:r>
          </w:p>
          <w:p w14:paraId="4479E4D3">
            <w:pPr>
              <w:ind w:firstLine="482" w:firstLineChars="200"/>
              <w:jc w:val="both"/>
            </w:pPr>
            <w:r>
              <w:rPr>
                <w:b/>
                <w:bCs/>
                <w:szCs w:val="24"/>
              </w:rPr>
              <w:t>4、施工期固体防治措施</w:t>
            </w:r>
          </w:p>
          <w:p w14:paraId="134C5C88">
            <w:pPr>
              <w:ind w:firstLine="480" w:firstLineChars="200"/>
              <w:jc w:val="both"/>
              <w:rPr>
                <w:szCs w:val="24"/>
              </w:rPr>
            </w:pPr>
            <w:r>
              <w:rPr>
                <w:szCs w:val="24"/>
              </w:rPr>
              <w:t>施工期产生的固体废物主要是</w:t>
            </w:r>
            <w:r>
              <w:rPr>
                <w:szCs w:val="21"/>
              </w:rPr>
              <w:t>建筑垃圾、土石方工程所产生的弃土、弃渣</w:t>
            </w:r>
            <w:r>
              <w:rPr>
                <w:szCs w:val="24"/>
              </w:rPr>
              <w:t>及施工人员的生活垃圾，建筑垃圾主要包括砂石、石块、碎砖瓦、废木料、废金属、废钢筋等杂物，经分类处理，部分回收利用，其他由施工方统一清运至祁阳市城建部门指定地点。大量的建筑垃圾堆放不仅影响景观，而且还容易引起扬尘等环境问题，故环评要求施工单位对施工中产生的建筑垃圾必须及时处理，及时外运，不能随路洒落，不能随意倾倒、堆放。项目施工</w:t>
            </w:r>
            <w:r>
              <w:rPr>
                <w:szCs w:val="21"/>
                <w:lang w:val="zh-CN"/>
              </w:rPr>
              <w:t>过程中挖地基</w:t>
            </w:r>
            <w:r>
              <w:rPr>
                <w:szCs w:val="21"/>
              </w:rPr>
              <w:t>产生废弃土石方，由建设单位委托专业渣土公司运输至其它建设用地做填方；</w:t>
            </w:r>
            <w:r>
              <w:rPr>
                <w:szCs w:val="24"/>
              </w:rPr>
              <w:t>生活垃圾应统一收集。垃圾运输应按规定的时间、线路清运，倾倒到指定的地点；运输车辆必须完好，避免垃圾等废物洒落，污染环境。</w:t>
            </w:r>
          </w:p>
          <w:p w14:paraId="73867F3B">
            <w:pPr>
              <w:ind w:firstLine="482" w:firstLineChars="200"/>
              <w:jc w:val="both"/>
              <w:rPr>
                <w:b/>
                <w:bCs/>
                <w:szCs w:val="24"/>
              </w:rPr>
            </w:pPr>
            <w:r>
              <w:rPr>
                <w:b/>
                <w:bCs/>
                <w:szCs w:val="24"/>
              </w:rPr>
              <w:t>5、生态环境目标保护措施</w:t>
            </w:r>
          </w:p>
          <w:p w14:paraId="09CBF29F">
            <w:pPr>
              <w:ind w:firstLine="480" w:firstLineChars="200"/>
              <w:rPr>
                <w:sz w:val="30"/>
                <w:szCs w:val="30"/>
              </w:rPr>
            </w:pPr>
            <w:r>
              <w:rPr>
                <w:szCs w:val="24"/>
              </w:rPr>
              <w:t>本项目不涉及新增用地，</w:t>
            </w:r>
            <w:r>
              <w:rPr>
                <w:rFonts w:hint="eastAsia"/>
                <w:szCs w:val="24"/>
              </w:rPr>
              <w:t>在现有卫生院空地建设新住院大楼，</w:t>
            </w:r>
            <w:r>
              <w:rPr>
                <w:szCs w:val="24"/>
              </w:rPr>
              <w:t>根据《建设项目环境影响报告表编制技术指南（污染影响类）（试行）》，本项目不新增用地，因此无需明确用地范围内生态环境保护目标的保护措施。</w:t>
            </w:r>
          </w:p>
        </w:tc>
      </w:tr>
      <w:tr w14:paraId="7470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0C23E734">
            <w:pPr>
              <w:spacing w:line="240" w:lineRule="auto"/>
              <w:jc w:val="center"/>
              <w:rPr>
                <w:rFonts w:hint="eastAsia"/>
                <w:kern w:val="0"/>
                <w:szCs w:val="24"/>
              </w:rPr>
            </w:pPr>
            <w:r>
              <w:rPr>
                <w:rFonts w:hint="eastAsia"/>
                <w:kern w:val="0"/>
                <w:szCs w:val="24"/>
              </w:rPr>
              <w:t>运营</w:t>
            </w:r>
          </w:p>
          <w:p w14:paraId="58697A39">
            <w:pPr>
              <w:spacing w:line="240" w:lineRule="auto"/>
              <w:jc w:val="center"/>
              <w:rPr>
                <w:rFonts w:hint="eastAsia"/>
                <w:kern w:val="0"/>
                <w:szCs w:val="24"/>
              </w:rPr>
            </w:pPr>
            <w:r>
              <w:rPr>
                <w:rFonts w:hint="eastAsia"/>
                <w:kern w:val="0"/>
                <w:szCs w:val="24"/>
              </w:rPr>
              <w:t>期环</w:t>
            </w:r>
          </w:p>
          <w:p w14:paraId="6182CFB8">
            <w:pPr>
              <w:spacing w:line="240" w:lineRule="auto"/>
              <w:jc w:val="center"/>
              <w:rPr>
                <w:rFonts w:hint="eastAsia"/>
                <w:kern w:val="0"/>
                <w:szCs w:val="24"/>
              </w:rPr>
            </w:pPr>
            <w:r>
              <w:rPr>
                <w:rFonts w:hint="eastAsia"/>
                <w:kern w:val="0"/>
                <w:szCs w:val="24"/>
              </w:rPr>
              <w:t>境影</w:t>
            </w:r>
          </w:p>
          <w:p w14:paraId="7267BF13">
            <w:pPr>
              <w:spacing w:line="240" w:lineRule="auto"/>
              <w:jc w:val="center"/>
              <w:rPr>
                <w:rFonts w:hint="eastAsia"/>
                <w:kern w:val="0"/>
                <w:szCs w:val="24"/>
              </w:rPr>
            </w:pPr>
            <w:r>
              <w:rPr>
                <w:rFonts w:hint="eastAsia"/>
                <w:kern w:val="0"/>
                <w:szCs w:val="24"/>
              </w:rPr>
              <w:t>响和</w:t>
            </w:r>
          </w:p>
          <w:p w14:paraId="111A3810">
            <w:pPr>
              <w:spacing w:line="240" w:lineRule="auto"/>
              <w:jc w:val="center"/>
              <w:rPr>
                <w:rFonts w:hint="eastAsia"/>
                <w:kern w:val="0"/>
                <w:szCs w:val="24"/>
              </w:rPr>
            </w:pPr>
            <w:r>
              <w:rPr>
                <w:rFonts w:hint="eastAsia"/>
                <w:kern w:val="0"/>
                <w:szCs w:val="24"/>
              </w:rPr>
              <w:t>保护</w:t>
            </w:r>
          </w:p>
          <w:p w14:paraId="0BFE420C">
            <w:pPr>
              <w:spacing w:line="240" w:lineRule="auto"/>
              <w:jc w:val="center"/>
              <w:rPr>
                <w:rFonts w:hint="eastAsia"/>
                <w:kern w:val="0"/>
                <w:szCs w:val="24"/>
              </w:rPr>
            </w:pPr>
            <w:r>
              <w:rPr>
                <w:rFonts w:hint="eastAsia"/>
                <w:kern w:val="0"/>
                <w:szCs w:val="24"/>
              </w:rPr>
              <w:t>措施</w:t>
            </w:r>
          </w:p>
        </w:tc>
        <w:tc>
          <w:tcPr>
            <w:tcW w:w="8708" w:type="dxa"/>
            <w:vAlign w:val="center"/>
          </w:tcPr>
          <w:p w14:paraId="00CC13B0">
            <w:pPr>
              <w:ind w:firstLine="482" w:firstLineChars="200"/>
              <w:jc w:val="both"/>
              <w:rPr>
                <w:b/>
                <w:bCs/>
                <w:szCs w:val="21"/>
              </w:rPr>
            </w:pPr>
            <w:r>
              <w:rPr>
                <w:b/>
                <w:bCs/>
                <w:szCs w:val="21"/>
              </w:rPr>
              <w:t>1</w:t>
            </w:r>
            <w:r>
              <w:rPr>
                <w:rFonts w:hint="eastAsia"/>
                <w:b/>
                <w:bCs/>
                <w:szCs w:val="21"/>
              </w:rPr>
              <w:t>、运营期废水环境影响及防治措施</w:t>
            </w:r>
          </w:p>
          <w:p w14:paraId="301BF671">
            <w:pPr>
              <w:ind w:firstLine="480" w:firstLineChars="200"/>
              <w:jc w:val="both"/>
              <w:rPr>
                <w:szCs w:val="21"/>
                <w:u w:val="single"/>
              </w:rPr>
            </w:pPr>
            <w:r>
              <w:rPr>
                <w:rFonts w:hint="eastAsia"/>
                <w:szCs w:val="21"/>
                <w:u w:val="single"/>
              </w:rPr>
              <w:t>本项目废水为医疗污水（主要含医疗污水以及生活污水），本卫生院不涉及特殊医疗污水产生和排放。</w:t>
            </w:r>
          </w:p>
          <w:p w14:paraId="4C22AB97">
            <w:pPr>
              <w:ind w:firstLine="480"/>
              <w:rPr>
                <w:u w:val="single"/>
              </w:rPr>
            </w:pPr>
            <w:r>
              <w:rPr>
                <w:rFonts w:hint="eastAsia"/>
                <w:snapToGrid w:val="0"/>
                <w:kern w:val="0"/>
                <w:szCs w:val="24"/>
                <w:u w:val="single"/>
                <w:lang w:bidi="zh-CN"/>
              </w:rPr>
              <w:t>故根据前文水平衡计算可知，本</w:t>
            </w:r>
            <w:r>
              <w:rPr>
                <w:rFonts w:hint="eastAsia"/>
                <w:u w:val="single"/>
              </w:rPr>
              <w:t>项目医疗废水经过自建污水系统（隔油池+化粪池+沉淀+消毒工艺）处理满足《医疗机构水污染物排放标准》（GB18466-2005）表2中的预处理标准后排入茶林镇污水处理厂处理达到《城镇污水处理厂污染物排放标准》中表1一级A标准后排入小河江；一般医院综合废水主要污染因子为COD、BOD</w:t>
            </w:r>
            <w:r>
              <w:rPr>
                <w:rFonts w:hint="eastAsia"/>
                <w:u w:val="single"/>
                <w:vertAlign w:val="subscript"/>
              </w:rPr>
              <w:t>5</w:t>
            </w:r>
            <w:r>
              <w:rPr>
                <w:rFonts w:hint="eastAsia"/>
                <w:u w:val="single"/>
              </w:rPr>
              <w:t>、氨氮、SS等，</w:t>
            </w:r>
            <w:r>
              <w:rPr>
                <w:rFonts w:hint="eastAsia"/>
                <w:snapToGrid w:val="0"/>
                <w:kern w:val="0"/>
                <w:szCs w:val="24"/>
                <w:u w:val="single"/>
                <w:lang w:bidi="zh-CN"/>
              </w:rPr>
              <w:t>医疗废水浓度参照《医院污水处理工程技术规范》（H</w:t>
            </w:r>
            <w:r>
              <w:rPr>
                <w:snapToGrid w:val="0"/>
                <w:kern w:val="0"/>
                <w:szCs w:val="24"/>
                <w:u w:val="single"/>
                <w:lang w:bidi="zh-CN"/>
              </w:rPr>
              <w:t>J 2029-2013</w:t>
            </w:r>
            <w:r>
              <w:rPr>
                <w:rFonts w:hint="eastAsia"/>
                <w:snapToGrid w:val="0"/>
                <w:kern w:val="0"/>
                <w:szCs w:val="24"/>
                <w:u w:val="single"/>
                <w:lang w:bidi="zh-CN"/>
              </w:rPr>
              <w:t>）中表1设计水质参考经验值，C</w:t>
            </w:r>
            <w:r>
              <w:rPr>
                <w:snapToGrid w:val="0"/>
                <w:kern w:val="0"/>
                <w:szCs w:val="24"/>
                <w:u w:val="single"/>
                <w:lang w:bidi="zh-CN"/>
              </w:rPr>
              <w:t>ODcr</w:t>
            </w:r>
            <w:r>
              <w:rPr>
                <w:rFonts w:hint="eastAsia"/>
                <w:snapToGrid w:val="0"/>
                <w:kern w:val="0"/>
                <w:szCs w:val="24"/>
                <w:u w:val="single"/>
                <w:lang w:bidi="zh-CN"/>
              </w:rPr>
              <w:t>：1</w:t>
            </w:r>
            <w:r>
              <w:rPr>
                <w:snapToGrid w:val="0"/>
                <w:kern w:val="0"/>
                <w:szCs w:val="24"/>
                <w:u w:val="single"/>
                <w:lang w:bidi="zh-CN"/>
              </w:rPr>
              <w:t>50~300mg</w:t>
            </w:r>
            <w:r>
              <w:rPr>
                <w:rFonts w:hint="eastAsia"/>
                <w:snapToGrid w:val="0"/>
                <w:kern w:val="0"/>
                <w:szCs w:val="24"/>
                <w:u w:val="single"/>
                <w:lang w:bidi="zh-CN"/>
              </w:rPr>
              <w:t>/</w:t>
            </w:r>
            <w:r>
              <w:rPr>
                <w:snapToGrid w:val="0"/>
                <w:kern w:val="0"/>
                <w:szCs w:val="24"/>
                <w:u w:val="single"/>
                <w:lang w:bidi="zh-CN"/>
              </w:rPr>
              <w:t>L</w:t>
            </w:r>
            <w:r>
              <w:rPr>
                <w:rFonts w:hint="eastAsia"/>
                <w:snapToGrid w:val="0"/>
                <w:kern w:val="0"/>
                <w:szCs w:val="24"/>
                <w:u w:val="single"/>
                <w:lang w:bidi="zh-CN"/>
              </w:rPr>
              <w:t>、B</w:t>
            </w:r>
            <w:r>
              <w:rPr>
                <w:snapToGrid w:val="0"/>
                <w:kern w:val="0"/>
                <w:szCs w:val="24"/>
                <w:u w:val="single"/>
                <w:lang w:bidi="zh-CN"/>
              </w:rPr>
              <w:t>OD</w:t>
            </w:r>
            <w:r>
              <w:rPr>
                <w:snapToGrid w:val="0"/>
                <w:kern w:val="0"/>
                <w:szCs w:val="24"/>
                <w:u w:val="single"/>
                <w:vertAlign w:val="subscript"/>
                <w:lang w:bidi="zh-CN"/>
              </w:rPr>
              <w:t>5</w:t>
            </w:r>
            <w:r>
              <w:rPr>
                <w:rFonts w:hint="eastAsia"/>
                <w:snapToGrid w:val="0"/>
                <w:kern w:val="0"/>
                <w:szCs w:val="24"/>
                <w:u w:val="single"/>
                <w:lang w:bidi="zh-CN"/>
              </w:rPr>
              <w:t>：</w:t>
            </w:r>
            <w:r>
              <w:rPr>
                <w:snapToGrid w:val="0"/>
                <w:kern w:val="0"/>
                <w:szCs w:val="24"/>
                <w:u w:val="single"/>
                <w:lang w:bidi="zh-CN"/>
              </w:rPr>
              <w:t>80~150mg</w:t>
            </w:r>
            <w:r>
              <w:rPr>
                <w:rFonts w:hint="eastAsia"/>
                <w:snapToGrid w:val="0"/>
                <w:kern w:val="0"/>
                <w:szCs w:val="24"/>
                <w:u w:val="single"/>
                <w:lang w:bidi="zh-CN"/>
              </w:rPr>
              <w:t>/</w:t>
            </w:r>
            <w:r>
              <w:rPr>
                <w:snapToGrid w:val="0"/>
                <w:kern w:val="0"/>
                <w:szCs w:val="24"/>
                <w:u w:val="single"/>
                <w:lang w:bidi="zh-CN"/>
              </w:rPr>
              <w:t>L</w:t>
            </w:r>
            <w:r>
              <w:rPr>
                <w:rFonts w:hint="eastAsia"/>
                <w:snapToGrid w:val="0"/>
                <w:kern w:val="0"/>
                <w:szCs w:val="24"/>
                <w:u w:val="single"/>
                <w:lang w:bidi="zh-CN"/>
              </w:rPr>
              <w:t>、S</w:t>
            </w:r>
            <w:r>
              <w:rPr>
                <w:snapToGrid w:val="0"/>
                <w:kern w:val="0"/>
                <w:szCs w:val="24"/>
                <w:u w:val="single"/>
                <w:lang w:bidi="zh-CN"/>
              </w:rPr>
              <w:t>S</w:t>
            </w:r>
            <w:r>
              <w:rPr>
                <w:rFonts w:hint="eastAsia"/>
                <w:snapToGrid w:val="0"/>
                <w:kern w:val="0"/>
                <w:szCs w:val="24"/>
                <w:u w:val="single"/>
                <w:lang w:bidi="zh-CN"/>
              </w:rPr>
              <w:t>：</w:t>
            </w:r>
            <w:r>
              <w:rPr>
                <w:snapToGrid w:val="0"/>
                <w:kern w:val="0"/>
                <w:szCs w:val="24"/>
                <w:u w:val="single"/>
                <w:lang w:bidi="zh-CN"/>
              </w:rPr>
              <w:t>40~120mg</w:t>
            </w:r>
            <w:r>
              <w:rPr>
                <w:rFonts w:hint="eastAsia"/>
                <w:snapToGrid w:val="0"/>
                <w:kern w:val="0"/>
                <w:szCs w:val="24"/>
                <w:u w:val="single"/>
                <w:lang w:bidi="zh-CN"/>
              </w:rPr>
              <w:t>/</w:t>
            </w:r>
            <w:r>
              <w:rPr>
                <w:snapToGrid w:val="0"/>
                <w:kern w:val="0"/>
                <w:szCs w:val="24"/>
                <w:u w:val="single"/>
                <w:lang w:bidi="zh-CN"/>
              </w:rPr>
              <w:t>L</w:t>
            </w:r>
            <w:r>
              <w:rPr>
                <w:rFonts w:hint="eastAsia"/>
                <w:snapToGrid w:val="0"/>
                <w:kern w:val="0"/>
                <w:szCs w:val="24"/>
                <w:u w:val="single"/>
                <w:lang w:bidi="zh-CN"/>
              </w:rPr>
              <w:t>、N</w:t>
            </w:r>
            <w:r>
              <w:rPr>
                <w:snapToGrid w:val="0"/>
                <w:kern w:val="0"/>
                <w:szCs w:val="24"/>
                <w:u w:val="single"/>
                <w:lang w:bidi="zh-CN"/>
              </w:rPr>
              <w:t>H</w:t>
            </w:r>
            <w:r>
              <w:rPr>
                <w:snapToGrid w:val="0"/>
                <w:kern w:val="0"/>
                <w:szCs w:val="24"/>
                <w:u w:val="single"/>
                <w:vertAlign w:val="subscript"/>
                <w:lang w:bidi="zh-CN"/>
              </w:rPr>
              <w:t>3</w:t>
            </w:r>
            <w:r>
              <w:rPr>
                <w:snapToGrid w:val="0"/>
                <w:kern w:val="0"/>
                <w:szCs w:val="24"/>
                <w:u w:val="single"/>
                <w:lang w:bidi="zh-CN"/>
              </w:rPr>
              <w:t>-H</w:t>
            </w:r>
            <w:r>
              <w:rPr>
                <w:rFonts w:hint="eastAsia"/>
                <w:snapToGrid w:val="0"/>
                <w:kern w:val="0"/>
                <w:szCs w:val="24"/>
                <w:u w:val="single"/>
                <w:lang w:bidi="zh-CN"/>
              </w:rPr>
              <w:t>：</w:t>
            </w:r>
            <w:r>
              <w:rPr>
                <w:snapToGrid w:val="0"/>
                <w:kern w:val="0"/>
                <w:szCs w:val="24"/>
                <w:u w:val="single"/>
                <w:lang w:bidi="zh-CN"/>
              </w:rPr>
              <w:t>10~50mg</w:t>
            </w:r>
            <w:r>
              <w:rPr>
                <w:rFonts w:hint="eastAsia"/>
                <w:snapToGrid w:val="0"/>
                <w:kern w:val="0"/>
                <w:szCs w:val="24"/>
                <w:u w:val="single"/>
                <w:lang w:bidi="zh-CN"/>
              </w:rPr>
              <w:t>/</w:t>
            </w:r>
            <w:r>
              <w:rPr>
                <w:snapToGrid w:val="0"/>
                <w:kern w:val="0"/>
                <w:szCs w:val="24"/>
                <w:u w:val="single"/>
                <w:lang w:bidi="zh-CN"/>
              </w:rPr>
              <w:t>L</w:t>
            </w:r>
            <w:r>
              <w:rPr>
                <w:rFonts w:hint="eastAsia"/>
                <w:snapToGrid w:val="0"/>
                <w:kern w:val="0"/>
                <w:szCs w:val="24"/>
                <w:u w:val="single"/>
                <w:lang w:bidi="zh-CN"/>
              </w:rPr>
              <w:t>，本次计算产生浓度按照最大值计算，故本项目废水排放情况如下：</w:t>
            </w:r>
          </w:p>
          <w:p w14:paraId="409CC762">
            <w:pPr>
              <w:jc w:val="center"/>
              <w:rPr>
                <w:b/>
                <w:bCs/>
                <w:u w:val="single"/>
              </w:rPr>
            </w:pPr>
            <w:r>
              <w:rPr>
                <w:rFonts w:hint="eastAsia"/>
                <w:b/>
                <w:bCs/>
                <w:u w:val="single"/>
              </w:rPr>
              <w:t>表4</w:t>
            </w:r>
            <w:r>
              <w:rPr>
                <w:b/>
                <w:bCs/>
                <w:u w:val="single"/>
              </w:rPr>
              <w:t>-1</w:t>
            </w:r>
            <w:r>
              <w:rPr>
                <w:rFonts w:hint="eastAsia"/>
                <w:b/>
                <w:bCs/>
                <w:u w:val="single"/>
              </w:rPr>
              <w:t>项目废水产排情况表</w:t>
            </w:r>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3309"/>
              <w:gridCol w:w="1031"/>
              <w:gridCol w:w="1203"/>
              <w:gridCol w:w="1049"/>
              <w:gridCol w:w="1648"/>
            </w:tblGrid>
            <w:tr w14:paraId="7FBC6A9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40" w:type="dxa"/>
                  <w:gridSpan w:val="5"/>
                  <w:tcBorders>
                    <w:bottom w:val="single" w:color="auto" w:sz="4" w:space="0"/>
                  </w:tcBorders>
                </w:tcPr>
                <w:p w14:paraId="5999E393">
                  <w:pPr>
                    <w:spacing w:line="240" w:lineRule="auto"/>
                    <w:jc w:val="center"/>
                    <w:rPr>
                      <w:snapToGrid w:val="0"/>
                      <w:kern w:val="0"/>
                      <w:sz w:val="21"/>
                      <w:szCs w:val="21"/>
                      <w:u w:val="single"/>
                      <w:lang w:bidi="zh-CN"/>
                    </w:rPr>
                  </w:pPr>
                  <w:r>
                    <w:rPr>
                      <w:rFonts w:hint="eastAsia"/>
                      <w:snapToGrid w:val="0"/>
                      <w:kern w:val="0"/>
                      <w:sz w:val="21"/>
                      <w:szCs w:val="21"/>
                      <w:u w:val="single"/>
                      <w:lang w:bidi="zh-CN"/>
                    </w:rPr>
                    <w:t>废水排放总量：</w:t>
                  </w:r>
                  <w:r>
                    <w:rPr>
                      <w:snapToGrid w:val="0"/>
                      <w:kern w:val="0"/>
                      <w:sz w:val="21"/>
                      <w:szCs w:val="21"/>
                      <w:u w:val="single"/>
                      <w:lang w:bidi="zh-CN"/>
                    </w:rPr>
                    <w:t>3102.5m</w:t>
                  </w:r>
                  <w:r>
                    <w:rPr>
                      <w:snapToGrid w:val="0"/>
                      <w:kern w:val="0"/>
                      <w:sz w:val="21"/>
                      <w:szCs w:val="21"/>
                      <w:u w:val="single"/>
                      <w:vertAlign w:val="superscript"/>
                      <w:lang w:bidi="zh-CN"/>
                    </w:rPr>
                    <w:t>3</w:t>
                  </w:r>
                  <w:r>
                    <w:rPr>
                      <w:snapToGrid w:val="0"/>
                      <w:kern w:val="0"/>
                      <w:sz w:val="21"/>
                      <w:szCs w:val="21"/>
                      <w:u w:val="single"/>
                      <w:lang w:bidi="zh-CN"/>
                    </w:rPr>
                    <w:t>/a</w:t>
                  </w:r>
                </w:p>
              </w:tc>
            </w:tr>
            <w:tr w14:paraId="41E913C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7A525482">
                  <w:pPr>
                    <w:spacing w:line="240" w:lineRule="auto"/>
                    <w:jc w:val="center"/>
                    <w:rPr>
                      <w:snapToGrid w:val="0"/>
                      <w:kern w:val="0"/>
                      <w:sz w:val="21"/>
                      <w:szCs w:val="21"/>
                      <w:u w:val="single"/>
                      <w:lang w:bidi="zh-CN"/>
                    </w:rPr>
                  </w:pPr>
                  <w:r>
                    <w:rPr>
                      <w:rFonts w:hint="eastAsia"/>
                      <w:snapToGrid w:val="0"/>
                      <w:kern w:val="0"/>
                      <w:sz w:val="21"/>
                      <w:szCs w:val="21"/>
                      <w:u w:val="single"/>
                      <w:lang w:bidi="zh-CN"/>
                    </w:rPr>
                    <w:t>排放因子</w:t>
                  </w:r>
                </w:p>
              </w:tc>
              <w:tc>
                <w:tcPr>
                  <w:tcW w:w="1031" w:type="dxa"/>
                  <w:tcBorders>
                    <w:top w:val="single" w:color="auto" w:sz="4" w:space="0"/>
                    <w:left w:val="single" w:color="auto" w:sz="4" w:space="0"/>
                    <w:bottom w:val="single" w:color="auto" w:sz="4" w:space="0"/>
                    <w:right w:val="single" w:color="auto" w:sz="4" w:space="0"/>
                  </w:tcBorders>
                </w:tcPr>
                <w:p w14:paraId="4380F2D7">
                  <w:pPr>
                    <w:spacing w:line="240" w:lineRule="auto"/>
                    <w:jc w:val="center"/>
                    <w:rPr>
                      <w:snapToGrid w:val="0"/>
                      <w:kern w:val="0"/>
                      <w:sz w:val="21"/>
                      <w:szCs w:val="21"/>
                      <w:u w:val="single"/>
                      <w:lang w:bidi="zh-CN"/>
                    </w:rPr>
                  </w:pPr>
                  <w:r>
                    <w:rPr>
                      <w:rFonts w:hint="eastAsia"/>
                      <w:snapToGrid w:val="0"/>
                      <w:kern w:val="0"/>
                      <w:sz w:val="21"/>
                      <w:szCs w:val="21"/>
                      <w:u w:val="single"/>
                      <w:lang w:bidi="zh-CN"/>
                    </w:rPr>
                    <w:t>C</w:t>
                  </w:r>
                  <w:r>
                    <w:rPr>
                      <w:snapToGrid w:val="0"/>
                      <w:kern w:val="0"/>
                      <w:sz w:val="21"/>
                      <w:szCs w:val="21"/>
                      <w:u w:val="single"/>
                      <w:lang w:bidi="zh-CN"/>
                    </w:rPr>
                    <w:t>OD</w:t>
                  </w:r>
                </w:p>
              </w:tc>
              <w:tc>
                <w:tcPr>
                  <w:tcW w:w="1203" w:type="dxa"/>
                  <w:tcBorders>
                    <w:top w:val="single" w:color="auto" w:sz="4" w:space="0"/>
                    <w:left w:val="single" w:color="auto" w:sz="4" w:space="0"/>
                    <w:bottom w:val="single" w:color="auto" w:sz="4" w:space="0"/>
                    <w:right w:val="single" w:color="auto" w:sz="4" w:space="0"/>
                  </w:tcBorders>
                  <w:vAlign w:val="bottom"/>
                </w:tcPr>
                <w:p w14:paraId="44F1066F">
                  <w:pPr>
                    <w:spacing w:line="240" w:lineRule="auto"/>
                    <w:jc w:val="center"/>
                    <w:rPr>
                      <w:snapToGrid w:val="0"/>
                      <w:kern w:val="0"/>
                      <w:sz w:val="21"/>
                      <w:szCs w:val="21"/>
                      <w:u w:val="single"/>
                      <w:lang w:bidi="zh-CN"/>
                    </w:rPr>
                  </w:pPr>
                  <w:r>
                    <w:rPr>
                      <w:rFonts w:hint="eastAsia"/>
                      <w:snapToGrid w:val="0"/>
                      <w:kern w:val="0"/>
                      <w:sz w:val="21"/>
                      <w:szCs w:val="21"/>
                      <w:u w:val="single"/>
                      <w:lang w:bidi="zh-CN"/>
                    </w:rPr>
                    <w:t>BOD</w:t>
                  </w:r>
                  <w:r>
                    <w:rPr>
                      <w:snapToGrid w:val="0"/>
                      <w:kern w:val="0"/>
                      <w:sz w:val="21"/>
                      <w:szCs w:val="21"/>
                      <w:u w:val="single"/>
                      <w:vertAlign w:val="subscript"/>
                      <w:lang w:bidi="zh-CN"/>
                    </w:rPr>
                    <w:t>5</w:t>
                  </w:r>
                </w:p>
              </w:tc>
              <w:tc>
                <w:tcPr>
                  <w:tcW w:w="1049" w:type="dxa"/>
                  <w:tcBorders>
                    <w:top w:val="single" w:color="auto" w:sz="4" w:space="0"/>
                    <w:left w:val="single" w:color="auto" w:sz="4" w:space="0"/>
                    <w:bottom w:val="single" w:color="auto" w:sz="4" w:space="0"/>
                    <w:right w:val="single" w:color="auto" w:sz="4" w:space="0"/>
                  </w:tcBorders>
                  <w:vAlign w:val="bottom"/>
                </w:tcPr>
                <w:p w14:paraId="6D90B27A">
                  <w:pPr>
                    <w:spacing w:line="240" w:lineRule="auto"/>
                    <w:jc w:val="center"/>
                    <w:rPr>
                      <w:snapToGrid w:val="0"/>
                      <w:kern w:val="0"/>
                      <w:sz w:val="21"/>
                      <w:szCs w:val="21"/>
                      <w:u w:val="single"/>
                      <w:lang w:bidi="zh-CN"/>
                    </w:rPr>
                  </w:pPr>
                  <w:r>
                    <w:rPr>
                      <w:snapToGrid w:val="0"/>
                      <w:kern w:val="0"/>
                      <w:sz w:val="21"/>
                      <w:szCs w:val="21"/>
                      <w:u w:val="single"/>
                      <w:lang w:bidi="zh-CN"/>
                    </w:rPr>
                    <w:t>SS</w:t>
                  </w:r>
                </w:p>
              </w:tc>
              <w:tc>
                <w:tcPr>
                  <w:tcW w:w="1648" w:type="dxa"/>
                  <w:tcBorders>
                    <w:top w:val="single" w:color="auto" w:sz="4" w:space="0"/>
                    <w:left w:val="single" w:color="auto" w:sz="4" w:space="0"/>
                    <w:bottom w:val="single" w:color="auto" w:sz="4" w:space="0"/>
                  </w:tcBorders>
                  <w:vAlign w:val="bottom"/>
                </w:tcPr>
                <w:p w14:paraId="631BF093">
                  <w:pPr>
                    <w:spacing w:line="240" w:lineRule="auto"/>
                    <w:jc w:val="center"/>
                    <w:rPr>
                      <w:snapToGrid w:val="0"/>
                      <w:kern w:val="0"/>
                      <w:sz w:val="21"/>
                      <w:szCs w:val="21"/>
                      <w:u w:val="single"/>
                      <w:lang w:bidi="zh-CN"/>
                    </w:rPr>
                  </w:pPr>
                  <w:r>
                    <w:rPr>
                      <w:rFonts w:hint="eastAsia"/>
                      <w:snapToGrid w:val="0"/>
                      <w:kern w:val="0"/>
                      <w:sz w:val="21"/>
                      <w:szCs w:val="21"/>
                      <w:u w:val="single"/>
                      <w:lang w:bidi="zh-CN"/>
                    </w:rPr>
                    <w:t>NH</w:t>
                  </w:r>
                  <w:r>
                    <w:rPr>
                      <w:rFonts w:hint="eastAsia"/>
                      <w:snapToGrid w:val="0"/>
                      <w:kern w:val="0"/>
                      <w:sz w:val="21"/>
                      <w:szCs w:val="21"/>
                      <w:u w:val="single"/>
                      <w:vertAlign w:val="subscript"/>
                      <w:lang w:bidi="zh-CN"/>
                    </w:rPr>
                    <w:t>3</w:t>
                  </w:r>
                  <w:r>
                    <w:rPr>
                      <w:rFonts w:hint="eastAsia"/>
                      <w:snapToGrid w:val="0"/>
                      <w:kern w:val="0"/>
                      <w:sz w:val="21"/>
                      <w:szCs w:val="21"/>
                      <w:u w:val="single"/>
                      <w:lang w:bidi="zh-CN"/>
                    </w:rPr>
                    <w:t>-N</w:t>
                  </w:r>
                </w:p>
              </w:tc>
            </w:tr>
            <w:tr w14:paraId="2F8F9C8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25A904CD">
                  <w:pPr>
                    <w:spacing w:line="240" w:lineRule="auto"/>
                    <w:jc w:val="center"/>
                    <w:rPr>
                      <w:snapToGrid w:val="0"/>
                      <w:kern w:val="0"/>
                      <w:sz w:val="21"/>
                      <w:szCs w:val="21"/>
                      <w:u w:val="single"/>
                      <w:lang w:bidi="zh-CN"/>
                    </w:rPr>
                  </w:pPr>
                  <w:r>
                    <w:rPr>
                      <w:rFonts w:hint="eastAsia"/>
                      <w:snapToGrid w:val="0"/>
                      <w:kern w:val="0"/>
                      <w:sz w:val="21"/>
                      <w:szCs w:val="21"/>
                      <w:u w:val="single"/>
                      <w:lang w:bidi="zh-CN"/>
                    </w:rPr>
                    <w:t>产生浓度（m</w:t>
                  </w:r>
                  <w:r>
                    <w:rPr>
                      <w:snapToGrid w:val="0"/>
                      <w:kern w:val="0"/>
                      <w:sz w:val="21"/>
                      <w:szCs w:val="21"/>
                      <w:u w:val="single"/>
                      <w:lang w:bidi="zh-CN"/>
                    </w:rPr>
                    <w:t>g/L</w:t>
                  </w:r>
                  <w:r>
                    <w:rPr>
                      <w:rFonts w:hint="eastAsia"/>
                      <w:snapToGrid w:val="0"/>
                      <w:kern w:val="0"/>
                      <w:sz w:val="21"/>
                      <w:szCs w:val="21"/>
                      <w:u w:val="single"/>
                      <w:lang w:bidi="zh-CN"/>
                    </w:rPr>
                    <w:t>）</w:t>
                  </w:r>
                </w:p>
              </w:tc>
              <w:tc>
                <w:tcPr>
                  <w:tcW w:w="1031" w:type="dxa"/>
                  <w:tcBorders>
                    <w:top w:val="single" w:color="auto" w:sz="4" w:space="0"/>
                    <w:left w:val="single" w:color="auto" w:sz="4" w:space="0"/>
                    <w:bottom w:val="single" w:color="auto" w:sz="4" w:space="0"/>
                    <w:right w:val="single" w:color="auto" w:sz="4" w:space="0"/>
                  </w:tcBorders>
                </w:tcPr>
                <w:p w14:paraId="6029ECD6">
                  <w:pPr>
                    <w:spacing w:line="240" w:lineRule="auto"/>
                    <w:jc w:val="center"/>
                    <w:rPr>
                      <w:snapToGrid w:val="0"/>
                      <w:kern w:val="0"/>
                      <w:sz w:val="21"/>
                      <w:szCs w:val="21"/>
                      <w:u w:val="single"/>
                      <w:lang w:bidi="zh-CN"/>
                    </w:rPr>
                  </w:pPr>
                  <w:r>
                    <w:rPr>
                      <w:rFonts w:hint="eastAsia"/>
                      <w:snapToGrid w:val="0"/>
                      <w:kern w:val="0"/>
                      <w:sz w:val="21"/>
                      <w:szCs w:val="21"/>
                      <w:u w:val="single"/>
                      <w:lang w:bidi="zh-CN"/>
                    </w:rPr>
                    <w:t>3</w:t>
                  </w:r>
                  <w:r>
                    <w:rPr>
                      <w:snapToGrid w:val="0"/>
                      <w:kern w:val="0"/>
                      <w:sz w:val="21"/>
                      <w:szCs w:val="21"/>
                      <w:u w:val="single"/>
                      <w:lang w:bidi="zh-CN"/>
                    </w:rPr>
                    <w:t>00</w:t>
                  </w:r>
                </w:p>
              </w:tc>
              <w:tc>
                <w:tcPr>
                  <w:tcW w:w="1203" w:type="dxa"/>
                  <w:tcBorders>
                    <w:top w:val="single" w:color="auto" w:sz="4" w:space="0"/>
                    <w:left w:val="single" w:color="auto" w:sz="4" w:space="0"/>
                    <w:bottom w:val="single" w:color="auto" w:sz="4" w:space="0"/>
                    <w:right w:val="single" w:color="auto" w:sz="4" w:space="0"/>
                  </w:tcBorders>
                  <w:vAlign w:val="bottom"/>
                </w:tcPr>
                <w:p w14:paraId="436FA8B5">
                  <w:pPr>
                    <w:spacing w:line="240" w:lineRule="auto"/>
                    <w:jc w:val="center"/>
                    <w:rPr>
                      <w:snapToGrid w:val="0"/>
                      <w:kern w:val="0"/>
                      <w:sz w:val="21"/>
                      <w:szCs w:val="21"/>
                      <w:u w:val="single"/>
                      <w:lang w:bidi="zh-CN"/>
                    </w:rPr>
                  </w:pPr>
                  <w:r>
                    <w:rPr>
                      <w:rFonts w:hint="eastAsia"/>
                      <w:snapToGrid w:val="0"/>
                      <w:kern w:val="0"/>
                      <w:sz w:val="21"/>
                      <w:szCs w:val="21"/>
                      <w:u w:val="single"/>
                      <w:lang w:bidi="zh-CN"/>
                    </w:rPr>
                    <w:t>1</w:t>
                  </w:r>
                  <w:r>
                    <w:rPr>
                      <w:snapToGrid w:val="0"/>
                      <w:kern w:val="0"/>
                      <w:sz w:val="21"/>
                      <w:szCs w:val="21"/>
                      <w:u w:val="single"/>
                      <w:lang w:bidi="zh-CN"/>
                    </w:rPr>
                    <w:t>50</w:t>
                  </w:r>
                </w:p>
              </w:tc>
              <w:tc>
                <w:tcPr>
                  <w:tcW w:w="1049" w:type="dxa"/>
                  <w:tcBorders>
                    <w:top w:val="single" w:color="auto" w:sz="4" w:space="0"/>
                    <w:left w:val="single" w:color="auto" w:sz="4" w:space="0"/>
                    <w:bottom w:val="single" w:color="auto" w:sz="4" w:space="0"/>
                    <w:right w:val="single" w:color="auto" w:sz="4" w:space="0"/>
                  </w:tcBorders>
                  <w:vAlign w:val="bottom"/>
                </w:tcPr>
                <w:p w14:paraId="2DA7EEDD">
                  <w:pPr>
                    <w:spacing w:line="240" w:lineRule="auto"/>
                    <w:jc w:val="center"/>
                    <w:rPr>
                      <w:snapToGrid w:val="0"/>
                      <w:kern w:val="0"/>
                      <w:sz w:val="21"/>
                      <w:szCs w:val="21"/>
                      <w:u w:val="single"/>
                      <w:lang w:bidi="zh-CN"/>
                    </w:rPr>
                  </w:pPr>
                  <w:r>
                    <w:rPr>
                      <w:rFonts w:hint="eastAsia"/>
                      <w:snapToGrid w:val="0"/>
                      <w:kern w:val="0"/>
                      <w:sz w:val="21"/>
                      <w:szCs w:val="21"/>
                      <w:u w:val="single"/>
                      <w:lang w:bidi="zh-CN"/>
                    </w:rPr>
                    <w:t>1</w:t>
                  </w:r>
                  <w:r>
                    <w:rPr>
                      <w:snapToGrid w:val="0"/>
                      <w:kern w:val="0"/>
                      <w:sz w:val="21"/>
                      <w:szCs w:val="21"/>
                      <w:u w:val="single"/>
                      <w:lang w:bidi="zh-CN"/>
                    </w:rPr>
                    <w:t>20</w:t>
                  </w:r>
                </w:p>
              </w:tc>
              <w:tc>
                <w:tcPr>
                  <w:tcW w:w="1648" w:type="dxa"/>
                  <w:tcBorders>
                    <w:top w:val="single" w:color="auto" w:sz="4" w:space="0"/>
                    <w:left w:val="single" w:color="auto" w:sz="4" w:space="0"/>
                    <w:bottom w:val="single" w:color="auto" w:sz="4" w:space="0"/>
                  </w:tcBorders>
                  <w:vAlign w:val="bottom"/>
                </w:tcPr>
                <w:p w14:paraId="1E835639">
                  <w:pPr>
                    <w:spacing w:line="240" w:lineRule="auto"/>
                    <w:jc w:val="center"/>
                    <w:rPr>
                      <w:snapToGrid w:val="0"/>
                      <w:kern w:val="0"/>
                      <w:sz w:val="21"/>
                      <w:szCs w:val="21"/>
                      <w:u w:val="single"/>
                      <w:lang w:bidi="zh-CN"/>
                    </w:rPr>
                  </w:pPr>
                  <w:r>
                    <w:rPr>
                      <w:rFonts w:hint="eastAsia"/>
                      <w:snapToGrid w:val="0"/>
                      <w:kern w:val="0"/>
                      <w:sz w:val="21"/>
                      <w:szCs w:val="21"/>
                      <w:u w:val="single"/>
                      <w:lang w:bidi="zh-CN"/>
                    </w:rPr>
                    <w:t>5</w:t>
                  </w:r>
                  <w:r>
                    <w:rPr>
                      <w:snapToGrid w:val="0"/>
                      <w:kern w:val="0"/>
                      <w:sz w:val="21"/>
                      <w:szCs w:val="21"/>
                      <w:u w:val="single"/>
                      <w:lang w:bidi="zh-CN"/>
                    </w:rPr>
                    <w:t>0</w:t>
                  </w:r>
                </w:p>
              </w:tc>
            </w:tr>
            <w:tr w14:paraId="112E7B6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3375B0E1">
                  <w:pPr>
                    <w:spacing w:line="240" w:lineRule="auto"/>
                    <w:jc w:val="center"/>
                    <w:rPr>
                      <w:snapToGrid w:val="0"/>
                      <w:kern w:val="0"/>
                      <w:sz w:val="21"/>
                      <w:szCs w:val="21"/>
                      <w:u w:val="single"/>
                      <w:lang w:bidi="zh-CN"/>
                    </w:rPr>
                  </w:pPr>
                  <w:r>
                    <w:rPr>
                      <w:rFonts w:hint="eastAsia"/>
                      <w:snapToGrid w:val="0"/>
                      <w:kern w:val="0"/>
                      <w:sz w:val="21"/>
                      <w:szCs w:val="21"/>
                      <w:u w:val="single"/>
                      <w:lang w:bidi="zh-CN"/>
                    </w:rPr>
                    <w:t>产生量（t/a）</w:t>
                  </w:r>
                </w:p>
              </w:tc>
              <w:tc>
                <w:tcPr>
                  <w:tcW w:w="1031" w:type="dxa"/>
                  <w:tcBorders>
                    <w:top w:val="single" w:color="auto" w:sz="4" w:space="0"/>
                    <w:left w:val="single" w:color="auto" w:sz="4" w:space="0"/>
                    <w:bottom w:val="single" w:color="auto" w:sz="4" w:space="0"/>
                    <w:right w:val="single" w:color="auto" w:sz="4" w:space="0"/>
                  </w:tcBorders>
                  <w:vAlign w:val="bottom"/>
                </w:tcPr>
                <w:p w14:paraId="450F718B">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0.931 </w:t>
                  </w:r>
                </w:p>
              </w:tc>
              <w:tc>
                <w:tcPr>
                  <w:tcW w:w="1203" w:type="dxa"/>
                  <w:tcBorders>
                    <w:top w:val="single" w:color="auto" w:sz="4" w:space="0"/>
                    <w:left w:val="single" w:color="auto" w:sz="4" w:space="0"/>
                    <w:bottom w:val="single" w:color="auto" w:sz="4" w:space="0"/>
                    <w:right w:val="single" w:color="auto" w:sz="4" w:space="0"/>
                  </w:tcBorders>
                  <w:vAlign w:val="bottom"/>
                </w:tcPr>
                <w:p w14:paraId="7C83B81C">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0.465 </w:t>
                  </w:r>
                </w:p>
              </w:tc>
              <w:tc>
                <w:tcPr>
                  <w:tcW w:w="1049" w:type="dxa"/>
                  <w:tcBorders>
                    <w:top w:val="single" w:color="auto" w:sz="4" w:space="0"/>
                    <w:left w:val="single" w:color="auto" w:sz="4" w:space="0"/>
                    <w:bottom w:val="single" w:color="auto" w:sz="4" w:space="0"/>
                    <w:right w:val="single" w:color="auto" w:sz="4" w:space="0"/>
                  </w:tcBorders>
                  <w:vAlign w:val="bottom"/>
                </w:tcPr>
                <w:p w14:paraId="643B0979">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0.372 </w:t>
                  </w:r>
                </w:p>
              </w:tc>
              <w:tc>
                <w:tcPr>
                  <w:tcW w:w="1648" w:type="dxa"/>
                  <w:tcBorders>
                    <w:top w:val="single" w:color="auto" w:sz="4" w:space="0"/>
                    <w:left w:val="single" w:color="auto" w:sz="4" w:space="0"/>
                    <w:bottom w:val="single" w:color="auto" w:sz="4" w:space="0"/>
                  </w:tcBorders>
                  <w:vAlign w:val="bottom"/>
                </w:tcPr>
                <w:p w14:paraId="47E7582C">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0.155 </w:t>
                  </w:r>
                </w:p>
              </w:tc>
            </w:tr>
            <w:tr w14:paraId="2A02322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3F4216EF">
                  <w:pPr>
                    <w:spacing w:line="240" w:lineRule="auto"/>
                    <w:jc w:val="center"/>
                    <w:rPr>
                      <w:snapToGrid w:val="0"/>
                      <w:kern w:val="0"/>
                      <w:sz w:val="21"/>
                      <w:szCs w:val="21"/>
                      <w:u w:val="single"/>
                      <w:lang w:bidi="zh-CN"/>
                    </w:rPr>
                  </w:pPr>
                  <w:r>
                    <w:rPr>
                      <w:rFonts w:hint="eastAsia"/>
                      <w:snapToGrid w:val="0"/>
                      <w:kern w:val="0"/>
                      <w:sz w:val="21"/>
                      <w:szCs w:val="21"/>
                      <w:u w:val="single"/>
                      <w:lang w:bidi="zh-CN"/>
                    </w:rPr>
                    <w:t>卫生院排放浓度（m</w:t>
                  </w:r>
                  <w:r>
                    <w:rPr>
                      <w:snapToGrid w:val="0"/>
                      <w:kern w:val="0"/>
                      <w:sz w:val="21"/>
                      <w:szCs w:val="21"/>
                      <w:u w:val="single"/>
                      <w:lang w:bidi="zh-CN"/>
                    </w:rPr>
                    <w:t>g/L</w:t>
                  </w:r>
                  <w:r>
                    <w:rPr>
                      <w:rFonts w:hint="eastAsia"/>
                      <w:snapToGrid w:val="0"/>
                      <w:kern w:val="0"/>
                      <w:sz w:val="21"/>
                      <w:szCs w:val="21"/>
                      <w:u w:val="single"/>
                      <w:lang w:bidi="zh-CN"/>
                    </w:rPr>
                    <w:t>）</w:t>
                  </w:r>
                </w:p>
              </w:tc>
              <w:tc>
                <w:tcPr>
                  <w:tcW w:w="1031" w:type="dxa"/>
                  <w:tcBorders>
                    <w:top w:val="single" w:color="auto" w:sz="4" w:space="0"/>
                    <w:left w:val="single" w:color="auto" w:sz="4" w:space="0"/>
                    <w:bottom w:val="single" w:color="auto" w:sz="4" w:space="0"/>
                    <w:right w:val="single" w:color="auto" w:sz="4" w:space="0"/>
                  </w:tcBorders>
                  <w:vAlign w:val="center"/>
                </w:tcPr>
                <w:p w14:paraId="65769ED8">
                  <w:pPr>
                    <w:spacing w:line="240" w:lineRule="auto"/>
                    <w:jc w:val="center"/>
                    <w:rPr>
                      <w:snapToGrid w:val="0"/>
                      <w:kern w:val="0"/>
                      <w:sz w:val="21"/>
                      <w:szCs w:val="21"/>
                      <w:u w:val="single"/>
                      <w:lang w:bidi="zh-CN"/>
                    </w:rPr>
                  </w:pPr>
                  <w:r>
                    <w:rPr>
                      <w:rFonts w:eastAsia="等线"/>
                      <w:color w:val="000000"/>
                      <w:kern w:val="0"/>
                      <w:sz w:val="21"/>
                      <w:szCs w:val="21"/>
                      <w:u w:val="single"/>
                    </w:rPr>
                    <w:t>250</w:t>
                  </w:r>
                </w:p>
              </w:tc>
              <w:tc>
                <w:tcPr>
                  <w:tcW w:w="1203" w:type="dxa"/>
                  <w:tcBorders>
                    <w:top w:val="single" w:color="auto" w:sz="4" w:space="0"/>
                    <w:left w:val="single" w:color="auto" w:sz="4" w:space="0"/>
                    <w:bottom w:val="single" w:color="auto" w:sz="4" w:space="0"/>
                    <w:right w:val="single" w:color="auto" w:sz="4" w:space="0"/>
                  </w:tcBorders>
                  <w:vAlign w:val="center"/>
                </w:tcPr>
                <w:p w14:paraId="12B8C460">
                  <w:pPr>
                    <w:spacing w:line="240" w:lineRule="auto"/>
                    <w:jc w:val="center"/>
                    <w:rPr>
                      <w:snapToGrid w:val="0"/>
                      <w:kern w:val="0"/>
                      <w:sz w:val="21"/>
                      <w:szCs w:val="21"/>
                      <w:u w:val="single"/>
                      <w:lang w:bidi="zh-CN"/>
                    </w:rPr>
                  </w:pPr>
                  <w:r>
                    <w:rPr>
                      <w:rFonts w:eastAsia="等线"/>
                      <w:color w:val="000000"/>
                      <w:kern w:val="0"/>
                      <w:sz w:val="21"/>
                      <w:szCs w:val="21"/>
                      <w:u w:val="single"/>
                    </w:rPr>
                    <w:t>100</w:t>
                  </w:r>
                </w:p>
              </w:tc>
              <w:tc>
                <w:tcPr>
                  <w:tcW w:w="1049" w:type="dxa"/>
                  <w:tcBorders>
                    <w:top w:val="single" w:color="auto" w:sz="4" w:space="0"/>
                    <w:left w:val="single" w:color="auto" w:sz="4" w:space="0"/>
                    <w:bottom w:val="single" w:color="auto" w:sz="4" w:space="0"/>
                    <w:right w:val="single" w:color="auto" w:sz="4" w:space="0"/>
                  </w:tcBorders>
                  <w:vAlign w:val="center"/>
                </w:tcPr>
                <w:p w14:paraId="55524CAC">
                  <w:pPr>
                    <w:spacing w:line="240" w:lineRule="auto"/>
                    <w:jc w:val="center"/>
                    <w:rPr>
                      <w:snapToGrid w:val="0"/>
                      <w:kern w:val="0"/>
                      <w:sz w:val="21"/>
                      <w:szCs w:val="21"/>
                      <w:u w:val="single"/>
                      <w:lang w:bidi="zh-CN"/>
                    </w:rPr>
                  </w:pPr>
                  <w:r>
                    <w:rPr>
                      <w:rFonts w:eastAsia="等线"/>
                      <w:color w:val="000000"/>
                      <w:kern w:val="0"/>
                      <w:sz w:val="21"/>
                      <w:szCs w:val="21"/>
                      <w:u w:val="single"/>
                    </w:rPr>
                    <w:t>60</w:t>
                  </w:r>
                </w:p>
              </w:tc>
              <w:tc>
                <w:tcPr>
                  <w:tcW w:w="1648" w:type="dxa"/>
                  <w:tcBorders>
                    <w:top w:val="single" w:color="auto" w:sz="4" w:space="0"/>
                    <w:left w:val="single" w:color="auto" w:sz="4" w:space="0"/>
                    <w:bottom w:val="single" w:color="auto" w:sz="4" w:space="0"/>
                  </w:tcBorders>
                  <w:vAlign w:val="center"/>
                </w:tcPr>
                <w:p w14:paraId="51544C5B">
                  <w:pPr>
                    <w:spacing w:line="240" w:lineRule="auto"/>
                    <w:jc w:val="center"/>
                    <w:rPr>
                      <w:snapToGrid w:val="0"/>
                      <w:kern w:val="0"/>
                      <w:sz w:val="21"/>
                      <w:szCs w:val="21"/>
                      <w:u w:val="single"/>
                      <w:lang w:bidi="zh-CN"/>
                    </w:rPr>
                  </w:pPr>
                  <w:r>
                    <w:rPr>
                      <w:rFonts w:eastAsia="等线"/>
                      <w:color w:val="000000"/>
                      <w:kern w:val="0"/>
                      <w:sz w:val="21"/>
                      <w:szCs w:val="21"/>
                      <w:u w:val="single"/>
                    </w:rPr>
                    <w:t>/</w:t>
                  </w:r>
                </w:p>
              </w:tc>
            </w:tr>
            <w:tr w14:paraId="38114AC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314AB5A5">
                  <w:pPr>
                    <w:spacing w:line="240" w:lineRule="auto"/>
                    <w:jc w:val="center"/>
                    <w:rPr>
                      <w:snapToGrid w:val="0"/>
                      <w:kern w:val="0"/>
                      <w:sz w:val="21"/>
                      <w:szCs w:val="21"/>
                      <w:u w:val="single"/>
                      <w:lang w:bidi="zh-CN"/>
                    </w:rPr>
                  </w:pPr>
                  <w:r>
                    <w:rPr>
                      <w:rFonts w:hint="eastAsia"/>
                      <w:snapToGrid w:val="0"/>
                      <w:kern w:val="0"/>
                      <w:sz w:val="21"/>
                      <w:szCs w:val="21"/>
                      <w:u w:val="single"/>
                      <w:lang w:bidi="zh-CN"/>
                    </w:rPr>
                    <w:t>卫生院排放量（t/a）</w:t>
                  </w:r>
                </w:p>
              </w:tc>
              <w:tc>
                <w:tcPr>
                  <w:tcW w:w="1031" w:type="dxa"/>
                  <w:tcBorders>
                    <w:top w:val="single" w:color="auto" w:sz="4" w:space="0"/>
                    <w:left w:val="single" w:color="auto" w:sz="4" w:space="0"/>
                    <w:bottom w:val="single" w:color="auto" w:sz="4" w:space="0"/>
                    <w:right w:val="single" w:color="auto" w:sz="4" w:space="0"/>
                  </w:tcBorders>
                  <w:vAlign w:val="bottom"/>
                </w:tcPr>
                <w:p w14:paraId="1A274C9E">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0.776 </w:t>
                  </w:r>
                </w:p>
              </w:tc>
              <w:tc>
                <w:tcPr>
                  <w:tcW w:w="1203" w:type="dxa"/>
                  <w:tcBorders>
                    <w:top w:val="single" w:color="auto" w:sz="4" w:space="0"/>
                    <w:left w:val="single" w:color="auto" w:sz="4" w:space="0"/>
                    <w:bottom w:val="single" w:color="auto" w:sz="4" w:space="0"/>
                    <w:right w:val="single" w:color="auto" w:sz="4" w:space="0"/>
                  </w:tcBorders>
                  <w:vAlign w:val="bottom"/>
                </w:tcPr>
                <w:p w14:paraId="70B2FC6C">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0.310 </w:t>
                  </w:r>
                </w:p>
              </w:tc>
              <w:tc>
                <w:tcPr>
                  <w:tcW w:w="1049" w:type="dxa"/>
                  <w:tcBorders>
                    <w:top w:val="single" w:color="auto" w:sz="4" w:space="0"/>
                    <w:left w:val="single" w:color="auto" w:sz="4" w:space="0"/>
                    <w:bottom w:val="single" w:color="auto" w:sz="4" w:space="0"/>
                    <w:right w:val="single" w:color="auto" w:sz="4" w:space="0"/>
                  </w:tcBorders>
                  <w:vAlign w:val="bottom"/>
                </w:tcPr>
                <w:p w14:paraId="1D8AAFD3">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0.186 </w:t>
                  </w:r>
                </w:p>
              </w:tc>
              <w:tc>
                <w:tcPr>
                  <w:tcW w:w="1648" w:type="dxa"/>
                  <w:tcBorders>
                    <w:top w:val="single" w:color="auto" w:sz="4" w:space="0"/>
                    <w:left w:val="single" w:color="auto" w:sz="4" w:space="0"/>
                    <w:bottom w:val="single" w:color="auto" w:sz="4" w:space="0"/>
                  </w:tcBorders>
                  <w:vAlign w:val="center"/>
                </w:tcPr>
                <w:p w14:paraId="6C87FD67">
                  <w:pPr>
                    <w:spacing w:line="240" w:lineRule="auto"/>
                    <w:jc w:val="center"/>
                    <w:rPr>
                      <w:snapToGrid w:val="0"/>
                      <w:kern w:val="0"/>
                      <w:sz w:val="21"/>
                      <w:szCs w:val="21"/>
                      <w:u w:val="single"/>
                      <w:lang w:bidi="zh-CN"/>
                    </w:rPr>
                  </w:pPr>
                  <w:r>
                    <w:rPr>
                      <w:rFonts w:eastAsia="等线"/>
                      <w:color w:val="000000"/>
                      <w:kern w:val="0"/>
                      <w:sz w:val="21"/>
                      <w:szCs w:val="21"/>
                      <w:u w:val="single"/>
                    </w:rPr>
                    <w:t xml:space="preserve">/ </w:t>
                  </w:r>
                </w:p>
              </w:tc>
            </w:tr>
            <w:tr w14:paraId="1AEE89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0A6DD583">
                  <w:pPr>
                    <w:spacing w:line="240" w:lineRule="auto"/>
                    <w:jc w:val="center"/>
                    <w:rPr>
                      <w:snapToGrid w:val="0"/>
                      <w:kern w:val="0"/>
                      <w:sz w:val="21"/>
                      <w:szCs w:val="21"/>
                      <w:u w:val="single"/>
                      <w:lang w:bidi="zh-CN"/>
                    </w:rPr>
                  </w:pPr>
                  <w:r>
                    <w:rPr>
                      <w:rFonts w:hint="eastAsia"/>
                      <w:snapToGrid w:val="0"/>
                      <w:kern w:val="0"/>
                      <w:sz w:val="21"/>
                      <w:szCs w:val="21"/>
                      <w:u w:val="single"/>
                      <w:lang w:bidi="zh-CN"/>
                    </w:rPr>
                    <w:t>污水处理厂排放浓度（m</w:t>
                  </w:r>
                  <w:r>
                    <w:rPr>
                      <w:snapToGrid w:val="0"/>
                      <w:kern w:val="0"/>
                      <w:sz w:val="21"/>
                      <w:szCs w:val="21"/>
                      <w:u w:val="single"/>
                      <w:lang w:bidi="zh-CN"/>
                    </w:rPr>
                    <w:t>g/L</w:t>
                  </w:r>
                  <w:r>
                    <w:rPr>
                      <w:rFonts w:hint="eastAsia"/>
                      <w:snapToGrid w:val="0"/>
                      <w:kern w:val="0"/>
                      <w:sz w:val="21"/>
                      <w:szCs w:val="21"/>
                      <w:u w:val="single"/>
                      <w:lang w:bidi="zh-CN"/>
                    </w:rPr>
                    <w:t>）</w:t>
                  </w:r>
                </w:p>
              </w:tc>
              <w:tc>
                <w:tcPr>
                  <w:tcW w:w="1031" w:type="dxa"/>
                  <w:tcBorders>
                    <w:top w:val="single" w:color="auto" w:sz="4" w:space="0"/>
                    <w:left w:val="single" w:color="auto" w:sz="4" w:space="0"/>
                    <w:bottom w:val="single" w:color="auto" w:sz="4" w:space="0"/>
                    <w:right w:val="single" w:color="auto" w:sz="4" w:space="0"/>
                  </w:tcBorders>
                  <w:vAlign w:val="center"/>
                </w:tcPr>
                <w:p w14:paraId="32A4BEAF">
                  <w:pPr>
                    <w:spacing w:line="240" w:lineRule="auto"/>
                    <w:jc w:val="center"/>
                    <w:rPr>
                      <w:snapToGrid w:val="0"/>
                      <w:kern w:val="0"/>
                      <w:sz w:val="21"/>
                      <w:szCs w:val="21"/>
                      <w:u w:val="single"/>
                      <w:lang w:bidi="zh-CN"/>
                    </w:rPr>
                  </w:pPr>
                  <w:r>
                    <w:rPr>
                      <w:rFonts w:hint="eastAsia"/>
                      <w:snapToGrid w:val="0"/>
                      <w:kern w:val="0"/>
                      <w:sz w:val="21"/>
                      <w:szCs w:val="21"/>
                      <w:u w:val="single"/>
                      <w:lang w:bidi="zh-CN"/>
                    </w:rPr>
                    <w:t>5</w:t>
                  </w:r>
                  <w:r>
                    <w:rPr>
                      <w:snapToGrid w:val="0"/>
                      <w:kern w:val="0"/>
                      <w:sz w:val="21"/>
                      <w:szCs w:val="21"/>
                      <w:u w:val="single"/>
                      <w:lang w:bidi="zh-CN"/>
                    </w:rPr>
                    <w:t>0</w:t>
                  </w:r>
                </w:p>
              </w:tc>
              <w:tc>
                <w:tcPr>
                  <w:tcW w:w="1203" w:type="dxa"/>
                  <w:tcBorders>
                    <w:top w:val="single" w:color="auto" w:sz="4" w:space="0"/>
                    <w:left w:val="single" w:color="auto" w:sz="4" w:space="0"/>
                    <w:bottom w:val="single" w:color="auto" w:sz="4" w:space="0"/>
                    <w:right w:val="single" w:color="auto" w:sz="4" w:space="0"/>
                  </w:tcBorders>
                  <w:vAlign w:val="center"/>
                </w:tcPr>
                <w:p w14:paraId="75340CF9">
                  <w:pPr>
                    <w:spacing w:line="240" w:lineRule="auto"/>
                    <w:jc w:val="center"/>
                    <w:rPr>
                      <w:snapToGrid w:val="0"/>
                      <w:kern w:val="0"/>
                      <w:sz w:val="21"/>
                      <w:szCs w:val="21"/>
                      <w:u w:val="single"/>
                      <w:lang w:bidi="zh-CN"/>
                    </w:rPr>
                  </w:pPr>
                  <w:r>
                    <w:rPr>
                      <w:rFonts w:hint="eastAsia"/>
                      <w:snapToGrid w:val="0"/>
                      <w:kern w:val="0"/>
                      <w:sz w:val="21"/>
                      <w:szCs w:val="21"/>
                      <w:u w:val="single"/>
                      <w:lang w:bidi="zh-CN"/>
                    </w:rPr>
                    <w:t>1</w:t>
                  </w:r>
                  <w:r>
                    <w:rPr>
                      <w:snapToGrid w:val="0"/>
                      <w:kern w:val="0"/>
                      <w:sz w:val="21"/>
                      <w:szCs w:val="21"/>
                      <w:u w:val="single"/>
                      <w:lang w:bidi="zh-CN"/>
                    </w:rPr>
                    <w:t>0</w:t>
                  </w:r>
                </w:p>
              </w:tc>
              <w:tc>
                <w:tcPr>
                  <w:tcW w:w="1049" w:type="dxa"/>
                  <w:tcBorders>
                    <w:top w:val="single" w:color="auto" w:sz="4" w:space="0"/>
                    <w:left w:val="single" w:color="auto" w:sz="4" w:space="0"/>
                    <w:bottom w:val="single" w:color="auto" w:sz="4" w:space="0"/>
                    <w:right w:val="single" w:color="auto" w:sz="4" w:space="0"/>
                  </w:tcBorders>
                  <w:vAlign w:val="center"/>
                </w:tcPr>
                <w:p w14:paraId="68E29EA5">
                  <w:pPr>
                    <w:spacing w:line="240" w:lineRule="auto"/>
                    <w:jc w:val="center"/>
                    <w:rPr>
                      <w:snapToGrid w:val="0"/>
                      <w:kern w:val="0"/>
                      <w:sz w:val="21"/>
                      <w:szCs w:val="21"/>
                      <w:u w:val="single"/>
                      <w:lang w:bidi="zh-CN"/>
                    </w:rPr>
                  </w:pPr>
                  <w:r>
                    <w:rPr>
                      <w:rFonts w:hint="eastAsia"/>
                      <w:snapToGrid w:val="0"/>
                      <w:kern w:val="0"/>
                      <w:sz w:val="21"/>
                      <w:szCs w:val="21"/>
                      <w:u w:val="single"/>
                      <w:lang w:bidi="zh-CN"/>
                    </w:rPr>
                    <w:t>1</w:t>
                  </w:r>
                  <w:r>
                    <w:rPr>
                      <w:snapToGrid w:val="0"/>
                      <w:kern w:val="0"/>
                      <w:sz w:val="21"/>
                      <w:szCs w:val="21"/>
                      <w:u w:val="single"/>
                      <w:lang w:bidi="zh-CN"/>
                    </w:rPr>
                    <w:t>0</w:t>
                  </w:r>
                </w:p>
              </w:tc>
              <w:tc>
                <w:tcPr>
                  <w:tcW w:w="1648" w:type="dxa"/>
                  <w:tcBorders>
                    <w:top w:val="single" w:color="auto" w:sz="4" w:space="0"/>
                    <w:left w:val="single" w:color="auto" w:sz="4" w:space="0"/>
                    <w:bottom w:val="single" w:color="auto" w:sz="4" w:space="0"/>
                  </w:tcBorders>
                  <w:vAlign w:val="center"/>
                </w:tcPr>
                <w:p w14:paraId="58ED1940">
                  <w:pPr>
                    <w:spacing w:line="240" w:lineRule="auto"/>
                    <w:jc w:val="center"/>
                    <w:rPr>
                      <w:snapToGrid w:val="0"/>
                      <w:kern w:val="0"/>
                      <w:sz w:val="21"/>
                      <w:szCs w:val="21"/>
                      <w:u w:val="single"/>
                      <w:lang w:bidi="zh-CN"/>
                    </w:rPr>
                  </w:pPr>
                  <w:r>
                    <w:rPr>
                      <w:rFonts w:hint="eastAsia"/>
                      <w:snapToGrid w:val="0"/>
                      <w:kern w:val="0"/>
                      <w:sz w:val="21"/>
                      <w:szCs w:val="21"/>
                      <w:u w:val="single"/>
                      <w:lang w:bidi="zh-CN"/>
                    </w:rPr>
                    <w:t>5（8）</w:t>
                  </w:r>
                </w:p>
              </w:tc>
            </w:tr>
            <w:tr w14:paraId="582D168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3309" w:type="dxa"/>
                  <w:tcBorders>
                    <w:top w:val="single" w:color="auto" w:sz="4" w:space="0"/>
                    <w:bottom w:val="single" w:color="auto" w:sz="4" w:space="0"/>
                    <w:right w:val="single" w:color="auto" w:sz="4" w:space="0"/>
                  </w:tcBorders>
                </w:tcPr>
                <w:p w14:paraId="4C0B0CFC">
                  <w:pPr>
                    <w:spacing w:line="240" w:lineRule="auto"/>
                    <w:jc w:val="center"/>
                    <w:rPr>
                      <w:snapToGrid w:val="0"/>
                      <w:kern w:val="0"/>
                      <w:sz w:val="21"/>
                      <w:szCs w:val="21"/>
                      <w:u w:val="single"/>
                      <w:lang w:bidi="zh-CN"/>
                    </w:rPr>
                  </w:pPr>
                  <w:r>
                    <w:rPr>
                      <w:rFonts w:hint="eastAsia"/>
                      <w:snapToGrid w:val="0"/>
                      <w:kern w:val="0"/>
                      <w:sz w:val="21"/>
                      <w:szCs w:val="21"/>
                      <w:u w:val="single"/>
                      <w:lang w:bidi="zh-CN"/>
                    </w:rPr>
                    <w:t>污水处理厂排放量（t/a）</w:t>
                  </w:r>
                </w:p>
              </w:tc>
              <w:tc>
                <w:tcPr>
                  <w:tcW w:w="1031" w:type="dxa"/>
                  <w:tcBorders>
                    <w:top w:val="single" w:color="auto" w:sz="4" w:space="0"/>
                    <w:left w:val="single" w:color="auto" w:sz="4" w:space="0"/>
                    <w:bottom w:val="single" w:color="auto" w:sz="4" w:space="0"/>
                    <w:right w:val="single" w:color="auto" w:sz="4" w:space="0"/>
                  </w:tcBorders>
                  <w:vAlign w:val="bottom"/>
                </w:tcPr>
                <w:p w14:paraId="5EFDF1AB">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0.155 </w:t>
                  </w:r>
                </w:p>
              </w:tc>
              <w:tc>
                <w:tcPr>
                  <w:tcW w:w="1203" w:type="dxa"/>
                  <w:tcBorders>
                    <w:top w:val="single" w:color="auto" w:sz="4" w:space="0"/>
                    <w:left w:val="single" w:color="auto" w:sz="4" w:space="0"/>
                    <w:bottom w:val="single" w:color="auto" w:sz="4" w:space="0"/>
                    <w:right w:val="single" w:color="auto" w:sz="4" w:space="0"/>
                  </w:tcBorders>
                  <w:vAlign w:val="bottom"/>
                </w:tcPr>
                <w:p w14:paraId="4F2D09F5">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0.031 </w:t>
                  </w:r>
                </w:p>
              </w:tc>
              <w:tc>
                <w:tcPr>
                  <w:tcW w:w="1049" w:type="dxa"/>
                  <w:tcBorders>
                    <w:top w:val="single" w:color="auto" w:sz="4" w:space="0"/>
                    <w:left w:val="single" w:color="auto" w:sz="4" w:space="0"/>
                    <w:bottom w:val="single" w:color="auto" w:sz="4" w:space="0"/>
                    <w:right w:val="single" w:color="auto" w:sz="4" w:space="0"/>
                  </w:tcBorders>
                  <w:vAlign w:val="bottom"/>
                </w:tcPr>
                <w:p w14:paraId="0DE3D7DF">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0.031 </w:t>
                  </w:r>
                </w:p>
              </w:tc>
              <w:tc>
                <w:tcPr>
                  <w:tcW w:w="1648" w:type="dxa"/>
                  <w:tcBorders>
                    <w:top w:val="single" w:color="auto" w:sz="4" w:space="0"/>
                    <w:left w:val="single" w:color="auto" w:sz="4" w:space="0"/>
                    <w:bottom w:val="single" w:color="auto" w:sz="4" w:space="0"/>
                  </w:tcBorders>
                  <w:vAlign w:val="bottom"/>
                </w:tcPr>
                <w:p w14:paraId="78DD2DA5">
                  <w:pPr>
                    <w:spacing w:line="240" w:lineRule="auto"/>
                    <w:jc w:val="center"/>
                    <w:rPr>
                      <w:rFonts w:eastAsia="等线"/>
                      <w:color w:val="000000"/>
                      <w:kern w:val="0"/>
                      <w:sz w:val="21"/>
                      <w:szCs w:val="21"/>
                      <w:u w:val="single"/>
                    </w:rPr>
                  </w:pPr>
                  <w:r>
                    <w:rPr>
                      <w:rFonts w:hint="eastAsia" w:eastAsia="等线"/>
                      <w:color w:val="000000"/>
                      <w:kern w:val="0"/>
                      <w:sz w:val="21"/>
                      <w:szCs w:val="21"/>
                      <w:u w:val="single"/>
                    </w:rPr>
                    <w:t xml:space="preserve">0.016 </w:t>
                  </w:r>
                </w:p>
              </w:tc>
            </w:tr>
          </w:tbl>
          <w:p w14:paraId="54C59E4B">
            <w:pPr>
              <w:jc w:val="center"/>
              <w:rPr>
                <w:b/>
                <w:bCs/>
                <w:snapToGrid w:val="0"/>
                <w:kern w:val="0"/>
                <w:szCs w:val="24"/>
                <w:u w:val="single"/>
                <w:lang w:bidi="zh-CN"/>
              </w:rPr>
            </w:pPr>
            <w:r>
              <w:rPr>
                <w:rFonts w:hint="eastAsia"/>
                <w:b/>
                <w:bCs/>
                <w:snapToGrid w:val="0"/>
                <w:kern w:val="0"/>
                <w:szCs w:val="24"/>
                <w:u w:val="single"/>
                <w:lang w:bidi="zh-CN"/>
              </w:rPr>
              <w:t>表4</w:t>
            </w:r>
            <w:r>
              <w:rPr>
                <w:b/>
                <w:bCs/>
                <w:snapToGrid w:val="0"/>
                <w:kern w:val="0"/>
                <w:szCs w:val="24"/>
                <w:u w:val="single"/>
                <w:lang w:bidi="zh-CN"/>
              </w:rPr>
              <w:t>-2</w:t>
            </w:r>
            <w:r>
              <w:rPr>
                <w:rFonts w:hint="eastAsia"/>
                <w:b/>
                <w:bCs/>
                <w:snapToGrid w:val="0"/>
                <w:kern w:val="0"/>
                <w:szCs w:val="24"/>
                <w:u w:val="single"/>
                <w:lang w:bidi="zh-CN"/>
              </w:rPr>
              <w:t>废水间接排放口基本情况表</w:t>
            </w:r>
          </w:p>
          <w:tbl>
            <w:tblPr>
              <w:tblStyle w:val="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765"/>
              <w:gridCol w:w="2054"/>
              <w:gridCol w:w="626"/>
              <w:gridCol w:w="974"/>
              <w:gridCol w:w="651"/>
              <w:gridCol w:w="698"/>
              <w:gridCol w:w="1786"/>
            </w:tblGrid>
            <w:tr w14:paraId="73915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919" w:type="dxa"/>
                  <w:vAlign w:val="center"/>
                </w:tcPr>
                <w:p w14:paraId="3C568301">
                  <w:pPr>
                    <w:pStyle w:val="13"/>
                    <w:spacing w:line="240" w:lineRule="auto"/>
                    <w:rPr>
                      <w:u w:val="single"/>
                    </w:rPr>
                  </w:pPr>
                  <w:r>
                    <w:rPr>
                      <w:u w:val="single"/>
                    </w:rPr>
                    <w:t>排放口编号</w:t>
                  </w:r>
                </w:p>
              </w:tc>
              <w:tc>
                <w:tcPr>
                  <w:tcW w:w="908" w:type="dxa"/>
                  <w:vAlign w:val="center"/>
                </w:tcPr>
                <w:p w14:paraId="5DEC9C72">
                  <w:pPr>
                    <w:pStyle w:val="13"/>
                    <w:spacing w:line="240" w:lineRule="auto"/>
                    <w:rPr>
                      <w:u w:val="single"/>
                    </w:rPr>
                  </w:pPr>
                  <w:r>
                    <w:rPr>
                      <w:u w:val="single"/>
                    </w:rPr>
                    <w:t>排放口名称</w:t>
                  </w:r>
                </w:p>
              </w:tc>
              <w:tc>
                <w:tcPr>
                  <w:tcW w:w="999" w:type="dxa"/>
                  <w:vAlign w:val="center"/>
                </w:tcPr>
                <w:p w14:paraId="593AAE82">
                  <w:pPr>
                    <w:pStyle w:val="13"/>
                    <w:spacing w:line="240" w:lineRule="auto"/>
                    <w:rPr>
                      <w:u w:val="single"/>
                    </w:rPr>
                  </w:pPr>
                  <w:r>
                    <w:rPr>
                      <w:u w:val="single"/>
                    </w:rPr>
                    <w:t>地理坐标</w:t>
                  </w:r>
                </w:p>
              </w:tc>
              <w:tc>
                <w:tcPr>
                  <w:tcW w:w="710" w:type="dxa"/>
                  <w:vAlign w:val="center"/>
                </w:tcPr>
                <w:p w14:paraId="3B459D0D">
                  <w:pPr>
                    <w:pStyle w:val="13"/>
                    <w:spacing w:line="240" w:lineRule="auto"/>
                    <w:rPr>
                      <w:u w:val="single"/>
                    </w:rPr>
                  </w:pPr>
                  <w:r>
                    <w:rPr>
                      <w:u w:val="single"/>
                    </w:rPr>
                    <w:t>排放方式</w:t>
                  </w:r>
                </w:p>
              </w:tc>
              <w:tc>
                <w:tcPr>
                  <w:tcW w:w="1116" w:type="dxa"/>
                  <w:vAlign w:val="center"/>
                </w:tcPr>
                <w:p w14:paraId="78A6BDCE">
                  <w:pPr>
                    <w:pStyle w:val="13"/>
                    <w:spacing w:line="240" w:lineRule="auto"/>
                    <w:rPr>
                      <w:u w:val="single"/>
                    </w:rPr>
                  </w:pPr>
                  <w:r>
                    <w:rPr>
                      <w:u w:val="single"/>
                    </w:rPr>
                    <w:t>排放规律</w:t>
                  </w:r>
                </w:p>
              </w:tc>
              <w:tc>
                <w:tcPr>
                  <w:tcW w:w="746" w:type="dxa"/>
                  <w:vAlign w:val="center"/>
                </w:tcPr>
                <w:p w14:paraId="2FCC8FFB">
                  <w:pPr>
                    <w:pStyle w:val="13"/>
                    <w:spacing w:line="240" w:lineRule="auto"/>
                    <w:rPr>
                      <w:u w:val="single"/>
                    </w:rPr>
                  </w:pPr>
                  <w:r>
                    <w:rPr>
                      <w:u w:val="single"/>
                    </w:rPr>
                    <w:t>排放去向</w:t>
                  </w:r>
                </w:p>
              </w:tc>
              <w:tc>
                <w:tcPr>
                  <w:tcW w:w="812" w:type="dxa"/>
                  <w:vAlign w:val="center"/>
                </w:tcPr>
                <w:p w14:paraId="55BC6BAC">
                  <w:pPr>
                    <w:pStyle w:val="13"/>
                    <w:spacing w:line="240" w:lineRule="auto"/>
                    <w:rPr>
                      <w:u w:val="single"/>
                    </w:rPr>
                  </w:pPr>
                  <w:r>
                    <w:rPr>
                      <w:u w:val="single"/>
                    </w:rPr>
                    <w:t>排放口类型</w:t>
                  </w:r>
                </w:p>
              </w:tc>
              <w:tc>
                <w:tcPr>
                  <w:tcW w:w="1897" w:type="dxa"/>
                  <w:vAlign w:val="center"/>
                </w:tcPr>
                <w:p w14:paraId="387B7702">
                  <w:pPr>
                    <w:pStyle w:val="13"/>
                    <w:spacing w:line="240" w:lineRule="auto"/>
                    <w:rPr>
                      <w:u w:val="single"/>
                    </w:rPr>
                  </w:pPr>
                  <w:r>
                    <w:rPr>
                      <w:u w:val="single"/>
                    </w:rPr>
                    <w:t>排放标准</w:t>
                  </w:r>
                </w:p>
              </w:tc>
            </w:tr>
            <w:tr w14:paraId="25820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919" w:type="dxa"/>
                  <w:vAlign w:val="center"/>
                </w:tcPr>
                <w:p w14:paraId="2930E22E">
                  <w:pPr>
                    <w:pStyle w:val="13"/>
                    <w:spacing w:line="240" w:lineRule="auto"/>
                    <w:rPr>
                      <w:u w:val="single"/>
                    </w:rPr>
                  </w:pPr>
                  <w:r>
                    <w:rPr>
                      <w:u w:val="single"/>
                    </w:rPr>
                    <w:t>DW001</w:t>
                  </w:r>
                </w:p>
              </w:tc>
              <w:tc>
                <w:tcPr>
                  <w:tcW w:w="908" w:type="dxa"/>
                  <w:vAlign w:val="center"/>
                </w:tcPr>
                <w:p w14:paraId="5361C9DD">
                  <w:pPr>
                    <w:pStyle w:val="13"/>
                    <w:spacing w:line="240" w:lineRule="auto"/>
                    <w:rPr>
                      <w:u w:val="single"/>
                    </w:rPr>
                  </w:pPr>
                  <w:r>
                    <w:rPr>
                      <w:u w:val="single"/>
                    </w:rPr>
                    <w:t>医疗</w:t>
                  </w:r>
                </w:p>
                <w:p w14:paraId="698A043D">
                  <w:pPr>
                    <w:pStyle w:val="13"/>
                    <w:spacing w:line="240" w:lineRule="auto"/>
                    <w:rPr>
                      <w:u w:val="single"/>
                    </w:rPr>
                  </w:pPr>
                  <w:r>
                    <w:rPr>
                      <w:u w:val="single"/>
                    </w:rPr>
                    <w:t>污水</w:t>
                  </w:r>
                </w:p>
              </w:tc>
              <w:tc>
                <w:tcPr>
                  <w:tcW w:w="999" w:type="dxa"/>
                  <w:vAlign w:val="center"/>
                </w:tcPr>
                <w:p w14:paraId="6ED19A02">
                  <w:pPr>
                    <w:pStyle w:val="13"/>
                    <w:spacing w:line="240" w:lineRule="auto"/>
                    <w:rPr>
                      <w:u w:val="single"/>
                    </w:rPr>
                  </w:pPr>
                  <w:r>
                    <w:rPr>
                      <w:u w:val="single"/>
                    </w:rPr>
                    <w:t>东经：</w:t>
                  </w:r>
                  <w:r>
                    <w:rPr>
                      <w:rFonts w:hint="eastAsia"/>
                      <w:u w:val="single"/>
                    </w:rPr>
                    <w:t>111°49′5.402″</w:t>
                  </w:r>
                  <w:r>
                    <w:rPr>
                      <w:u w:val="single"/>
                    </w:rPr>
                    <w:t>；北纬：</w:t>
                  </w:r>
                  <w:r>
                    <w:rPr>
                      <w:rFonts w:hint="eastAsia"/>
                      <w:u w:val="single"/>
                    </w:rPr>
                    <w:t>26°6′59.124″</w:t>
                  </w:r>
                </w:p>
              </w:tc>
              <w:tc>
                <w:tcPr>
                  <w:tcW w:w="710" w:type="dxa"/>
                  <w:vAlign w:val="center"/>
                </w:tcPr>
                <w:p w14:paraId="7A0E369C">
                  <w:pPr>
                    <w:pStyle w:val="13"/>
                    <w:spacing w:line="240" w:lineRule="auto"/>
                    <w:rPr>
                      <w:u w:val="single"/>
                    </w:rPr>
                  </w:pPr>
                  <w:r>
                    <w:rPr>
                      <w:u w:val="single"/>
                    </w:rPr>
                    <w:t>间接排放</w:t>
                  </w:r>
                </w:p>
              </w:tc>
              <w:tc>
                <w:tcPr>
                  <w:tcW w:w="1116" w:type="dxa"/>
                  <w:vAlign w:val="center"/>
                </w:tcPr>
                <w:p w14:paraId="0E51F07E">
                  <w:pPr>
                    <w:pStyle w:val="13"/>
                    <w:spacing w:line="240" w:lineRule="auto"/>
                    <w:rPr>
                      <w:u w:val="single"/>
                    </w:rPr>
                  </w:pPr>
                  <w:r>
                    <w:rPr>
                      <w:u w:val="single"/>
                    </w:rPr>
                    <w:t>间断排放，排放期间流量不稳定且无规律，但不属于冲击型排放</w:t>
                  </w:r>
                </w:p>
              </w:tc>
              <w:tc>
                <w:tcPr>
                  <w:tcW w:w="746" w:type="dxa"/>
                  <w:vAlign w:val="center"/>
                </w:tcPr>
                <w:p w14:paraId="7883C1F3">
                  <w:pPr>
                    <w:pStyle w:val="13"/>
                    <w:spacing w:line="240" w:lineRule="auto"/>
                    <w:rPr>
                      <w:u w:val="single"/>
                    </w:rPr>
                  </w:pPr>
                  <w:r>
                    <w:rPr>
                      <w:rFonts w:hint="eastAsia"/>
                      <w:u w:val="single"/>
                    </w:rPr>
                    <w:t>茶林镇污水处理厂</w:t>
                  </w:r>
                </w:p>
              </w:tc>
              <w:tc>
                <w:tcPr>
                  <w:tcW w:w="812" w:type="dxa"/>
                  <w:vAlign w:val="center"/>
                </w:tcPr>
                <w:p w14:paraId="71B47F9C">
                  <w:pPr>
                    <w:pStyle w:val="13"/>
                    <w:spacing w:line="240" w:lineRule="auto"/>
                    <w:rPr>
                      <w:u w:val="single"/>
                    </w:rPr>
                  </w:pPr>
                  <w:r>
                    <w:rPr>
                      <w:u w:val="single"/>
                    </w:rPr>
                    <w:t>一般排放口</w:t>
                  </w:r>
                </w:p>
              </w:tc>
              <w:tc>
                <w:tcPr>
                  <w:tcW w:w="1897" w:type="dxa"/>
                  <w:vAlign w:val="center"/>
                </w:tcPr>
                <w:p w14:paraId="34907916">
                  <w:pPr>
                    <w:pStyle w:val="13"/>
                    <w:spacing w:line="240" w:lineRule="auto"/>
                    <w:rPr>
                      <w:u w:val="single"/>
                    </w:rPr>
                  </w:pPr>
                  <w:r>
                    <w:rPr>
                      <w:u w:val="single"/>
                    </w:rPr>
                    <w:t>《医疗机构水污染物排放标准》GB18466-2005中预处理标准，且需满足污水处理厂的进水水质要求</w:t>
                  </w:r>
                </w:p>
              </w:tc>
            </w:tr>
          </w:tbl>
          <w:p w14:paraId="30B03453">
            <w:pPr>
              <w:ind w:firstLine="482" w:firstLineChars="200"/>
              <w:rPr>
                <w:b/>
                <w:bCs/>
                <w:snapToGrid w:val="0"/>
                <w:kern w:val="0"/>
                <w:szCs w:val="24"/>
                <w:lang w:bidi="zh-CN"/>
              </w:rPr>
            </w:pPr>
            <w:r>
              <w:rPr>
                <w:b/>
                <w:bCs/>
                <w:snapToGrid w:val="0"/>
                <w:kern w:val="0"/>
                <w:szCs w:val="24"/>
                <w:lang w:bidi="zh-CN"/>
              </w:rPr>
              <w:t xml:space="preserve">1.2 </w:t>
            </w:r>
            <w:r>
              <w:rPr>
                <w:rFonts w:hint="eastAsia"/>
                <w:b/>
                <w:bCs/>
                <w:snapToGrid w:val="0"/>
                <w:kern w:val="0"/>
                <w:szCs w:val="24"/>
                <w:lang w:bidi="zh-CN"/>
              </w:rPr>
              <w:t>项目废水处理可行性分析</w:t>
            </w:r>
          </w:p>
          <w:p w14:paraId="72D42E37">
            <w:pPr>
              <w:ind w:firstLine="480" w:firstLineChars="200"/>
              <w:rPr>
                <w:snapToGrid w:val="0"/>
                <w:kern w:val="0"/>
                <w:szCs w:val="24"/>
                <w:lang w:bidi="zh-CN"/>
              </w:rPr>
            </w:pPr>
            <w:r>
              <w:rPr>
                <w:rFonts w:hint="eastAsia"/>
                <w:snapToGrid w:val="0"/>
                <w:kern w:val="0"/>
                <w:szCs w:val="24"/>
                <w:lang w:bidi="zh-CN"/>
              </w:rPr>
              <w:t>（1）废水规模处理可行性分析</w:t>
            </w:r>
          </w:p>
          <w:p w14:paraId="50FDDA8E">
            <w:pPr>
              <w:ind w:firstLine="480" w:firstLineChars="200"/>
            </w:pPr>
            <w:r>
              <w:rPr>
                <w:rFonts w:hint="eastAsia"/>
                <w:snapToGrid w:val="0"/>
                <w:kern w:val="0"/>
                <w:szCs w:val="24"/>
                <w:lang w:bidi="zh-CN"/>
              </w:rPr>
              <w:t>根据前文计算，废水排放量为</w:t>
            </w:r>
            <w:r>
              <w:t>8.5</w:t>
            </w:r>
            <w:r>
              <w:rPr>
                <w:rFonts w:hint="eastAsia"/>
              </w:rPr>
              <w:t>m³/d，</w:t>
            </w:r>
            <w:r>
              <w:t>3102.5</w:t>
            </w:r>
            <w:r>
              <w:rPr>
                <w:rFonts w:hint="eastAsia"/>
              </w:rPr>
              <w:t xml:space="preserve">m³/a，根据《医院污水处理工程技术规范》（HJ2029-2013），污水处理设施设计裕量系数 20%，确定本项目污水处理设施处理能力不应低于 </w:t>
            </w:r>
            <w:r>
              <w:t>10.625</w:t>
            </w:r>
            <w:r>
              <w:rPr>
                <w:rFonts w:hint="eastAsia"/>
              </w:rPr>
              <w:t>m</w:t>
            </w:r>
            <w:r>
              <w:rPr>
                <w:rFonts w:hint="eastAsia"/>
                <w:vertAlign w:val="superscript"/>
              </w:rPr>
              <w:t>3</w:t>
            </w:r>
            <w:r>
              <w:rPr>
                <w:rFonts w:hint="eastAsia"/>
              </w:rPr>
              <w:t>/d。因此，卫生院本次改扩建后建设污水处理能力为1</w:t>
            </w:r>
            <w:r>
              <w:t>5m</w:t>
            </w:r>
            <w:r>
              <w:rPr>
                <w:vertAlign w:val="superscript"/>
              </w:rPr>
              <w:t>3</w:t>
            </w:r>
            <w:r>
              <w:t>/d</w:t>
            </w:r>
            <w:r>
              <w:rPr>
                <w:rFonts w:hint="eastAsia"/>
              </w:rPr>
              <w:t>的废水处理系统，能够满足项目建成后废水处理能力要求。</w:t>
            </w:r>
          </w:p>
          <w:p w14:paraId="35B66D0D">
            <w:pPr>
              <w:ind w:firstLine="480" w:firstLineChars="200"/>
            </w:pPr>
            <w:r>
              <w:rPr>
                <w:rFonts w:hint="eastAsia"/>
              </w:rPr>
              <w:t>（2）废水处理工艺可行性分析</w:t>
            </w:r>
          </w:p>
          <w:p w14:paraId="3282620B">
            <w:pPr>
              <w:ind w:firstLine="480" w:firstLineChars="200"/>
            </w:pPr>
            <w:r>
              <w:rPr>
                <w:rFonts w:hint="eastAsia"/>
              </w:rPr>
              <w:t>本次项目产生的废水主要为医务人员生活污水（含食堂废水）以及医疗污水，根据《排污许可证申请与核发技术规范医疗机构》（HJ 1105-2020）的解释，医疗机构污水指：“医疗机构门诊、病房、手术室、各类检验室、病理解剖室、放射室、洗衣房、太平间等处排出的诊疗、生活及粪便污水。当医疗机构其他污水与上述污水混合排出时一律视为医疗污水”。</w:t>
            </w:r>
          </w:p>
          <w:p w14:paraId="4EF7FD10">
            <w:pPr>
              <w:ind w:firstLine="480" w:firstLineChars="200"/>
            </w:pPr>
            <w:r>
              <w:rPr>
                <w:rFonts w:hint="eastAsia"/>
              </w:rPr>
              <w:t>故根据《排污许可证申请与核发技术规范医疗机构》（H</w:t>
            </w:r>
            <w:r>
              <w:t>J 1105-2020</w:t>
            </w:r>
            <w:r>
              <w:rPr>
                <w:rFonts w:hint="eastAsia"/>
              </w:rPr>
              <w:t>）附录A中表A</w:t>
            </w:r>
            <w:r>
              <w:t xml:space="preserve">.2 </w:t>
            </w:r>
            <w:r>
              <w:rPr>
                <w:rFonts w:hint="eastAsia"/>
              </w:rPr>
              <w:t>医疗机构排污单位污水治理可行技术参照表可知，医疗污水处理可行技术如下：</w:t>
            </w:r>
          </w:p>
          <w:p w14:paraId="1AB42A14">
            <w:pPr>
              <w:jc w:val="center"/>
              <w:rPr>
                <w:b/>
                <w:bCs/>
              </w:rPr>
            </w:pPr>
            <w:r>
              <w:rPr>
                <w:rFonts w:hint="eastAsia"/>
                <w:b/>
                <w:bCs/>
              </w:rPr>
              <w:t>表4</w:t>
            </w:r>
            <w:r>
              <w:rPr>
                <w:b/>
                <w:bCs/>
              </w:rPr>
              <w:t xml:space="preserve">-3 </w:t>
            </w:r>
            <w:r>
              <w:rPr>
                <w:rFonts w:hint="eastAsia"/>
                <w:b/>
                <w:bCs/>
              </w:rPr>
              <w:t>医疗机构排污单位污水治理可行技术参照表</w:t>
            </w:r>
          </w:p>
          <w:p w14:paraId="0CBEFDE3">
            <w:r>
              <w:drawing>
                <wp:inline distT="0" distB="0" distL="0" distR="0">
                  <wp:extent cx="5314950" cy="1908810"/>
                  <wp:effectExtent l="0" t="0" r="0" b="0"/>
                  <wp:docPr id="193223821" name="图片 19322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821" name="图片 193223821"/>
                          <pic:cNvPicPr>
                            <a:picLocks noChangeAspect="1"/>
                          </pic:cNvPicPr>
                        </pic:nvPicPr>
                        <pic:blipFill>
                          <a:blip r:embed="rId11"/>
                          <a:stretch>
                            <a:fillRect/>
                          </a:stretch>
                        </pic:blipFill>
                        <pic:spPr>
                          <a:xfrm>
                            <a:off x="0" y="0"/>
                            <a:ext cx="5325784" cy="1912939"/>
                          </a:xfrm>
                          <a:prstGeom prst="rect">
                            <a:avLst/>
                          </a:prstGeom>
                        </pic:spPr>
                      </pic:pic>
                    </a:graphicData>
                  </a:graphic>
                </wp:inline>
              </w:drawing>
            </w:r>
          </w:p>
          <w:p w14:paraId="161E9EEC">
            <w:pPr>
              <w:ind w:firstLine="480" w:firstLineChars="200"/>
              <w:jc w:val="both"/>
              <w:rPr>
                <w:szCs w:val="21"/>
              </w:rPr>
            </w:pPr>
            <w:r>
              <w:rPr>
                <w:rFonts w:hint="eastAsia"/>
                <w:szCs w:val="21"/>
              </w:rPr>
              <w:t>本次项目完成后，卫生院医疗污水采用“隔油池+化粪池+沉淀+（二氧化氯消毒粉）消毒工序”处理后排入茶林镇污水处理厂处理达标后排入小河江；卫生院隔油池+化粪池+沉淀工序属于一级处理工序，后医疗污水采用二氧化氯消毒粉消毒属于消毒工艺，属于医疗污水排入城镇污水处理厂可行技术，故本项目废水处理工艺可行。</w:t>
            </w:r>
          </w:p>
          <w:p w14:paraId="2FC372B7">
            <w:pPr>
              <w:pStyle w:val="14"/>
              <w:ind w:firstLine="480"/>
              <w:rPr>
                <w:rFonts w:eastAsiaTheme="minorEastAsia"/>
              </w:rPr>
            </w:pPr>
            <w:r>
              <w:rPr>
                <w:rFonts w:hint="eastAsia"/>
              </w:rPr>
              <w:t>经过查询，二氧化氯消毒粉具有高效杀菌能力，能够杀灭多种细菌、病毒和原生动物，有效去除水中的病原微生物</w:t>
            </w:r>
            <w:r>
              <w:rPr>
                <w:rFonts w:hint="eastAsia" w:ascii="MS Mincho" w:hAnsi="MS Mincho" w:eastAsia="MS Mincho" w:cs="MS Mincho"/>
              </w:rPr>
              <w:t>‌</w:t>
            </w:r>
            <w:r>
              <w:rPr>
                <w:rFonts w:hint="eastAsia"/>
              </w:rPr>
              <w:t>。其次，二氧化氯消毒粉在处理过程中不会产生二次污染，且残余量低，对环境友好</w:t>
            </w:r>
            <w:r>
              <w:rPr>
                <w:rFonts w:hint="eastAsia" w:ascii="MS Mincho" w:hAnsi="MS Mincho" w:eastAsia="MS Mincho" w:cs="MS Mincho"/>
              </w:rPr>
              <w:t>‌</w:t>
            </w:r>
            <w:r>
              <w:rPr>
                <w:rFonts w:hint="eastAsia"/>
              </w:rPr>
              <w:t>。此外，二氧化氯消毒粉的使用方便，只需根据污水的水质和排放标准调整使用量即可，为防止二氧化氯对受纳污水处理厂进行冲击，经过查询二氧化氯在医疗废水处理中，投放比重在5</w:t>
            </w:r>
            <w:r>
              <w:t>0mg/L~150</w:t>
            </w:r>
            <w:r>
              <w:rPr>
                <w:rFonts w:hint="eastAsia"/>
              </w:rPr>
              <w:t>mg/</w:t>
            </w:r>
            <w:r>
              <w:t>L</w:t>
            </w:r>
            <w:r>
              <w:rPr>
                <w:rFonts w:hint="eastAsia"/>
              </w:rPr>
              <w:t>，故建议企业二氧化氯消毒粉每天投放量不超过1</w:t>
            </w:r>
            <w:r>
              <w:t>.275kg</w:t>
            </w:r>
            <w:r>
              <w:rPr>
                <w:rFonts w:hint="eastAsia"/>
              </w:rPr>
              <w:t>。</w:t>
            </w:r>
          </w:p>
          <w:p w14:paraId="30BA6DAD">
            <w:pPr>
              <w:ind w:firstLine="480" w:firstLineChars="200"/>
              <w:jc w:val="both"/>
              <w:rPr>
                <w:szCs w:val="21"/>
              </w:rPr>
            </w:pPr>
            <w:r>
              <w:rPr>
                <w:rFonts w:hint="eastAsia"/>
                <w:szCs w:val="21"/>
              </w:rPr>
              <w:t>（3）污水进入茶林镇污水处理厂的可行性分析</w:t>
            </w:r>
          </w:p>
          <w:p w14:paraId="7B0E429C">
            <w:pPr>
              <w:ind w:firstLine="480" w:firstLineChars="200"/>
              <w:rPr>
                <w:snapToGrid w:val="0"/>
                <w:kern w:val="0"/>
                <w:szCs w:val="24"/>
                <w:lang w:bidi="zh-CN"/>
              </w:rPr>
            </w:pPr>
            <w:r>
              <w:rPr>
                <w:rFonts w:hint="eastAsia"/>
                <w:snapToGrid w:val="0"/>
                <w:kern w:val="0"/>
                <w:szCs w:val="24"/>
                <w:lang w:bidi="zh-CN"/>
              </w:rPr>
              <w:t>根据核实，卫生院属于茶林镇污水处理厂纳污范围，区域污水管网已建设完善，本项目外排污水可经市政污水管网进入茶林镇污水处理厂。茶林镇污水处理厂目前处理能力为</w:t>
            </w:r>
            <w:r>
              <w:rPr>
                <w:snapToGrid w:val="0"/>
                <w:kern w:val="0"/>
                <w:szCs w:val="24"/>
                <w:lang w:bidi="zh-CN"/>
              </w:rPr>
              <w:t>600</w:t>
            </w:r>
            <w:r>
              <w:rPr>
                <w:rFonts w:hint="eastAsia"/>
                <w:snapToGrid w:val="0"/>
                <w:kern w:val="0"/>
                <w:szCs w:val="24"/>
                <w:lang w:bidi="zh-CN"/>
              </w:rPr>
              <w:t>m</w:t>
            </w:r>
            <w:r>
              <w:rPr>
                <w:rFonts w:hint="eastAsia"/>
                <w:snapToGrid w:val="0"/>
                <w:kern w:val="0"/>
                <w:szCs w:val="24"/>
                <w:vertAlign w:val="superscript"/>
                <w:lang w:bidi="zh-CN"/>
              </w:rPr>
              <w:t>3</w:t>
            </w:r>
            <w:r>
              <w:rPr>
                <w:rFonts w:hint="eastAsia"/>
                <w:snapToGrid w:val="0"/>
                <w:kern w:val="0"/>
                <w:szCs w:val="24"/>
                <w:lang w:bidi="zh-CN"/>
              </w:rPr>
              <w:t>/d，本项目污水产生量为</w:t>
            </w:r>
            <w:r>
              <w:rPr>
                <w:snapToGrid w:val="0"/>
                <w:kern w:val="0"/>
                <w:szCs w:val="24"/>
                <w:lang w:bidi="zh-CN"/>
              </w:rPr>
              <w:t>8.5</w:t>
            </w:r>
            <w:r>
              <w:rPr>
                <w:rFonts w:hint="eastAsia"/>
                <w:snapToGrid w:val="0"/>
                <w:kern w:val="0"/>
                <w:szCs w:val="24"/>
                <w:lang w:bidi="zh-CN"/>
              </w:rPr>
              <w:t>m</w:t>
            </w:r>
            <w:r>
              <w:rPr>
                <w:rFonts w:hint="eastAsia"/>
                <w:snapToGrid w:val="0"/>
                <w:kern w:val="0"/>
                <w:szCs w:val="24"/>
                <w:vertAlign w:val="superscript"/>
                <w:lang w:bidi="zh-CN"/>
              </w:rPr>
              <w:t>3</w:t>
            </w:r>
            <w:r>
              <w:rPr>
                <w:rFonts w:hint="eastAsia"/>
                <w:snapToGrid w:val="0"/>
                <w:kern w:val="0"/>
                <w:szCs w:val="24"/>
                <w:lang w:bidi="zh-CN"/>
              </w:rPr>
              <w:t>/d，占比为</w:t>
            </w:r>
            <w:r>
              <w:rPr>
                <w:snapToGrid w:val="0"/>
                <w:kern w:val="0"/>
                <w:szCs w:val="24"/>
                <w:lang w:bidi="zh-CN"/>
              </w:rPr>
              <w:t>1.42</w:t>
            </w:r>
            <w:r>
              <w:rPr>
                <w:rFonts w:hint="eastAsia"/>
                <w:snapToGrid w:val="0"/>
                <w:kern w:val="0"/>
                <w:szCs w:val="24"/>
                <w:lang w:bidi="zh-CN"/>
              </w:rPr>
              <w:t>%，不会对茶林镇污水处理厂的处理负荷造成冲击。</w:t>
            </w:r>
          </w:p>
          <w:p w14:paraId="5BA9C800">
            <w:pPr>
              <w:ind w:firstLine="482" w:firstLineChars="200"/>
              <w:rPr>
                <w:b/>
                <w:bCs/>
                <w:snapToGrid w:val="0"/>
                <w:kern w:val="0"/>
                <w:szCs w:val="24"/>
                <w:lang w:bidi="zh-CN"/>
              </w:rPr>
            </w:pPr>
            <w:r>
              <w:rPr>
                <w:rFonts w:hint="eastAsia"/>
                <w:b/>
                <w:bCs/>
                <w:snapToGrid w:val="0"/>
                <w:kern w:val="0"/>
                <w:szCs w:val="24"/>
                <w:lang w:bidi="zh-CN"/>
              </w:rPr>
              <w:t>1</w:t>
            </w:r>
            <w:r>
              <w:rPr>
                <w:b/>
                <w:bCs/>
                <w:snapToGrid w:val="0"/>
                <w:kern w:val="0"/>
                <w:szCs w:val="24"/>
                <w:lang w:bidi="zh-CN"/>
              </w:rPr>
              <w:t>.3</w:t>
            </w:r>
            <w:r>
              <w:rPr>
                <w:rFonts w:hint="eastAsia"/>
                <w:b/>
                <w:bCs/>
                <w:snapToGrid w:val="0"/>
                <w:kern w:val="0"/>
                <w:szCs w:val="24"/>
                <w:lang w:bidi="zh-CN"/>
              </w:rPr>
              <w:t>监测要求</w:t>
            </w:r>
          </w:p>
          <w:p w14:paraId="1B6A965F">
            <w:pPr>
              <w:widowControl/>
              <w:adjustRightInd w:val="0"/>
              <w:snapToGrid w:val="0"/>
              <w:ind w:firstLine="480" w:firstLineChars="200"/>
              <w:jc w:val="both"/>
              <w:rPr>
                <w:szCs w:val="24"/>
                <w:u w:val="single"/>
              </w:rPr>
            </w:pPr>
            <w:r>
              <w:rPr>
                <w:szCs w:val="24"/>
                <w:u w:val="single"/>
              </w:rPr>
              <w:t>根据</w:t>
            </w:r>
            <w:bookmarkStart w:id="55" w:name="OLE_LINK22"/>
            <w:r>
              <w:rPr>
                <w:rFonts w:hint="eastAsia"/>
                <w:szCs w:val="24"/>
                <w:u w:val="single"/>
              </w:rPr>
              <w:t>《</w:t>
            </w:r>
            <w:r>
              <w:rPr>
                <w:szCs w:val="24"/>
                <w:u w:val="single"/>
              </w:rPr>
              <w:t>排污许可证申请与核发技术规范 医疗机构</w:t>
            </w:r>
            <w:r>
              <w:rPr>
                <w:rFonts w:hint="eastAsia"/>
                <w:szCs w:val="24"/>
                <w:u w:val="single"/>
              </w:rPr>
              <w:t>》（</w:t>
            </w:r>
            <w:r>
              <w:rPr>
                <w:szCs w:val="24"/>
                <w:u w:val="single"/>
              </w:rPr>
              <w:t>HJ 1105—2020</w:t>
            </w:r>
            <w:r>
              <w:rPr>
                <w:rFonts w:hint="eastAsia"/>
                <w:szCs w:val="24"/>
                <w:u w:val="single"/>
              </w:rPr>
              <w:t>）</w:t>
            </w:r>
            <w:r>
              <w:rPr>
                <w:szCs w:val="24"/>
                <w:u w:val="single"/>
              </w:rPr>
              <w:t>、《排污许可证申请与核发技术规范 总则》（HJ942—2018）、《排污单位自行监测技术指南 总则》（HJ 819-2017）等规范的要求</w:t>
            </w:r>
            <w:bookmarkEnd w:id="55"/>
            <w:r>
              <w:rPr>
                <w:szCs w:val="24"/>
                <w:u w:val="single"/>
              </w:rPr>
              <w:t>，运营期过程中应对废水排放进行自行监测，监测计划见下表。</w:t>
            </w:r>
          </w:p>
          <w:p w14:paraId="63178357">
            <w:pPr>
              <w:adjustRightInd w:val="0"/>
              <w:snapToGrid w:val="0"/>
              <w:spacing w:line="240" w:lineRule="auto"/>
              <w:jc w:val="center"/>
              <w:rPr>
                <w:b/>
                <w:szCs w:val="24"/>
                <w:u w:val="single"/>
              </w:rPr>
            </w:pPr>
            <w:r>
              <w:rPr>
                <w:b/>
                <w:szCs w:val="24"/>
                <w:u w:val="single"/>
              </w:rPr>
              <w:t>表4-4 运营期</w:t>
            </w:r>
            <w:r>
              <w:rPr>
                <w:rFonts w:hint="eastAsia"/>
                <w:b/>
                <w:szCs w:val="24"/>
                <w:u w:val="single"/>
              </w:rPr>
              <w:t>废水</w:t>
            </w:r>
            <w:r>
              <w:rPr>
                <w:b/>
                <w:szCs w:val="24"/>
                <w:u w:val="single"/>
              </w:rPr>
              <w:t>排放环境监测计划</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185"/>
              <w:gridCol w:w="1526"/>
              <w:gridCol w:w="1320"/>
              <w:gridCol w:w="3648"/>
            </w:tblGrid>
            <w:tr w14:paraId="29054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tcBorders>
                    <w:bottom w:val="single" w:color="auto" w:sz="4" w:space="0"/>
                  </w:tcBorders>
                  <w:shd w:val="clear" w:color="auto" w:fill="auto"/>
                  <w:vAlign w:val="center"/>
                </w:tcPr>
                <w:p w14:paraId="18168FBA">
                  <w:pPr>
                    <w:adjustRightInd w:val="0"/>
                    <w:snapToGrid w:val="0"/>
                    <w:spacing w:before="62" w:beforeLines="20" w:after="62" w:afterLines="20" w:line="240" w:lineRule="auto"/>
                    <w:jc w:val="center"/>
                    <w:rPr>
                      <w:b/>
                      <w:bCs/>
                      <w:color w:val="000000"/>
                      <w:sz w:val="21"/>
                      <w:szCs w:val="24"/>
                      <w:u w:val="single"/>
                    </w:rPr>
                  </w:pPr>
                  <w:r>
                    <w:rPr>
                      <w:b/>
                      <w:bCs/>
                      <w:color w:val="000000"/>
                      <w:sz w:val="21"/>
                      <w:szCs w:val="24"/>
                      <w:u w:val="single"/>
                    </w:rPr>
                    <w:t>类别</w:t>
                  </w:r>
                </w:p>
              </w:tc>
              <w:tc>
                <w:tcPr>
                  <w:tcW w:w="1199" w:type="dxa"/>
                  <w:shd w:val="clear" w:color="auto" w:fill="auto"/>
                  <w:vAlign w:val="center"/>
                </w:tcPr>
                <w:p w14:paraId="3494945C">
                  <w:pPr>
                    <w:adjustRightInd w:val="0"/>
                    <w:snapToGrid w:val="0"/>
                    <w:spacing w:before="62" w:beforeLines="20" w:after="62" w:afterLines="20" w:line="240" w:lineRule="auto"/>
                    <w:jc w:val="center"/>
                    <w:rPr>
                      <w:b/>
                      <w:bCs/>
                      <w:color w:val="000000"/>
                      <w:sz w:val="21"/>
                      <w:szCs w:val="24"/>
                      <w:u w:val="single"/>
                    </w:rPr>
                  </w:pPr>
                  <w:r>
                    <w:rPr>
                      <w:b/>
                      <w:bCs/>
                      <w:color w:val="000000"/>
                      <w:sz w:val="21"/>
                      <w:szCs w:val="24"/>
                      <w:u w:val="single"/>
                    </w:rPr>
                    <w:t>测点位置</w:t>
                  </w:r>
                </w:p>
              </w:tc>
              <w:tc>
                <w:tcPr>
                  <w:tcW w:w="1541" w:type="dxa"/>
                  <w:shd w:val="clear" w:color="auto" w:fill="auto"/>
                  <w:vAlign w:val="center"/>
                </w:tcPr>
                <w:p w14:paraId="430C5355">
                  <w:pPr>
                    <w:adjustRightInd w:val="0"/>
                    <w:snapToGrid w:val="0"/>
                    <w:spacing w:before="62" w:beforeLines="20" w:after="62" w:afterLines="20" w:line="240" w:lineRule="auto"/>
                    <w:jc w:val="center"/>
                    <w:rPr>
                      <w:b/>
                      <w:bCs/>
                      <w:color w:val="000000"/>
                      <w:sz w:val="21"/>
                      <w:szCs w:val="24"/>
                      <w:u w:val="single"/>
                    </w:rPr>
                  </w:pPr>
                  <w:r>
                    <w:rPr>
                      <w:b/>
                      <w:bCs/>
                      <w:color w:val="000000"/>
                      <w:sz w:val="21"/>
                      <w:szCs w:val="24"/>
                      <w:u w:val="single"/>
                    </w:rPr>
                    <w:t>监测项目</w:t>
                  </w:r>
                </w:p>
              </w:tc>
              <w:tc>
                <w:tcPr>
                  <w:tcW w:w="1337" w:type="dxa"/>
                  <w:shd w:val="clear" w:color="auto" w:fill="auto"/>
                  <w:vAlign w:val="center"/>
                </w:tcPr>
                <w:p w14:paraId="4AE5A969">
                  <w:pPr>
                    <w:adjustRightInd w:val="0"/>
                    <w:snapToGrid w:val="0"/>
                    <w:spacing w:before="62" w:beforeLines="20" w:after="62" w:afterLines="20" w:line="240" w:lineRule="auto"/>
                    <w:jc w:val="center"/>
                    <w:rPr>
                      <w:b/>
                      <w:bCs/>
                      <w:color w:val="000000"/>
                      <w:sz w:val="21"/>
                      <w:szCs w:val="24"/>
                      <w:u w:val="single"/>
                    </w:rPr>
                  </w:pPr>
                  <w:r>
                    <w:rPr>
                      <w:b/>
                      <w:bCs/>
                      <w:color w:val="000000"/>
                      <w:sz w:val="21"/>
                      <w:szCs w:val="24"/>
                      <w:u w:val="single"/>
                    </w:rPr>
                    <w:t>监测频次</w:t>
                  </w:r>
                </w:p>
              </w:tc>
              <w:tc>
                <w:tcPr>
                  <w:tcW w:w="3681" w:type="dxa"/>
                  <w:shd w:val="clear" w:color="auto" w:fill="auto"/>
                  <w:vAlign w:val="center"/>
                </w:tcPr>
                <w:p w14:paraId="67A11090">
                  <w:pPr>
                    <w:adjustRightInd w:val="0"/>
                    <w:snapToGrid w:val="0"/>
                    <w:spacing w:before="62" w:beforeLines="20" w:after="62" w:afterLines="20" w:line="240" w:lineRule="auto"/>
                    <w:jc w:val="center"/>
                    <w:rPr>
                      <w:b/>
                      <w:bCs/>
                      <w:color w:val="000000"/>
                      <w:sz w:val="21"/>
                      <w:szCs w:val="24"/>
                      <w:u w:val="single"/>
                    </w:rPr>
                  </w:pPr>
                  <w:r>
                    <w:rPr>
                      <w:b/>
                      <w:bCs/>
                      <w:color w:val="000000"/>
                      <w:sz w:val="21"/>
                      <w:szCs w:val="24"/>
                      <w:u w:val="single"/>
                    </w:rPr>
                    <w:t>执行标准</w:t>
                  </w:r>
                </w:p>
              </w:tc>
            </w:tr>
            <w:tr w14:paraId="5340D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restart"/>
                  <w:vAlign w:val="center"/>
                </w:tcPr>
                <w:p w14:paraId="49C0C93E">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废水</w:t>
                  </w:r>
                </w:p>
              </w:tc>
              <w:tc>
                <w:tcPr>
                  <w:tcW w:w="1199" w:type="dxa"/>
                  <w:vMerge w:val="restart"/>
                  <w:vAlign w:val="center"/>
                </w:tcPr>
                <w:p w14:paraId="03F53CEC">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污水处理站排放口</w:t>
                  </w:r>
                </w:p>
              </w:tc>
              <w:tc>
                <w:tcPr>
                  <w:tcW w:w="1541" w:type="dxa"/>
                  <w:vAlign w:val="center"/>
                </w:tcPr>
                <w:p w14:paraId="722EE4B3">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COD</w:t>
                  </w:r>
                </w:p>
              </w:tc>
              <w:tc>
                <w:tcPr>
                  <w:tcW w:w="1337" w:type="dxa"/>
                  <w:vAlign w:val="center"/>
                </w:tcPr>
                <w:p w14:paraId="0C08A55C">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1次/周</w:t>
                  </w:r>
                </w:p>
              </w:tc>
              <w:tc>
                <w:tcPr>
                  <w:tcW w:w="3681" w:type="dxa"/>
                  <w:vMerge w:val="restart"/>
                  <w:vAlign w:val="center"/>
                </w:tcPr>
                <w:p w14:paraId="42BC777D">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《医疗机构水污染物排放标准》）（GB18466-2005）表2预处理标准</w:t>
                  </w:r>
                </w:p>
              </w:tc>
            </w:tr>
            <w:tr w14:paraId="4A2B6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continue"/>
                  <w:vAlign w:val="center"/>
                </w:tcPr>
                <w:p w14:paraId="78B89676">
                  <w:pPr>
                    <w:adjustRightInd w:val="0"/>
                    <w:snapToGrid w:val="0"/>
                    <w:ind w:firstLine="420" w:firstLineChars="200"/>
                    <w:rPr>
                      <w:sz w:val="21"/>
                      <w:szCs w:val="20"/>
                      <w:u w:val="single"/>
                    </w:rPr>
                  </w:pPr>
                </w:p>
              </w:tc>
              <w:tc>
                <w:tcPr>
                  <w:tcW w:w="1199" w:type="dxa"/>
                  <w:vMerge w:val="continue"/>
                  <w:vAlign w:val="center"/>
                </w:tcPr>
                <w:p w14:paraId="5C712B0C">
                  <w:pPr>
                    <w:adjustRightInd w:val="0"/>
                    <w:snapToGrid w:val="0"/>
                    <w:ind w:firstLine="420" w:firstLineChars="200"/>
                    <w:rPr>
                      <w:sz w:val="21"/>
                      <w:szCs w:val="20"/>
                      <w:u w:val="single"/>
                    </w:rPr>
                  </w:pPr>
                </w:p>
              </w:tc>
              <w:tc>
                <w:tcPr>
                  <w:tcW w:w="1541" w:type="dxa"/>
                  <w:vAlign w:val="center"/>
                </w:tcPr>
                <w:p w14:paraId="7C8D40B3">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BOD</w:t>
                  </w:r>
                  <w:r>
                    <w:rPr>
                      <w:color w:val="000000"/>
                      <w:sz w:val="21"/>
                      <w:szCs w:val="24"/>
                      <w:u w:val="single"/>
                      <w:vertAlign w:val="subscript"/>
                    </w:rPr>
                    <w:t>5</w:t>
                  </w:r>
                </w:p>
              </w:tc>
              <w:tc>
                <w:tcPr>
                  <w:tcW w:w="1337" w:type="dxa"/>
                  <w:vAlign w:val="center"/>
                </w:tcPr>
                <w:p w14:paraId="51F80EF5">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1次/季度</w:t>
                  </w:r>
                </w:p>
              </w:tc>
              <w:tc>
                <w:tcPr>
                  <w:tcW w:w="3681" w:type="dxa"/>
                  <w:vMerge w:val="continue"/>
                  <w:vAlign w:val="center"/>
                </w:tcPr>
                <w:p w14:paraId="3462B7A1">
                  <w:pPr>
                    <w:adjustRightInd w:val="0"/>
                    <w:snapToGrid w:val="0"/>
                    <w:ind w:firstLine="420" w:firstLineChars="200"/>
                    <w:rPr>
                      <w:sz w:val="21"/>
                      <w:szCs w:val="20"/>
                      <w:u w:val="single"/>
                    </w:rPr>
                  </w:pPr>
                </w:p>
              </w:tc>
            </w:tr>
            <w:tr w14:paraId="37823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continue"/>
                  <w:vAlign w:val="center"/>
                </w:tcPr>
                <w:p w14:paraId="7D3BABF9">
                  <w:pPr>
                    <w:adjustRightInd w:val="0"/>
                    <w:snapToGrid w:val="0"/>
                    <w:ind w:firstLine="420" w:firstLineChars="200"/>
                    <w:rPr>
                      <w:sz w:val="21"/>
                      <w:szCs w:val="20"/>
                      <w:u w:val="single"/>
                    </w:rPr>
                  </w:pPr>
                </w:p>
              </w:tc>
              <w:tc>
                <w:tcPr>
                  <w:tcW w:w="1199" w:type="dxa"/>
                  <w:vMerge w:val="continue"/>
                  <w:vAlign w:val="center"/>
                </w:tcPr>
                <w:p w14:paraId="75416B3C">
                  <w:pPr>
                    <w:adjustRightInd w:val="0"/>
                    <w:snapToGrid w:val="0"/>
                    <w:ind w:firstLine="420" w:firstLineChars="200"/>
                    <w:rPr>
                      <w:sz w:val="21"/>
                      <w:szCs w:val="20"/>
                      <w:u w:val="single"/>
                    </w:rPr>
                  </w:pPr>
                </w:p>
              </w:tc>
              <w:tc>
                <w:tcPr>
                  <w:tcW w:w="1541" w:type="dxa"/>
                  <w:vAlign w:val="center"/>
                </w:tcPr>
                <w:p w14:paraId="69BBDFB2">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SS</w:t>
                  </w:r>
                </w:p>
              </w:tc>
              <w:tc>
                <w:tcPr>
                  <w:tcW w:w="1337" w:type="dxa"/>
                  <w:vAlign w:val="center"/>
                </w:tcPr>
                <w:p w14:paraId="67819617">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1次/周</w:t>
                  </w:r>
                </w:p>
              </w:tc>
              <w:tc>
                <w:tcPr>
                  <w:tcW w:w="3681" w:type="dxa"/>
                  <w:vMerge w:val="continue"/>
                  <w:vAlign w:val="center"/>
                </w:tcPr>
                <w:p w14:paraId="7167D5CE">
                  <w:pPr>
                    <w:adjustRightInd w:val="0"/>
                    <w:snapToGrid w:val="0"/>
                    <w:ind w:firstLine="420" w:firstLineChars="200"/>
                    <w:rPr>
                      <w:sz w:val="21"/>
                      <w:szCs w:val="20"/>
                      <w:u w:val="single"/>
                    </w:rPr>
                  </w:pPr>
                </w:p>
              </w:tc>
            </w:tr>
            <w:tr w14:paraId="04C2E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continue"/>
                  <w:vAlign w:val="center"/>
                </w:tcPr>
                <w:p w14:paraId="1A895543">
                  <w:pPr>
                    <w:adjustRightInd w:val="0"/>
                    <w:snapToGrid w:val="0"/>
                    <w:ind w:firstLine="420" w:firstLineChars="200"/>
                    <w:rPr>
                      <w:sz w:val="21"/>
                      <w:szCs w:val="20"/>
                      <w:u w:val="single"/>
                    </w:rPr>
                  </w:pPr>
                </w:p>
              </w:tc>
              <w:tc>
                <w:tcPr>
                  <w:tcW w:w="1199" w:type="dxa"/>
                  <w:vMerge w:val="continue"/>
                  <w:vAlign w:val="center"/>
                </w:tcPr>
                <w:p w14:paraId="2198ADE1">
                  <w:pPr>
                    <w:adjustRightInd w:val="0"/>
                    <w:snapToGrid w:val="0"/>
                    <w:ind w:firstLine="420" w:firstLineChars="200"/>
                    <w:rPr>
                      <w:sz w:val="21"/>
                      <w:szCs w:val="20"/>
                      <w:u w:val="single"/>
                    </w:rPr>
                  </w:pPr>
                </w:p>
              </w:tc>
              <w:tc>
                <w:tcPr>
                  <w:tcW w:w="1541" w:type="dxa"/>
                  <w:vAlign w:val="center"/>
                </w:tcPr>
                <w:p w14:paraId="79534F9A">
                  <w:pPr>
                    <w:adjustRightInd w:val="0"/>
                    <w:snapToGrid w:val="0"/>
                    <w:spacing w:before="62" w:beforeLines="20" w:after="62" w:afterLines="20" w:line="240" w:lineRule="auto"/>
                    <w:jc w:val="center"/>
                    <w:rPr>
                      <w:color w:val="000000"/>
                      <w:sz w:val="21"/>
                      <w:szCs w:val="24"/>
                      <w:u w:val="single"/>
                    </w:rPr>
                  </w:pPr>
                  <w:r>
                    <w:rPr>
                      <w:rFonts w:hint="eastAsia"/>
                      <w:color w:val="000000"/>
                      <w:sz w:val="21"/>
                      <w:szCs w:val="24"/>
                      <w:u w:val="single"/>
                    </w:rPr>
                    <w:t>氨氮</w:t>
                  </w:r>
                </w:p>
              </w:tc>
              <w:tc>
                <w:tcPr>
                  <w:tcW w:w="1337" w:type="dxa"/>
                  <w:vAlign w:val="center"/>
                </w:tcPr>
                <w:p w14:paraId="0C21B000">
                  <w:pPr>
                    <w:adjustRightInd w:val="0"/>
                    <w:snapToGrid w:val="0"/>
                    <w:spacing w:before="62" w:beforeLines="20" w:after="62" w:afterLines="20" w:line="240" w:lineRule="auto"/>
                    <w:jc w:val="center"/>
                    <w:rPr>
                      <w:color w:val="000000"/>
                      <w:sz w:val="21"/>
                      <w:szCs w:val="24"/>
                      <w:u w:val="single"/>
                    </w:rPr>
                  </w:pPr>
                  <w:r>
                    <w:rPr>
                      <w:rFonts w:hint="eastAsia"/>
                      <w:color w:val="000000"/>
                      <w:sz w:val="21"/>
                      <w:szCs w:val="24"/>
                      <w:u w:val="single"/>
                    </w:rPr>
                    <w:t>/</w:t>
                  </w:r>
                </w:p>
              </w:tc>
              <w:tc>
                <w:tcPr>
                  <w:tcW w:w="3681" w:type="dxa"/>
                  <w:vMerge w:val="continue"/>
                  <w:vAlign w:val="center"/>
                </w:tcPr>
                <w:p w14:paraId="03699698">
                  <w:pPr>
                    <w:adjustRightInd w:val="0"/>
                    <w:snapToGrid w:val="0"/>
                    <w:ind w:firstLine="420" w:firstLineChars="200"/>
                    <w:rPr>
                      <w:sz w:val="21"/>
                      <w:szCs w:val="20"/>
                      <w:u w:val="single"/>
                    </w:rPr>
                  </w:pPr>
                </w:p>
              </w:tc>
            </w:tr>
            <w:tr w14:paraId="13850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continue"/>
                  <w:vAlign w:val="center"/>
                </w:tcPr>
                <w:p w14:paraId="442DD478">
                  <w:pPr>
                    <w:adjustRightInd w:val="0"/>
                    <w:snapToGrid w:val="0"/>
                    <w:ind w:firstLine="420" w:firstLineChars="200"/>
                    <w:rPr>
                      <w:sz w:val="21"/>
                      <w:szCs w:val="20"/>
                      <w:u w:val="single"/>
                    </w:rPr>
                  </w:pPr>
                </w:p>
              </w:tc>
              <w:tc>
                <w:tcPr>
                  <w:tcW w:w="1199" w:type="dxa"/>
                  <w:vMerge w:val="continue"/>
                  <w:vAlign w:val="center"/>
                </w:tcPr>
                <w:p w14:paraId="2D3CDA1C">
                  <w:pPr>
                    <w:adjustRightInd w:val="0"/>
                    <w:snapToGrid w:val="0"/>
                    <w:ind w:firstLine="420" w:firstLineChars="200"/>
                    <w:rPr>
                      <w:sz w:val="21"/>
                      <w:szCs w:val="20"/>
                      <w:u w:val="single"/>
                    </w:rPr>
                  </w:pPr>
                </w:p>
              </w:tc>
              <w:tc>
                <w:tcPr>
                  <w:tcW w:w="1541" w:type="dxa"/>
                  <w:vAlign w:val="center"/>
                </w:tcPr>
                <w:p w14:paraId="128827D6">
                  <w:pPr>
                    <w:adjustRightInd w:val="0"/>
                    <w:snapToGrid w:val="0"/>
                    <w:spacing w:before="62" w:beforeLines="20" w:after="62" w:afterLines="20" w:line="240" w:lineRule="auto"/>
                    <w:jc w:val="center"/>
                    <w:rPr>
                      <w:color w:val="000000"/>
                      <w:sz w:val="21"/>
                      <w:szCs w:val="24"/>
                      <w:u w:val="single"/>
                    </w:rPr>
                  </w:pPr>
                  <w:r>
                    <w:rPr>
                      <w:rFonts w:hint="eastAsia"/>
                      <w:color w:val="000000"/>
                      <w:sz w:val="21"/>
                      <w:szCs w:val="24"/>
                      <w:u w:val="single"/>
                    </w:rPr>
                    <w:t>动植物油</w:t>
                  </w:r>
                </w:p>
              </w:tc>
              <w:tc>
                <w:tcPr>
                  <w:tcW w:w="1337" w:type="dxa"/>
                  <w:vAlign w:val="center"/>
                </w:tcPr>
                <w:p w14:paraId="0C6CF10C">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1次/季度</w:t>
                  </w:r>
                </w:p>
              </w:tc>
              <w:tc>
                <w:tcPr>
                  <w:tcW w:w="3681" w:type="dxa"/>
                  <w:vMerge w:val="continue"/>
                  <w:vAlign w:val="center"/>
                </w:tcPr>
                <w:p w14:paraId="4A680498">
                  <w:pPr>
                    <w:adjustRightInd w:val="0"/>
                    <w:snapToGrid w:val="0"/>
                    <w:ind w:firstLine="420" w:firstLineChars="200"/>
                    <w:rPr>
                      <w:sz w:val="21"/>
                      <w:szCs w:val="20"/>
                      <w:u w:val="single"/>
                    </w:rPr>
                  </w:pPr>
                </w:p>
              </w:tc>
            </w:tr>
            <w:tr w14:paraId="07515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continue"/>
                  <w:vAlign w:val="center"/>
                </w:tcPr>
                <w:p w14:paraId="72691EEC">
                  <w:pPr>
                    <w:adjustRightInd w:val="0"/>
                    <w:snapToGrid w:val="0"/>
                    <w:ind w:firstLine="420" w:firstLineChars="200"/>
                    <w:rPr>
                      <w:sz w:val="21"/>
                      <w:szCs w:val="20"/>
                      <w:u w:val="single"/>
                    </w:rPr>
                  </w:pPr>
                </w:p>
              </w:tc>
              <w:tc>
                <w:tcPr>
                  <w:tcW w:w="1199" w:type="dxa"/>
                  <w:vMerge w:val="continue"/>
                  <w:vAlign w:val="center"/>
                </w:tcPr>
                <w:p w14:paraId="45D4357A">
                  <w:pPr>
                    <w:adjustRightInd w:val="0"/>
                    <w:snapToGrid w:val="0"/>
                    <w:ind w:firstLine="420" w:firstLineChars="200"/>
                    <w:rPr>
                      <w:sz w:val="21"/>
                      <w:szCs w:val="20"/>
                      <w:u w:val="single"/>
                    </w:rPr>
                  </w:pPr>
                </w:p>
              </w:tc>
              <w:tc>
                <w:tcPr>
                  <w:tcW w:w="1541" w:type="dxa"/>
                  <w:vAlign w:val="center"/>
                </w:tcPr>
                <w:p w14:paraId="791458F7">
                  <w:pPr>
                    <w:adjustRightInd w:val="0"/>
                    <w:snapToGrid w:val="0"/>
                    <w:spacing w:before="62" w:beforeLines="20" w:after="62" w:afterLines="20" w:line="240" w:lineRule="auto"/>
                    <w:jc w:val="center"/>
                    <w:rPr>
                      <w:color w:val="000000"/>
                      <w:sz w:val="21"/>
                      <w:szCs w:val="24"/>
                      <w:u w:val="single"/>
                    </w:rPr>
                  </w:pPr>
                  <w:r>
                    <w:rPr>
                      <w:rFonts w:hint="eastAsia"/>
                      <w:color w:val="000000"/>
                      <w:sz w:val="21"/>
                      <w:szCs w:val="24"/>
                      <w:u w:val="single"/>
                    </w:rPr>
                    <w:t>余氯</w:t>
                  </w:r>
                </w:p>
              </w:tc>
              <w:tc>
                <w:tcPr>
                  <w:tcW w:w="1337" w:type="dxa"/>
                  <w:vAlign w:val="center"/>
                </w:tcPr>
                <w:p w14:paraId="1CA5FF28">
                  <w:pPr>
                    <w:adjustRightInd w:val="0"/>
                    <w:snapToGrid w:val="0"/>
                    <w:spacing w:before="62" w:beforeLines="20" w:after="62" w:afterLines="20" w:line="240" w:lineRule="auto"/>
                    <w:jc w:val="center"/>
                    <w:rPr>
                      <w:color w:val="000000"/>
                      <w:sz w:val="21"/>
                      <w:szCs w:val="24"/>
                      <w:u w:val="single"/>
                    </w:rPr>
                  </w:pPr>
                  <w:r>
                    <w:rPr>
                      <w:rFonts w:hint="eastAsia"/>
                      <w:color w:val="000000"/>
                      <w:sz w:val="21"/>
                      <w:szCs w:val="24"/>
                      <w:u w:val="single"/>
                    </w:rPr>
                    <w:t>/</w:t>
                  </w:r>
                </w:p>
              </w:tc>
              <w:tc>
                <w:tcPr>
                  <w:tcW w:w="3681" w:type="dxa"/>
                  <w:vMerge w:val="continue"/>
                  <w:vAlign w:val="center"/>
                </w:tcPr>
                <w:p w14:paraId="273A6C16">
                  <w:pPr>
                    <w:adjustRightInd w:val="0"/>
                    <w:snapToGrid w:val="0"/>
                    <w:ind w:firstLine="420" w:firstLineChars="200"/>
                    <w:rPr>
                      <w:sz w:val="21"/>
                      <w:szCs w:val="20"/>
                      <w:u w:val="single"/>
                    </w:rPr>
                  </w:pPr>
                </w:p>
              </w:tc>
            </w:tr>
            <w:tr w14:paraId="33D0D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90" w:type="dxa"/>
                  <w:vMerge w:val="continue"/>
                  <w:vAlign w:val="center"/>
                </w:tcPr>
                <w:p w14:paraId="56992BC4">
                  <w:pPr>
                    <w:adjustRightInd w:val="0"/>
                    <w:snapToGrid w:val="0"/>
                    <w:ind w:firstLine="420" w:firstLineChars="200"/>
                    <w:rPr>
                      <w:sz w:val="21"/>
                      <w:szCs w:val="20"/>
                      <w:u w:val="single"/>
                    </w:rPr>
                  </w:pPr>
                </w:p>
              </w:tc>
              <w:tc>
                <w:tcPr>
                  <w:tcW w:w="1199" w:type="dxa"/>
                  <w:vMerge w:val="continue"/>
                  <w:vAlign w:val="center"/>
                </w:tcPr>
                <w:p w14:paraId="4D30F317">
                  <w:pPr>
                    <w:adjustRightInd w:val="0"/>
                    <w:snapToGrid w:val="0"/>
                    <w:ind w:firstLine="420" w:firstLineChars="200"/>
                    <w:rPr>
                      <w:sz w:val="21"/>
                      <w:szCs w:val="20"/>
                      <w:u w:val="single"/>
                    </w:rPr>
                  </w:pPr>
                </w:p>
              </w:tc>
              <w:tc>
                <w:tcPr>
                  <w:tcW w:w="1541" w:type="dxa"/>
                  <w:vAlign w:val="center"/>
                </w:tcPr>
                <w:p w14:paraId="69EAA0FB">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粪大肠杆菌</w:t>
                  </w:r>
                </w:p>
              </w:tc>
              <w:tc>
                <w:tcPr>
                  <w:tcW w:w="1337" w:type="dxa"/>
                  <w:vAlign w:val="center"/>
                </w:tcPr>
                <w:p w14:paraId="692E9F0A">
                  <w:pPr>
                    <w:adjustRightInd w:val="0"/>
                    <w:snapToGrid w:val="0"/>
                    <w:spacing w:before="62" w:beforeLines="20" w:after="62" w:afterLines="20" w:line="240" w:lineRule="auto"/>
                    <w:jc w:val="center"/>
                    <w:rPr>
                      <w:color w:val="000000"/>
                      <w:sz w:val="21"/>
                      <w:szCs w:val="24"/>
                      <w:u w:val="single"/>
                    </w:rPr>
                  </w:pPr>
                  <w:r>
                    <w:rPr>
                      <w:color w:val="000000"/>
                      <w:sz w:val="21"/>
                      <w:szCs w:val="24"/>
                      <w:u w:val="single"/>
                    </w:rPr>
                    <w:t>1次/月</w:t>
                  </w:r>
                </w:p>
              </w:tc>
              <w:tc>
                <w:tcPr>
                  <w:tcW w:w="3681" w:type="dxa"/>
                  <w:vMerge w:val="continue"/>
                  <w:vAlign w:val="center"/>
                </w:tcPr>
                <w:p w14:paraId="3C982504">
                  <w:pPr>
                    <w:adjustRightInd w:val="0"/>
                    <w:snapToGrid w:val="0"/>
                    <w:ind w:firstLine="420" w:firstLineChars="200"/>
                    <w:rPr>
                      <w:sz w:val="21"/>
                      <w:szCs w:val="20"/>
                      <w:u w:val="single"/>
                    </w:rPr>
                  </w:pPr>
                </w:p>
              </w:tc>
            </w:tr>
          </w:tbl>
          <w:p w14:paraId="41F27DFF">
            <w:pPr>
              <w:ind w:firstLine="482"/>
              <w:jc w:val="both"/>
              <w:rPr>
                <w:b/>
                <w:szCs w:val="24"/>
              </w:rPr>
            </w:pPr>
            <w:r>
              <w:rPr>
                <w:b/>
                <w:szCs w:val="24"/>
              </w:rPr>
              <w:t>2</w:t>
            </w:r>
            <w:r>
              <w:rPr>
                <w:rFonts w:hint="eastAsia"/>
                <w:b/>
                <w:szCs w:val="24"/>
              </w:rPr>
              <w:t>、运营期大气环境影响及保护措施</w:t>
            </w:r>
          </w:p>
          <w:p w14:paraId="0ED88026">
            <w:pPr>
              <w:ind w:firstLine="480" w:firstLineChars="200"/>
            </w:pPr>
            <w:r>
              <w:rPr>
                <w:rFonts w:hint="eastAsia"/>
              </w:rPr>
              <w:t>本项目运营期产生的大气污染物主要为污水处理设施废气、医疗废物暂存间臭气以及食堂油烟。</w:t>
            </w:r>
          </w:p>
          <w:p w14:paraId="22B8E37C">
            <w:pPr>
              <w:autoSpaceDE w:val="0"/>
              <w:autoSpaceDN w:val="0"/>
              <w:ind w:firstLine="480"/>
              <w:rPr>
                <w:b/>
                <w:snapToGrid w:val="0"/>
                <w:kern w:val="0"/>
                <w:szCs w:val="24"/>
                <w:lang w:val="zh-CN" w:bidi="zh-CN"/>
              </w:rPr>
            </w:pPr>
            <w:r>
              <w:rPr>
                <w:b/>
                <w:snapToGrid w:val="0"/>
                <w:kern w:val="0"/>
                <w:szCs w:val="24"/>
                <w:lang w:val="zh-CN" w:bidi="zh-CN"/>
              </w:rPr>
              <w:t xml:space="preserve">2.1 </w:t>
            </w:r>
            <w:r>
              <w:rPr>
                <w:rFonts w:hint="eastAsia"/>
                <w:b/>
                <w:snapToGrid w:val="0"/>
                <w:kern w:val="0"/>
                <w:szCs w:val="24"/>
                <w:lang w:val="zh-CN" w:bidi="zh-CN"/>
              </w:rPr>
              <w:t>废气污染物排放源强</w:t>
            </w:r>
          </w:p>
          <w:p w14:paraId="29FBCFEF">
            <w:pPr>
              <w:autoSpaceDE w:val="0"/>
              <w:autoSpaceDN w:val="0"/>
              <w:ind w:firstLine="480"/>
              <w:rPr>
                <w:snapToGrid w:val="0"/>
                <w:kern w:val="0"/>
                <w:szCs w:val="24"/>
                <w:u w:val="single"/>
                <w:lang w:bidi="zh-CN"/>
              </w:rPr>
            </w:pPr>
            <w:r>
              <w:rPr>
                <w:rFonts w:hint="eastAsia"/>
                <w:snapToGrid w:val="0"/>
                <w:kern w:val="0"/>
                <w:szCs w:val="24"/>
                <w:u w:val="single"/>
                <w:lang w:bidi="zh-CN"/>
              </w:rPr>
              <w:t>（1）污水处理站废气</w:t>
            </w:r>
          </w:p>
          <w:p w14:paraId="3C64CD08">
            <w:pPr>
              <w:ind w:firstLine="480" w:firstLineChars="200"/>
              <w:rPr>
                <w:snapToGrid w:val="0"/>
                <w:kern w:val="0"/>
                <w:szCs w:val="24"/>
                <w:u w:val="single"/>
                <w:lang w:bidi="zh-CN"/>
              </w:rPr>
            </w:pPr>
            <w:r>
              <w:rPr>
                <w:rFonts w:hint="eastAsia"/>
                <w:snapToGrid w:val="0"/>
                <w:kern w:val="0"/>
                <w:szCs w:val="24"/>
                <w:u w:val="single"/>
                <w:lang w:bidi="zh-CN"/>
              </w:rPr>
              <w:t>医院污水处理站散发的恶臭气体对周围大气环境会产生一定的影响，医院污水处理站产生的恶臭气体的成分主要是NH</w:t>
            </w:r>
            <w:r>
              <w:rPr>
                <w:rFonts w:hint="eastAsia"/>
                <w:snapToGrid w:val="0"/>
                <w:kern w:val="0"/>
                <w:szCs w:val="24"/>
                <w:u w:val="single"/>
                <w:vertAlign w:val="subscript"/>
                <w:lang w:bidi="zh-CN"/>
              </w:rPr>
              <w:t>3</w:t>
            </w:r>
            <w:r>
              <w:rPr>
                <w:rFonts w:hint="eastAsia"/>
                <w:snapToGrid w:val="0"/>
                <w:kern w:val="0"/>
                <w:szCs w:val="24"/>
                <w:u w:val="single"/>
                <w:lang w:bidi="zh-CN"/>
              </w:rPr>
              <w:t>和硫化氢，有一定的刺激性。臭气污染源源强采用美国EPA对城市污水处理厂恶臭污染物产生情况的研究，每处理1g的BOD</w:t>
            </w:r>
            <w:r>
              <w:rPr>
                <w:snapToGrid w:val="0"/>
                <w:kern w:val="0"/>
                <w:szCs w:val="24"/>
                <w:u w:val="single"/>
                <w:lang w:bidi="zh-CN"/>
              </w:rPr>
              <w:t>5</w:t>
            </w:r>
            <w:r>
              <w:rPr>
                <w:rFonts w:hint="eastAsia"/>
                <w:snapToGrid w:val="0"/>
                <w:kern w:val="0"/>
                <w:szCs w:val="24"/>
                <w:u w:val="single"/>
                <w:lang w:bidi="zh-CN"/>
              </w:rPr>
              <w:t>，可产生0.0031g的NH</w:t>
            </w:r>
            <w:r>
              <w:rPr>
                <w:rFonts w:hint="eastAsia"/>
                <w:snapToGrid w:val="0"/>
                <w:kern w:val="0"/>
                <w:szCs w:val="24"/>
                <w:u w:val="single"/>
                <w:vertAlign w:val="subscript"/>
                <w:lang w:bidi="zh-CN"/>
              </w:rPr>
              <w:t>3</w:t>
            </w:r>
            <w:r>
              <w:rPr>
                <w:rFonts w:hint="eastAsia"/>
                <w:snapToGrid w:val="0"/>
                <w:kern w:val="0"/>
                <w:szCs w:val="24"/>
                <w:u w:val="single"/>
                <w:lang w:bidi="zh-CN"/>
              </w:rPr>
              <w:t>和0.00012g的H</w:t>
            </w:r>
            <w:r>
              <w:rPr>
                <w:rFonts w:hint="eastAsia"/>
                <w:snapToGrid w:val="0"/>
                <w:kern w:val="0"/>
                <w:szCs w:val="24"/>
                <w:u w:val="single"/>
                <w:vertAlign w:val="subscript"/>
                <w:lang w:bidi="zh-CN"/>
              </w:rPr>
              <w:t>2</w:t>
            </w:r>
            <w:r>
              <w:rPr>
                <w:rFonts w:hint="eastAsia"/>
                <w:snapToGrid w:val="0"/>
                <w:kern w:val="0"/>
                <w:szCs w:val="24"/>
                <w:u w:val="single"/>
                <w:lang w:bidi="zh-CN"/>
              </w:rPr>
              <w:t>S。</w:t>
            </w:r>
          </w:p>
          <w:p w14:paraId="021A7125">
            <w:pPr>
              <w:ind w:firstLine="480" w:firstLineChars="200"/>
              <w:jc w:val="both"/>
              <w:rPr>
                <w:snapToGrid w:val="0"/>
                <w:u w:val="single"/>
                <w:lang w:bidi="zh-CN"/>
              </w:rPr>
            </w:pPr>
            <w:r>
              <w:rPr>
                <w:rFonts w:hint="eastAsia"/>
                <w:szCs w:val="21"/>
                <w:u w:val="single"/>
              </w:rPr>
              <w:t>根据表4</w:t>
            </w:r>
            <w:r>
              <w:rPr>
                <w:szCs w:val="21"/>
                <w:u w:val="single"/>
              </w:rPr>
              <w:t>-1</w:t>
            </w:r>
            <w:r>
              <w:rPr>
                <w:rFonts w:hint="eastAsia"/>
                <w:szCs w:val="21"/>
                <w:u w:val="single"/>
              </w:rPr>
              <w:t>可知，</w:t>
            </w:r>
            <w:r>
              <w:rPr>
                <w:color w:val="000000"/>
                <w:u w:val="single"/>
              </w:rPr>
              <w:t>BOD5处理量为0.228t/a，经计算得出，</w:t>
            </w:r>
            <w:r>
              <w:rPr>
                <w:rFonts w:hint="eastAsia"/>
                <w:snapToGrid w:val="0"/>
                <w:u w:val="single"/>
                <w:lang w:bidi="zh-CN"/>
              </w:rPr>
              <w:t>本项目污水处理站污染物产生量约为NH</w:t>
            </w:r>
            <w:r>
              <w:rPr>
                <w:rFonts w:hint="eastAsia"/>
                <w:snapToGrid w:val="0"/>
                <w:u w:val="single"/>
                <w:vertAlign w:val="subscript"/>
                <w:lang w:bidi="zh-CN"/>
              </w:rPr>
              <w:t>3</w:t>
            </w:r>
            <w:r>
              <w:rPr>
                <w:rFonts w:hint="eastAsia"/>
                <w:snapToGrid w:val="0"/>
                <w:u w:val="single"/>
                <w:lang w:bidi="zh-CN"/>
              </w:rPr>
              <w:t>：</w:t>
            </w:r>
            <w:r>
              <w:rPr>
                <w:snapToGrid w:val="0"/>
                <w:u w:val="single"/>
                <w:lang w:bidi="zh-CN"/>
              </w:rPr>
              <w:t xml:space="preserve">0.481 </w:t>
            </w:r>
            <w:r>
              <w:rPr>
                <w:rFonts w:hint="eastAsia"/>
                <w:snapToGrid w:val="0"/>
                <w:u w:val="single"/>
                <w:lang w:bidi="zh-CN"/>
              </w:rPr>
              <w:t>kg/a、H</w:t>
            </w:r>
            <w:r>
              <w:rPr>
                <w:rFonts w:hint="eastAsia"/>
                <w:snapToGrid w:val="0"/>
                <w:u w:val="single"/>
                <w:vertAlign w:val="subscript"/>
                <w:lang w:bidi="zh-CN"/>
              </w:rPr>
              <w:t>2</w:t>
            </w:r>
            <w:r>
              <w:rPr>
                <w:rFonts w:hint="eastAsia"/>
                <w:snapToGrid w:val="0"/>
                <w:u w:val="single"/>
                <w:lang w:bidi="zh-CN"/>
              </w:rPr>
              <w:t>S：</w:t>
            </w:r>
            <w:r>
              <w:rPr>
                <w:snapToGrid w:val="0"/>
                <w:u w:val="single"/>
                <w:lang w:bidi="zh-CN"/>
              </w:rPr>
              <w:t xml:space="preserve">0.019 </w:t>
            </w:r>
            <w:r>
              <w:rPr>
                <w:rFonts w:hint="eastAsia"/>
                <w:snapToGrid w:val="0"/>
                <w:u w:val="single"/>
                <w:lang w:bidi="zh-CN"/>
              </w:rPr>
              <w:t>kg/a。项目污水处理站采取池体密闭加盖+投放除臭药剂方式，仅有极少量臭气会散逸出地面，经地表绿化带吸收及周边大气环境稀释后对周边环境影响较小，可达到《医疗机构水污染物排放标准》（GB 18466-200表3中标准。</w:t>
            </w:r>
          </w:p>
          <w:p w14:paraId="4B73459F">
            <w:pPr>
              <w:ind w:firstLine="480" w:firstLineChars="200"/>
              <w:rPr>
                <w:snapToGrid w:val="0"/>
                <w:lang w:bidi="zh-CN"/>
              </w:rPr>
            </w:pPr>
            <w:r>
              <w:rPr>
                <w:rFonts w:hint="eastAsia"/>
                <w:snapToGrid w:val="0"/>
                <w:lang w:bidi="zh-CN"/>
              </w:rPr>
              <w:t>（2）医疗废物暂存间臭气</w:t>
            </w:r>
          </w:p>
          <w:p w14:paraId="2042D2E9">
            <w:pPr>
              <w:ind w:firstLine="480" w:firstLineChars="200"/>
              <w:rPr>
                <w:snapToGrid w:val="0"/>
                <w:kern w:val="0"/>
                <w:szCs w:val="24"/>
                <w:lang w:bidi="zh-CN"/>
              </w:rPr>
            </w:pPr>
            <w:r>
              <w:rPr>
                <w:rFonts w:hint="eastAsia"/>
                <w:snapToGrid w:val="0"/>
                <w:kern w:val="0"/>
                <w:szCs w:val="24"/>
                <w:lang w:bidi="zh-CN"/>
              </w:rPr>
              <w:t>医疗废物暂存过程中会发酵产生少量的臭气，主要污染物为H</w:t>
            </w:r>
            <w:r>
              <w:rPr>
                <w:rFonts w:hint="eastAsia"/>
                <w:snapToGrid w:val="0"/>
                <w:kern w:val="0"/>
                <w:szCs w:val="24"/>
                <w:vertAlign w:val="subscript"/>
                <w:lang w:bidi="zh-CN"/>
              </w:rPr>
              <w:t>2</w:t>
            </w:r>
            <w:r>
              <w:rPr>
                <w:rFonts w:hint="eastAsia"/>
                <w:snapToGrid w:val="0"/>
                <w:kern w:val="0"/>
                <w:szCs w:val="24"/>
                <w:lang w:bidi="zh-CN"/>
              </w:rPr>
              <w:t>S和NH</w:t>
            </w:r>
            <w:r>
              <w:rPr>
                <w:rFonts w:hint="eastAsia"/>
                <w:snapToGrid w:val="0"/>
                <w:kern w:val="0"/>
                <w:szCs w:val="24"/>
                <w:vertAlign w:val="subscript"/>
                <w:lang w:bidi="zh-CN"/>
              </w:rPr>
              <w:t>3</w:t>
            </w:r>
            <w:r>
              <w:rPr>
                <w:rFonts w:hint="eastAsia"/>
                <w:snapToGrid w:val="0"/>
                <w:kern w:val="0"/>
                <w:szCs w:val="24"/>
                <w:lang w:bidi="zh-CN"/>
              </w:rPr>
              <w:t>等有机气体，由于项目医疗废物均及时交由永州市医疗废物集中处置中心集中处置，医疗废物在暂存间放置时间不长，产生的废气量较小，经加强通风后，对周边环境影响不大。</w:t>
            </w:r>
          </w:p>
          <w:p w14:paraId="3EA1FF93">
            <w:pPr>
              <w:ind w:firstLine="480" w:firstLineChars="200"/>
              <w:rPr>
                <w:snapToGrid w:val="0"/>
                <w:kern w:val="0"/>
                <w:szCs w:val="24"/>
                <w:lang w:bidi="zh-CN"/>
              </w:rPr>
            </w:pPr>
            <w:r>
              <w:rPr>
                <w:rFonts w:hint="eastAsia"/>
                <w:snapToGrid w:val="0"/>
                <w:kern w:val="0"/>
                <w:szCs w:val="24"/>
                <w:lang w:bidi="zh-CN"/>
              </w:rPr>
              <w:t>（3）食堂油烟</w:t>
            </w:r>
          </w:p>
          <w:p w14:paraId="67D67674">
            <w:pPr>
              <w:ind w:firstLine="480" w:firstLineChars="200"/>
              <w:rPr>
                <w:snapToGrid w:val="0"/>
                <w:kern w:val="0"/>
                <w:szCs w:val="24"/>
                <w:lang w:bidi="zh-CN"/>
              </w:rPr>
            </w:pPr>
            <w:r>
              <w:rPr>
                <w:rFonts w:hint="eastAsia"/>
                <w:snapToGrid w:val="0"/>
                <w:kern w:val="0"/>
                <w:szCs w:val="24"/>
                <w:lang w:bidi="zh-CN"/>
              </w:rPr>
              <w:t>本项目配备职工食堂一个，主要是为医护人员提供一日三餐，医护人员数</w:t>
            </w:r>
            <w:r>
              <w:rPr>
                <w:snapToGrid w:val="0"/>
                <w:kern w:val="0"/>
                <w:szCs w:val="24"/>
                <w:lang w:bidi="zh-CN"/>
              </w:rPr>
              <w:t>25</w:t>
            </w:r>
            <w:r>
              <w:rPr>
                <w:rFonts w:hint="eastAsia"/>
                <w:snapToGrid w:val="0"/>
                <w:kern w:val="0"/>
                <w:szCs w:val="24"/>
                <w:lang w:bidi="zh-CN"/>
              </w:rPr>
              <w:t>人（按满员计算），员工人均日食用油用量约30g/餐，则一天的食用油用量为</w:t>
            </w:r>
            <w:r>
              <w:rPr>
                <w:snapToGrid w:val="0"/>
                <w:kern w:val="0"/>
                <w:szCs w:val="24"/>
                <w:lang w:bidi="zh-CN"/>
              </w:rPr>
              <w:t>3.15</w:t>
            </w:r>
            <w:r>
              <w:rPr>
                <w:rFonts w:hint="eastAsia"/>
                <w:snapToGrid w:val="0"/>
                <w:kern w:val="0"/>
                <w:szCs w:val="24"/>
                <w:lang w:bidi="zh-CN"/>
              </w:rPr>
              <w:t>kg，根据有关统计资料，一般油烟挥发量占总耗油量的2-3%，本项目取2.5%。厂区的食堂共设置1个基准灶头，油烟净化器风机风量为</w:t>
            </w:r>
            <w:r>
              <w:rPr>
                <w:snapToGrid w:val="0"/>
                <w:kern w:val="0"/>
                <w:szCs w:val="24"/>
                <w:lang w:bidi="zh-CN"/>
              </w:rPr>
              <w:t>20</w:t>
            </w:r>
            <w:r>
              <w:rPr>
                <w:rFonts w:hint="eastAsia"/>
                <w:snapToGrid w:val="0"/>
                <w:kern w:val="0"/>
                <w:szCs w:val="24"/>
                <w:lang w:bidi="zh-CN"/>
              </w:rPr>
              <w:t>00m</w:t>
            </w:r>
            <w:r>
              <w:rPr>
                <w:rFonts w:hint="eastAsia"/>
                <w:snapToGrid w:val="0"/>
                <w:kern w:val="0"/>
                <w:szCs w:val="24"/>
                <w:vertAlign w:val="superscript"/>
                <w:lang w:bidi="zh-CN"/>
              </w:rPr>
              <w:t>3</w:t>
            </w:r>
            <w:r>
              <w:rPr>
                <w:rFonts w:hint="eastAsia"/>
                <w:snapToGrid w:val="0"/>
                <w:kern w:val="0"/>
                <w:szCs w:val="24"/>
                <w:lang w:bidi="zh-CN"/>
              </w:rPr>
              <w:t>/h，日烹饪时间平均为4h。则油烟产生量</w:t>
            </w:r>
            <w:r>
              <w:rPr>
                <w:snapToGrid w:val="0"/>
                <w:kern w:val="0"/>
                <w:szCs w:val="24"/>
                <w:lang w:bidi="zh-CN"/>
              </w:rPr>
              <w:t>28.744</w:t>
            </w:r>
            <w:r>
              <w:rPr>
                <w:rFonts w:hint="eastAsia"/>
                <w:snapToGrid w:val="0"/>
                <w:kern w:val="0"/>
                <w:szCs w:val="24"/>
                <w:lang w:bidi="zh-CN"/>
              </w:rPr>
              <w:t>kg/a（年工作日按365天计），产生效率为0.0</w:t>
            </w:r>
            <w:r>
              <w:rPr>
                <w:snapToGrid w:val="0"/>
                <w:kern w:val="0"/>
                <w:szCs w:val="24"/>
                <w:lang w:bidi="zh-CN"/>
              </w:rPr>
              <w:t>2</w:t>
            </w:r>
            <w:r>
              <w:rPr>
                <w:rFonts w:hint="eastAsia"/>
                <w:snapToGrid w:val="0"/>
                <w:kern w:val="0"/>
                <w:szCs w:val="24"/>
                <w:lang w:bidi="zh-CN"/>
              </w:rPr>
              <w:t>kg/h，产生浓度为</w:t>
            </w:r>
            <w:r>
              <w:rPr>
                <w:snapToGrid w:val="0"/>
                <w:kern w:val="0"/>
                <w:szCs w:val="24"/>
                <w:lang w:bidi="zh-CN"/>
              </w:rPr>
              <w:t>9.844</w:t>
            </w:r>
            <w:r>
              <w:rPr>
                <w:rFonts w:hint="eastAsia"/>
                <w:snapToGrid w:val="0"/>
                <w:kern w:val="0"/>
                <w:szCs w:val="24"/>
                <w:lang w:bidi="zh-CN"/>
              </w:rPr>
              <w:t>mg/m</w:t>
            </w:r>
            <w:r>
              <w:rPr>
                <w:rFonts w:hint="eastAsia"/>
                <w:snapToGrid w:val="0"/>
                <w:kern w:val="0"/>
                <w:szCs w:val="24"/>
                <w:vertAlign w:val="superscript"/>
                <w:lang w:bidi="zh-CN"/>
              </w:rPr>
              <w:t>3</w:t>
            </w:r>
            <w:r>
              <w:rPr>
                <w:rFonts w:hint="eastAsia"/>
                <w:snapToGrid w:val="0"/>
                <w:kern w:val="0"/>
                <w:szCs w:val="24"/>
                <w:lang w:bidi="zh-CN"/>
              </w:rPr>
              <w:t>。食堂安装油烟净化器，油烟净化器的净化效率按85%计算，经过净化处理后，净化后油烟排放量为4</w:t>
            </w:r>
            <w:r>
              <w:rPr>
                <w:snapToGrid w:val="0"/>
                <w:kern w:val="0"/>
                <w:szCs w:val="24"/>
                <w:lang w:bidi="zh-CN"/>
              </w:rPr>
              <w:t>.312</w:t>
            </w:r>
            <w:r>
              <w:rPr>
                <w:rFonts w:hint="eastAsia"/>
                <w:snapToGrid w:val="0"/>
                <w:kern w:val="0"/>
                <w:szCs w:val="24"/>
                <w:lang w:bidi="zh-CN"/>
              </w:rPr>
              <w:t>kg/a，排放效率为</w:t>
            </w:r>
            <w:r>
              <w:rPr>
                <w:snapToGrid w:val="0"/>
                <w:kern w:val="0"/>
                <w:szCs w:val="24"/>
                <w:lang w:bidi="zh-CN"/>
              </w:rPr>
              <w:t>0.003</w:t>
            </w:r>
            <w:r>
              <w:rPr>
                <w:rFonts w:hint="eastAsia"/>
                <w:snapToGrid w:val="0"/>
                <w:kern w:val="0"/>
                <w:szCs w:val="24"/>
                <w:lang w:bidi="zh-CN"/>
              </w:rPr>
              <w:t>kg/h，排放浓度为</w:t>
            </w:r>
            <w:r>
              <w:rPr>
                <w:snapToGrid w:val="0"/>
                <w:kern w:val="0"/>
                <w:szCs w:val="24"/>
                <w:lang w:bidi="zh-CN"/>
              </w:rPr>
              <w:t>1.477</w:t>
            </w:r>
            <w:r>
              <w:rPr>
                <w:rFonts w:hint="eastAsia"/>
                <w:snapToGrid w:val="0"/>
                <w:kern w:val="0"/>
                <w:szCs w:val="24"/>
                <w:lang w:bidi="zh-CN"/>
              </w:rPr>
              <w:t>mg/m</w:t>
            </w:r>
            <w:r>
              <w:rPr>
                <w:rFonts w:hint="eastAsia"/>
                <w:snapToGrid w:val="0"/>
                <w:kern w:val="0"/>
                <w:szCs w:val="24"/>
                <w:vertAlign w:val="superscript"/>
                <w:lang w:bidi="zh-CN"/>
              </w:rPr>
              <w:t>3</w:t>
            </w:r>
            <w:r>
              <w:rPr>
                <w:rFonts w:hint="eastAsia"/>
                <w:snapToGrid w:val="0"/>
                <w:kern w:val="0"/>
                <w:szCs w:val="24"/>
                <w:lang w:bidi="zh-CN"/>
              </w:rPr>
              <w:t>，达到《饮食业油烟排放标准》（试行）（GB18483-2001）中油烟的最高允许排放浓度2.0mg/m</w:t>
            </w:r>
            <w:r>
              <w:rPr>
                <w:rFonts w:hint="eastAsia"/>
                <w:snapToGrid w:val="0"/>
                <w:kern w:val="0"/>
                <w:szCs w:val="24"/>
                <w:vertAlign w:val="superscript"/>
                <w:lang w:bidi="zh-CN"/>
              </w:rPr>
              <w:t>3</w:t>
            </w:r>
            <w:r>
              <w:rPr>
                <w:rFonts w:hint="eastAsia"/>
                <w:snapToGrid w:val="0"/>
                <w:kern w:val="0"/>
                <w:szCs w:val="24"/>
                <w:lang w:bidi="zh-CN"/>
              </w:rPr>
              <w:t>的标准限值要求。</w:t>
            </w:r>
          </w:p>
          <w:p w14:paraId="298B27FE">
            <w:pPr>
              <w:ind w:firstLine="482" w:firstLineChars="200"/>
              <w:rPr>
                <w:b/>
                <w:bCs/>
                <w:snapToGrid w:val="0"/>
                <w:kern w:val="0"/>
                <w:szCs w:val="24"/>
                <w:lang w:bidi="zh-CN"/>
              </w:rPr>
            </w:pPr>
            <w:r>
              <w:rPr>
                <w:b/>
                <w:bCs/>
                <w:snapToGrid w:val="0"/>
                <w:kern w:val="0"/>
                <w:szCs w:val="24"/>
                <w:lang w:bidi="zh-CN"/>
              </w:rPr>
              <w:t>2.2</w:t>
            </w:r>
            <w:r>
              <w:rPr>
                <w:rFonts w:hint="eastAsia"/>
                <w:b/>
                <w:bCs/>
                <w:snapToGrid w:val="0"/>
                <w:kern w:val="0"/>
                <w:szCs w:val="24"/>
                <w:lang w:bidi="zh-CN"/>
              </w:rPr>
              <w:t>可行性分析</w:t>
            </w:r>
          </w:p>
          <w:p w14:paraId="5A8A0BAC">
            <w:pPr>
              <w:ind w:firstLine="480" w:firstLineChars="200"/>
              <w:jc w:val="both"/>
              <w:rPr>
                <w:szCs w:val="21"/>
              </w:rPr>
            </w:pPr>
            <w:r>
              <w:rPr>
                <w:rFonts w:hint="eastAsia"/>
                <w:szCs w:val="21"/>
              </w:rPr>
              <w:t>故根据《排污许可证申请与核发技术规范医疗机构》（HJ 1105-2020）附录A中表A.</w:t>
            </w:r>
            <w:r>
              <w:rPr>
                <w:szCs w:val="21"/>
              </w:rPr>
              <w:t>1</w:t>
            </w:r>
            <w:r>
              <w:rPr>
                <w:rFonts w:hint="eastAsia"/>
                <w:szCs w:val="21"/>
              </w:rPr>
              <w:t>医疗机构排污单位废气治理可行技术参照表可知，污水处理站废气可行技术如下表所示：</w:t>
            </w:r>
          </w:p>
          <w:p w14:paraId="7CEE9B80">
            <w:pPr>
              <w:jc w:val="center"/>
              <w:rPr>
                <w:b/>
                <w:bCs/>
                <w:szCs w:val="21"/>
              </w:rPr>
            </w:pPr>
            <w:r>
              <w:rPr>
                <w:rFonts w:hint="eastAsia"/>
                <w:b/>
                <w:bCs/>
                <w:szCs w:val="21"/>
              </w:rPr>
              <w:t>表4</w:t>
            </w:r>
            <w:r>
              <w:rPr>
                <w:b/>
                <w:bCs/>
                <w:szCs w:val="21"/>
              </w:rPr>
              <w:t>-5</w:t>
            </w:r>
            <w:r>
              <w:rPr>
                <w:rFonts w:hint="eastAsia"/>
                <w:b/>
                <w:bCs/>
                <w:szCs w:val="21"/>
              </w:rPr>
              <w:t>医疗机构排污单位废气治理可行技术参照表</w:t>
            </w:r>
          </w:p>
          <w:p w14:paraId="68D06B6B">
            <w:pPr>
              <w:jc w:val="both"/>
              <w:rPr>
                <w:szCs w:val="21"/>
              </w:rPr>
            </w:pPr>
            <w:r>
              <w:drawing>
                <wp:inline distT="0" distB="0" distL="0" distR="0">
                  <wp:extent cx="5314950" cy="9315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341703" cy="936248"/>
                          </a:xfrm>
                          <a:prstGeom prst="rect">
                            <a:avLst/>
                          </a:prstGeom>
                        </pic:spPr>
                      </pic:pic>
                    </a:graphicData>
                  </a:graphic>
                </wp:inline>
              </w:drawing>
            </w:r>
          </w:p>
          <w:p w14:paraId="1EB5D3B2">
            <w:pPr>
              <w:ind w:firstLine="480" w:firstLineChars="200"/>
              <w:jc w:val="both"/>
              <w:rPr>
                <w:snapToGrid w:val="0"/>
                <w:lang w:bidi="zh-CN"/>
              </w:rPr>
            </w:pPr>
            <w:r>
              <w:rPr>
                <w:rFonts w:hint="eastAsia"/>
                <w:snapToGrid w:val="0"/>
                <w:lang w:bidi="zh-CN"/>
              </w:rPr>
              <w:t>项目污水处理站</w:t>
            </w:r>
            <w:bookmarkStart w:id="56" w:name="OLE_LINK14"/>
            <w:r>
              <w:rPr>
                <w:rFonts w:hint="eastAsia"/>
                <w:snapToGrid w:val="0"/>
                <w:lang w:bidi="zh-CN"/>
              </w:rPr>
              <w:t>采取池体密闭加盖+投放除臭药剂方式</w:t>
            </w:r>
            <w:bookmarkEnd w:id="56"/>
            <w:r>
              <w:rPr>
                <w:rFonts w:hint="eastAsia"/>
                <w:snapToGrid w:val="0"/>
                <w:lang w:bidi="zh-CN"/>
              </w:rPr>
              <w:t>，处理污水处理站无组织排放废气，属于参照表中推荐可行技术，故本项目污水处理站废气处理技术可行。</w:t>
            </w:r>
          </w:p>
          <w:p w14:paraId="038123FF">
            <w:pPr>
              <w:ind w:firstLine="482" w:firstLineChars="200"/>
              <w:rPr>
                <w:b/>
                <w:bCs/>
              </w:rPr>
            </w:pPr>
            <w:r>
              <w:rPr>
                <w:b/>
                <w:bCs/>
              </w:rPr>
              <w:t>2</w:t>
            </w:r>
            <w:r>
              <w:rPr>
                <w:rFonts w:hint="eastAsia"/>
                <w:b/>
                <w:bCs/>
              </w:rPr>
              <w:t>.</w:t>
            </w:r>
            <w:r>
              <w:rPr>
                <w:b/>
                <w:bCs/>
              </w:rPr>
              <w:t xml:space="preserve">3 </w:t>
            </w:r>
            <w:r>
              <w:rPr>
                <w:rFonts w:hint="eastAsia"/>
                <w:b/>
                <w:bCs/>
              </w:rPr>
              <w:t>监测要求</w:t>
            </w:r>
          </w:p>
          <w:p w14:paraId="0C4E9979">
            <w:pPr>
              <w:ind w:firstLine="480" w:firstLineChars="200"/>
            </w:pPr>
            <w:r>
              <w:rPr>
                <w:rFonts w:hint="eastAsia"/>
              </w:rPr>
              <w:t>根据《排污许可证申请与核发技术规范 医疗机构》（HJ 1105—2020）、《排污单位自行监测技术指南 总则》（HJ 819-2017）等规范的要求，运营期过程中应对废气排放进行自行监测，监测计划见下表。</w:t>
            </w:r>
          </w:p>
          <w:p w14:paraId="3E627466">
            <w:pPr>
              <w:adjustRightInd w:val="0"/>
              <w:snapToGrid w:val="0"/>
              <w:spacing w:line="240" w:lineRule="auto"/>
              <w:jc w:val="center"/>
              <w:rPr>
                <w:b/>
                <w:szCs w:val="24"/>
              </w:rPr>
            </w:pPr>
            <w:r>
              <w:rPr>
                <w:b/>
                <w:szCs w:val="24"/>
              </w:rPr>
              <w:t>表4-6  运营期废气排放环境监测计划</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391"/>
              <w:gridCol w:w="1326"/>
              <w:gridCol w:w="892"/>
              <w:gridCol w:w="3976"/>
            </w:tblGrid>
            <w:tr w14:paraId="6B5C7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tcBorders>
                    <w:tl2br w:val="nil"/>
                    <w:tr2bl w:val="nil"/>
                  </w:tcBorders>
                  <w:shd w:val="clear" w:color="auto" w:fill="auto"/>
                  <w:vAlign w:val="center"/>
                </w:tcPr>
                <w:p w14:paraId="621844CB">
                  <w:pPr>
                    <w:adjustRightInd w:val="0"/>
                    <w:snapToGrid w:val="0"/>
                    <w:spacing w:line="240" w:lineRule="auto"/>
                    <w:jc w:val="center"/>
                    <w:rPr>
                      <w:b/>
                      <w:bCs/>
                      <w:color w:val="000000"/>
                      <w:spacing w:val="3"/>
                      <w:sz w:val="21"/>
                      <w:szCs w:val="24"/>
                    </w:rPr>
                  </w:pPr>
                  <w:r>
                    <w:rPr>
                      <w:rFonts w:hint="eastAsia"/>
                      <w:b/>
                      <w:bCs/>
                      <w:color w:val="000000"/>
                      <w:spacing w:val="3"/>
                      <w:sz w:val="21"/>
                      <w:szCs w:val="24"/>
                    </w:rPr>
                    <w:t>类别</w:t>
                  </w:r>
                </w:p>
              </w:tc>
              <w:tc>
                <w:tcPr>
                  <w:tcW w:w="1407" w:type="dxa"/>
                  <w:tcBorders>
                    <w:tl2br w:val="nil"/>
                    <w:tr2bl w:val="nil"/>
                  </w:tcBorders>
                  <w:shd w:val="clear" w:color="auto" w:fill="auto"/>
                  <w:vAlign w:val="center"/>
                </w:tcPr>
                <w:p w14:paraId="5814147C">
                  <w:pPr>
                    <w:adjustRightInd w:val="0"/>
                    <w:snapToGrid w:val="0"/>
                    <w:spacing w:line="240" w:lineRule="auto"/>
                    <w:jc w:val="center"/>
                    <w:rPr>
                      <w:b/>
                      <w:bCs/>
                      <w:color w:val="000000"/>
                      <w:spacing w:val="3"/>
                      <w:sz w:val="21"/>
                      <w:szCs w:val="24"/>
                    </w:rPr>
                  </w:pPr>
                  <w:r>
                    <w:rPr>
                      <w:rFonts w:hint="eastAsia"/>
                      <w:b/>
                      <w:bCs/>
                      <w:color w:val="000000"/>
                      <w:spacing w:val="3"/>
                      <w:sz w:val="21"/>
                      <w:szCs w:val="24"/>
                    </w:rPr>
                    <w:t>测点位置</w:t>
                  </w:r>
                </w:p>
              </w:tc>
              <w:tc>
                <w:tcPr>
                  <w:tcW w:w="1338" w:type="dxa"/>
                  <w:tcBorders>
                    <w:tl2br w:val="nil"/>
                    <w:tr2bl w:val="nil"/>
                  </w:tcBorders>
                  <w:shd w:val="clear" w:color="auto" w:fill="auto"/>
                  <w:vAlign w:val="center"/>
                </w:tcPr>
                <w:p w14:paraId="1562B2BD">
                  <w:pPr>
                    <w:adjustRightInd w:val="0"/>
                    <w:snapToGrid w:val="0"/>
                    <w:spacing w:line="240" w:lineRule="auto"/>
                    <w:jc w:val="center"/>
                    <w:rPr>
                      <w:b/>
                      <w:bCs/>
                      <w:color w:val="000000"/>
                      <w:spacing w:val="3"/>
                      <w:sz w:val="21"/>
                      <w:szCs w:val="24"/>
                    </w:rPr>
                  </w:pPr>
                  <w:r>
                    <w:rPr>
                      <w:rFonts w:hint="eastAsia"/>
                      <w:b/>
                      <w:bCs/>
                      <w:color w:val="000000"/>
                      <w:spacing w:val="3"/>
                      <w:sz w:val="21"/>
                      <w:szCs w:val="24"/>
                    </w:rPr>
                    <w:t>监测项目</w:t>
                  </w:r>
                </w:p>
              </w:tc>
              <w:tc>
                <w:tcPr>
                  <w:tcW w:w="900" w:type="dxa"/>
                  <w:tcBorders>
                    <w:tl2br w:val="nil"/>
                    <w:tr2bl w:val="nil"/>
                  </w:tcBorders>
                  <w:shd w:val="clear" w:color="auto" w:fill="auto"/>
                  <w:vAlign w:val="center"/>
                </w:tcPr>
                <w:p w14:paraId="066FC066">
                  <w:pPr>
                    <w:adjustRightInd w:val="0"/>
                    <w:snapToGrid w:val="0"/>
                    <w:spacing w:line="240" w:lineRule="auto"/>
                    <w:jc w:val="center"/>
                    <w:rPr>
                      <w:b/>
                      <w:bCs/>
                      <w:color w:val="000000"/>
                      <w:spacing w:val="3"/>
                      <w:sz w:val="21"/>
                      <w:szCs w:val="24"/>
                    </w:rPr>
                  </w:pPr>
                  <w:r>
                    <w:rPr>
                      <w:rFonts w:hint="eastAsia"/>
                      <w:b/>
                      <w:bCs/>
                      <w:color w:val="000000"/>
                      <w:spacing w:val="3"/>
                      <w:sz w:val="21"/>
                      <w:szCs w:val="24"/>
                    </w:rPr>
                    <w:t>监测频次</w:t>
                  </w:r>
                </w:p>
              </w:tc>
              <w:tc>
                <w:tcPr>
                  <w:tcW w:w="4018" w:type="dxa"/>
                  <w:tcBorders>
                    <w:tl2br w:val="nil"/>
                    <w:tr2bl w:val="nil"/>
                  </w:tcBorders>
                  <w:shd w:val="clear" w:color="auto" w:fill="auto"/>
                  <w:vAlign w:val="center"/>
                </w:tcPr>
                <w:p w14:paraId="0834C454">
                  <w:pPr>
                    <w:adjustRightInd w:val="0"/>
                    <w:snapToGrid w:val="0"/>
                    <w:spacing w:line="240" w:lineRule="auto"/>
                    <w:jc w:val="center"/>
                    <w:rPr>
                      <w:b/>
                      <w:bCs/>
                      <w:color w:val="000000"/>
                      <w:spacing w:val="3"/>
                      <w:sz w:val="21"/>
                      <w:szCs w:val="24"/>
                    </w:rPr>
                  </w:pPr>
                  <w:r>
                    <w:rPr>
                      <w:rFonts w:hint="eastAsia"/>
                      <w:b/>
                      <w:bCs/>
                      <w:color w:val="000000"/>
                      <w:spacing w:val="3"/>
                      <w:sz w:val="21"/>
                      <w:szCs w:val="24"/>
                    </w:rPr>
                    <w:t>执行标准</w:t>
                  </w:r>
                </w:p>
              </w:tc>
            </w:tr>
            <w:tr w14:paraId="5D70B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tcBorders>
                    <w:tl2br w:val="nil"/>
                    <w:tr2bl w:val="nil"/>
                  </w:tcBorders>
                  <w:vAlign w:val="center"/>
                </w:tcPr>
                <w:p w14:paraId="54800048">
                  <w:pPr>
                    <w:adjustRightInd w:val="0"/>
                    <w:snapToGrid w:val="0"/>
                    <w:spacing w:line="240" w:lineRule="auto"/>
                    <w:jc w:val="center"/>
                    <w:rPr>
                      <w:color w:val="000000"/>
                      <w:spacing w:val="3"/>
                      <w:sz w:val="21"/>
                      <w:szCs w:val="24"/>
                    </w:rPr>
                  </w:pPr>
                  <w:r>
                    <w:rPr>
                      <w:rFonts w:hint="eastAsia"/>
                      <w:color w:val="000000"/>
                      <w:spacing w:val="3"/>
                      <w:sz w:val="21"/>
                      <w:szCs w:val="24"/>
                    </w:rPr>
                    <w:t>无组织废气</w:t>
                  </w:r>
                </w:p>
              </w:tc>
              <w:tc>
                <w:tcPr>
                  <w:tcW w:w="1407" w:type="dxa"/>
                  <w:tcBorders>
                    <w:tl2br w:val="nil"/>
                    <w:tr2bl w:val="nil"/>
                  </w:tcBorders>
                  <w:vAlign w:val="center"/>
                </w:tcPr>
                <w:p w14:paraId="4D97BF6B">
                  <w:pPr>
                    <w:adjustRightInd w:val="0"/>
                    <w:snapToGrid w:val="0"/>
                    <w:spacing w:line="240" w:lineRule="auto"/>
                    <w:jc w:val="center"/>
                    <w:rPr>
                      <w:color w:val="000000"/>
                      <w:spacing w:val="3"/>
                      <w:sz w:val="21"/>
                      <w:szCs w:val="24"/>
                    </w:rPr>
                  </w:pPr>
                  <w:r>
                    <w:rPr>
                      <w:rFonts w:hint="eastAsia"/>
                      <w:color w:val="000000"/>
                      <w:spacing w:val="3"/>
                      <w:sz w:val="21"/>
                      <w:szCs w:val="24"/>
                    </w:rPr>
                    <w:t>污水处理站周界</w:t>
                  </w:r>
                </w:p>
              </w:tc>
              <w:tc>
                <w:tcPr>
                  <w:tcW w:w="1338" w:type="dxa"/>
                  <w:tcBorders>
                    <w:tl2br w:val="nil"/>
                    <w:tr2bl w:val="nil"/>
                  </w:tcBorders>
                  <w:vAlign w:val="center"/>
                </w:tcPr>
                <w:p w14:paraId="51974FF9">
                  <w:pPr>
                    <w:adjustRightInd w:val="0"/>
                    <w:snapToGrid w:val="0"/>
                    <w:spacing w:line="240" w:lineRule="auto"/>
                    <w:jc w:val="center"/>
                    <w:rPr>
                      <w:color w:val="000000"/>
                      <w:spacing w:val="3"/>
                      <w:sz w:val="21"/>
                      <w:szCs w:val="24"/>
                    </w:rPr>
                  </w:pPr>
                  <w:r>
                    <w:rPr>
                      <w:rFonts w:hint="eastAsia"/>
                      <w:color w:val="000000"/>
                      <w:spacing w:val="3"/>
                      <w:sz w:val="21"/>
                      <w:szCs w:val="24"/>
                    </w:rPr>
                    <w:t>氨、硫化氢、臭气浓度</w:t>
                  </w:r>
                </w:p>
              </w:tc>
              <w:tc>
                <w:tcPr>
                  <w:tcW w:w="900" w:type="dxa"/>
                  <w:tcBorders>
                    <w:tl2br w:val="nil"/>
                    <w:tr2bl w:val="nil"/>
                  </w:tcBorders>
                  <w:vAlign w:val="center"/>
                </w:tcPr>
                <w:p w14:paraId="34E3F713">
                  <w:pPr>
                    <w:adjustRightInd w:val="0"/>
                    <w:snapToGrid w:val="0"/>
                    <w:spacing w:line="240" w:lineRule="auto"/>
                    <w:jc w:val="center"/>
                    <w:rPr>
                      <w:color w:val="000000"/>
                      <w:spacing w:val="3"/>
                      <w:sz w:val="21"/>
                      <w:szCs w:val="24"/>
                    </w:rPr>
                  </w:pPr>
                  <w:r>
                    <w:rPr>
                      <w:rFonts w:hint="eastAsia"/>
                      <w:color w:val="000000"/>
                      <w:spacing w:val="3"/>
                      <w:sz w:val="21"/>
                      <w:szCs w:val="24"/>
                    </w:rPr>
                    <w:t>1次/季度</w:t>
                  </w:r>
                </w:p>
              </w:tc>
              <w:tc>
                <w:tcPr>
                  <w:tcW w:w="4018" w:type="dxa"/>
                  <w:tcBorders>
                    <w:tl2br w:val="nil"/>
                    <w:tr2bl w:val="nil"/>
                  </w:tcBorders>
                  <w:vAlign w:val="center"/>
                </w:tcPr>
                <w:p w14:paraId="288A51CB">
                  <w:pPr>
                    <w:adjustRightInd w:val="0"/>
                    <w:snapToGrid w:val="0"/>
                    <w:spacing w:line="240" w:lineRule="auto"/>
                    <w:jc w:val="center"/>
                    <w:rPr>
                      <w:color w:val="000000"/>
                      <w:spacing w:val="3"/>
                      <w:sz w:val="21"/>
                      <w:szCs w:val="24"/>
                    </w:rPr>
                  </w:pPr>
                  <w:r>
                    <w:rPr>
                      <w:rFonts w:hint="eastAsia"/>
                      <w:color w:val="000000"/>
                      <w:spacing w:val="3"/>
                      <w:sz w:val="21"/>
                      <w:szCs w:val="24"/>
                    </w:rPr>
                    <w:t>《医疗机构水污染物排放标准》（GB 18466-2005）表3中标准</w:t>
                  </w:r>
                </w:p>
              </w:tc>
            </w:tr>
          </w:tbl>
          <w:p w14:paraId="7DC9DA53">
            <w:pPr>
              <w:ind w:firstLine="482" w:firstLineChars="200"/>
              <w:rPr>
                <w:b/>
                <w:bCs/>
                <w:snapToGrid w:val="0"/>
                <w:kern w:val="0"/>
                <w:szCs w:val="24"/>
                <w:lang w:bidi="zh-CN"/>
              </w:rPr>
            </w:pPr>
            <w:r>
              <w:rPr>
                <w:rFonts w:hint="eastAsia"/>
                <w:b/>
                <w:bCs/>
                <w:snapToGrid w:val="0"/>
                <w:kern w:val="0"/>
                <w:szCs w:val="24"/>
                <w:lang w:bidi="zh-CN"/>
              </w:rPr>
              <w:t>4、固废</w:t>
            </w:r>
          </w:p>
          <w:p w14:paraId="43C9A102">
            <w:pPr>
              <w:ind w:firstLine="482" w:firstLineChars="200"/>
              <w:jc w:val="both"/>
              <w:rPr>
                <w:b/>
                <w:bCs/>
                <w:szCs w:val="21"/>
              </w:rPr>
            </w:pPr>
            <w:r>
              <w:rPr>
                <w:rFonts w:hint="eastAsia"/>
                <w:b/>
                <w:bCs/>
                <w:szCs w:val="21"/>
              </w:rPr>
              <w:t>4</w:t>
            </w:r>
            <w:r>
              <w:rPr>
                <w:b/>
                <w:bCs/>
                <w:szCs w:val="21"/>
              </w:rPr>
              <w:t xml:space="preserve">.1 </w:t>
            </w:r>
            <w:r>
              <w:rPr>
                <w:rFonts w:hint="eastAsia"/>
                <w:b/>
                <w:bCs/>
                <w:szCs w:val="21"/>
              </w:rPr>
              <w:t>固体废物产生量及处置措施</w:t>
            </w:r>
          </w:p>
          <w:p w14:paraId="29329123">
            <w:pPr>
              <w:ind w:firstLine="480" w:firstLineChars="200"/>
              <w:jc w:val="both"/>
              <w:rPr>
                <w:szCs w:val="21"/>
                <w:u w:val="single"/>
              </w:rPr>
            </w:pPr>
            <w:r>
              <w:rPr>
                <w:rFonts w:hint="eastAsia"/>
                <w:szCs w:val="21"/>
                <w:u w:val="single"/>
              </w:rPr>
              <w:t>项目产生的固废包括生活垃圾、医疗固废、污水处理站产生的污泥等。医疗废物来源广泛、成分复杂，如化学试剂、过期药品、一次性医用器具及手术产生的病理废物等；废物包括金属、玻璃、塑料、纸类、纱布等，往往含有大量病毒、细菌，具有较强的感染性。</w:t>
            </w:r>
          </w:p>
          <w:p w14:paraId="13F6A32A">
            <w:pPr>
              <w:ind w:firstLine="480" w:firstLineChars="200"/>
              <w:rPr>
                <w:u w:val="single"/>
              </w:rPr>
            </w:pPr>
            <w:r>
              <w:rPr>
                <w:rFonts w:hint="eastAsia"/>
                <w:u w:val="single"/>
              </w:rPr>
              <w:t>（1）生活垃圾</w:t>
            </w:r>
          </w:p>
          <w:p w14:paraId="77DE459E">
            <w:pPr>
              <w:ind w:firstLine="480" w:firstLineChars="200"/>
              <w:rPr>
                <w:u w:val="single"/>
              </w:rPr>
            </w:pPr>
            <w:r>
              <w:rPr>
                <w:rFonts w:hint="eastAsia"/>
                <w:u w:val="single"/>
              </w:rPr>
              <w:t>项目劳动定员</w:t>
            </w:r>
            <w:r>
              <w:rPr>
                <w:u w:val="single"/>
              </w:rPr>
              <w:t>25</w:t>
            </w:r>
            <w:r>
              <w:rPr>
                <w:rFonts w:hint="eastAsia"/>
                <w:u w:val="single"/>
              </w:rPr>
              <w:t>人，设置病床</w:t>
            </w:r>
            <w:r>
              <w:rPr>
                <w:u w:val="single"/>
              </w:rPr>
              <w:t>25</w:t>
            </w:r>
            <w:r>
              <w:rPr>
                <w:rFonts w:hint="eastAsia"/>
                <w:u w:val="single"/>
              </w:rPr>
              <w:t>位，生活垃圾产生量按0.5kg/人•d计，则本项目共产生生活垃圾</w:t>
            </w:r>
            <w:r>
              <w:rPr>
                <w:u w:val="single"/>
              </w:rPr>
              <w:t>25</w:t>
            </w:r>
            <w:r>
              <w:rPr>
                <w:rFonts w:hint="eastAsia"/>
                <w:u w:val="single"/>
              </w:rPr>
              <w:t>kg/d；</w:t>
            </w:r>
            <w:r>
              <w:rPr>
                <w:u w:val="single"/>
              </w:rPr>
              <w:t>9.125</w:t>
            </w:r>
            <w:r>
              <w:rPr>
                <w:rFonts w:hint="eastAsia"/>
                <w:u w:val="single"/>
              </w:rPr>
              <w:t>t/a。生活垃圾经垃圾桶收集后由当地环卫部门统一清运。</w:t>
            </w:r>
          </w:p>
          <w:p w14:paraId="2521A38E">
            <w:pPr>
              <w:ind w:firstLine="480" w:firstLineChars="200"/>
              <w:rPr>
                <w:u w:val="single"/>
              </w:rPr>
            </w:pPr>
            <w:r>
              <w:rPr>
                <w:rFonts w:hint="eastAsia"/>
                <w:u w:val="single"/>
              </w:rPr>
              <w:t>（2）医疗废物</w:t>
            </w:r>
          </w:p>
          <w:p w14:paraId="168C3A75">
            <w:pPr>
              <w:ind w:firstLine="480" w:firstLineChars="200"/>
              <w:rPr>
                <w:u w:val="single"/>
              </w:rPr>
            </w:pPr>
            <w:r>
              <w:rPr>
                <w:rFonts w:hint="eastAsia"/>
                <w:u w:val="single"/>
              </w:rPr>
              <w:t>医疗废物主要来自各种医疗诊断、治疗过程中产生的各类固体废弃物，含大量的病原微生物、寄生虫，还含有其它有害物质，本项目的医疗废物一般可分为感染性废物、损伤性废物、药物性废物、化学性废物等，具体分类详见下表。</w:t>
            </w:r>
          </w:p>
          <w:p w14:paraId="1CAB5301">
            <w:pPr>
              <w:ind w:firstLine="482" w:firstLineChars="200"/>
              <w:jc w:val="center"/>
              <w:rPr>
                <w:b/>
                <w:bCs/>
                <w:snapToGrid w:val="0"/>
                <w:kern w:val="0"/>
                <w:szCs w:val="24"/>
                <w:u w:val="single"/>
                <w:lang w:bidi="zh-CN"/>
              </w:rPr>
            </w:pPr>
            <w:r>
              <w:rPr>
                <w:rFonts w:hint="eastAsia"/>
                <w:b/>
                <w:bCs/>
                <w:snapToGrid w:val="0"/>
                <w:kern w:val="0"/>
                <w:szCs w:val="24"/>
                <w:u w:val="single"/>
                <w:lang w:bidi="zh-CN"/>
              </w:rPr>
              <w:t>表4-</w:t>
            </w:r>
            <w:r>
              <w:rPr>
                <w:b/>
                <w:bCs/>
                <w:snapToGrid w:val="0"/>
                <w:kern w:val="0"/>
                <w:szCs w:val="24"/>
                <w:u w:val="single"/>
                <w:lang w:bidi="zh-CN"/>
              </w:rPr>
              <w:t>10</w:t>
            </w:r>
            <w:r>
              <w:rPr>
                <w:rFonts w:hint="eastAsia"/>
                <w:b/>
                <w:bCs/>
                <w:snapToGrid w:val="0"/>
                <w:kern w:val="0"/>
                <w:szCs w:val="24"/>
                <w:u w:val="single"/>
                <w:lang w:bidi="zh-CN"/>
              </w:rPr>
              <w:t xml:space="preserve"> 医疗废物分类一览表</w:t>
            </w:r>
          </w:p>
          <w:tbl>
            <w:tblPr>
              <w:tblStyle w:val="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779"/>
              <w:gridCol w:w="2634"/>
              <w:gridCol w:w="2794"/>
            </w:tblGrid>
            <w:tr w14:paraId="6394F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41" w:type="pct"/>
                  <w:vAlign w:val="center"/>
                </w:tcPr>
                <w:p w14:paraId="739BFF30">
                  <w:pPr>
                    <w:autoSpaceDE w:val="0"/>
                    <w:autoSpaceDN w:val="0"/>
                    <w:spacing w:line="240" w:lineRule="auto"/>
                    <w:jc w:val="center"/>
                    <w:rPr>
                      <w:b/>
                      <w:snapToGrid w:val="0"/>
                      <w:kern w:val="0"/>
                      <w:sz w:val="21"/>
                      <w:szCs w:val="21"/>
                      <w:u w:val="single"/>
                      <w:lang w:bidi="zh-CN"/>
                    </w:rPr>
                  </w:pPr>
                  <w:r>
                    <w:rPr>
                      <w:rFonts w:hint="eastAsia"/>
                      <w:b/>
                      <w:snapToGrid w:val="0"/>
                      <w:kern w:val="0"/>
                      <w:sz w:val="21"/>
                      <w:szCs w:val="21"/>
                      <w:u w:val="single"/>
                      <w:lang w:bidi="zh-CN"/>
                    </w:rPr>
                    <w:t>类别</w:t>
                  </w:r>
                </w:p>
              </w:tc>
              <w:tc>
                <w:tcPr>
                  <w:tcW w:w="1051" w:type="pct"/>
                  <w:vAlign w:val="center"/>
                </w:tcPr>
                <w:p w14:paraId="4299CC9F">
                  <w:pPr>
                    <w:autoSpaceDE w:val="0"/>
                    <w:autoSpaceDN w:val="0"/>
                    <w:spacing w:line="240" w:lineRule="auto"/>
                    <w:jc w:val="center"/>
                    <w:rPr>
                      <w:b/>
                      <w:snapToGrid w:val="0"/>
                      <w:kern w:val="0"/>
                      <w:sz w:val="21"/>
                      <w:szCs w:val="21"/>
                      <w:u w:val="single"/>
                      <w:lang w:bidi="zh-CN"/>
                    </w:rPr>
                  </w:pPr>
                  <w:r>
                    <w:rPr>
                      <w:rFonts w:hint="eastAsia"/>
                      <w:b/>
                      <w:snapToGrid w:val="0"/>
                      <w:kern w:val="0"/>
                      <w:sz w:val="21"/>
                      <w:szCs w:val="21"/>
                      <w:u w:val="single"/>
                      <w:lang w:bidi="zh-CN"/>
                    </w:rPr>
                    <w:t>废物代码</w:t>
                  </w:r>
                </w:p>
              </w:tc>
              <w:tc>
                <w:tcPr>
                  <w:tcW w:w="1556" w:type="pct"/>
                  <w:vAlign w:val="center"/>
                </w:tcPr>
                <w:p w14:paraId="214BD717">
                  <w:pPr>
                    <w:autoSpaceDE w:val="0"/>
                    <w:autoSpaceDN w:val="0"/>
                    <w:spacing w:line="240" w:lineRule="auto"/>
                    <w:jc w:val="center"/>
                    <w:rPr>
                      <w:b/>
                      <w:snapToGrid w:val="0"/>
                      <w:kern w:val="0"/>
                      <w:sz w:val="21"/>
                      <w:szCs w:val="21"/>
                      <w:u w:val="single"/>
                      <w:lang w:bidi="zh-CN"/>
                    </w:rPr>
                  </w:pPr>
                  <w:r>
                    <w:rPr>
                      <w:rFonts w:hint="eastAsia"/>
                      <w:b/>
                      <w:snapToGrid w:val="0"/>
                      <w:kern w:val="0"/>
                      <w:sz w:val="21"/>
                      <w:szCs w:val="21"/>
                      <w:u w:val="single"/>
                      <w:lang w:bidi="zh-CN"/>
                    </w:rPr>
                    <w:t>特征</w:t>
                  </w:r>
                </w:p>
              </w:tc>
              <w:tc>
                <w:tcPr>
                  <w:tcW w:w="1650" w:type="pct"/>
                  <w:vAlign w:val="center"/>
                </w:tcPr>
                <w:p w14:paraId="75875356">
                  <w:pPr>
                    <w:autoSpaceDE w:val="0"/>
                    <w:autoSpaceDN w:val="0"/>
                    <w:spacing w:line="240" w:lineRule="auto"/>
                    <w:jc w:val="center"/>
                    <w:rPr>
                      <w:b/>
                      <w:snapToGrid w:val="0"/>
                      <w:kern w:val="0"/>
                      <w:sz w:val="21"/>
                      <w:szCs w:val="21"/>
                      <w:u w:val="single"/>
                      <w:lang w:val="zh-CN" w:bidi="zh-CN"/>
                    </w:rPr>
                  </w:pPr>
                  <w:r>
                    <w:rPr>
                      <w:rFonts w:hint="eastAsia"/>
                      <w:b/>
                      <w:snapToGrid w:val="0"/>
                      <w:kern w:val="0"/>
                      <w:sz w:val="21"/>
                      <w:szCs w:val="21"/>
                      <w:u w:val="single"/>
                      <w:lang w:bidi="zh-CN"/>
                    </w:rPr>
                    <w:t>常见组分或废物名称</w:t>
                  </w:r>
                </w:p>
              </w:tc>
            </w:tr>
            <w:tr w14:paraId="1D22E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restart"/>
                  <w:vAlign w:val="center"/>
                </w:tcPr>
                <w:p w14:paraId="65BEE02E">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HW01 -医疗废物</w:t>
                  </w:r>
                </w:p>
                <w:p w14:paraId="66AB29B6">
                  <w:pPr>
                    <w:autoSpaceDE w:val="0"/>
                    <w:autoSpaceDN w:val="0"/>
                    <w:spacing w:line="240" w:lineRule="auto"/>
                    <w:jc w:val="center"/>
                    <w:rPr>
                      <w:snapToGrid w:val="0"/>
                      <w:kern w:val="0"/>
                      <w:sz w:val="21"/>
                      <w:szCs w:val="21"/>
                      <w:u w:val="single"/>
                      <w:lang w:val="zh-CN" w:bidi="zh-CN"/>
                    </w:rPr>
                  </w:pPr>
                </w:p>
              </w:tc>
              <w:tc>
                <w:tcPr>
                  <w:tcW w:w="1051" w:type="pct"/>
                  <w:vMerge w:val="restart"/>
                  <w:vAlign w:val="center"/>
                </w:tcPr>
                <w:p w14:paraId="4F6C25A0">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感染性废物 841-001-01</w:t>
                  </w:r>
                </w:p>
                <w:p w14:paraId="02EC444B">
                  <w:pPr>
                    <w:autoSpaceDE w:val="0"/>
                    <w:autoSpaceDN w:val="0"/>
                    <w:spacing w:line="240" w:lineRule="auto"/>
                    <w:jc w:val="center"/>
                    <w:rPr>
                      <w:snapToGrid w:val="0"/>
                      <w:kern w:val="0"/>
                      <w:sz w:val="21"/>
                      <w:szCs w:val="21"/>
                      <w:u w:val="single"/>
                      <w:lang w:val="zh-CN" w:bidi="zh-CN"/>
                    </w:rPr>
                  </w:pPr>
                </w:p>
              </w:tc>
              <w:tc>
                <w:tcPr>
                  <w:tcW w:w="1556" w:type="pct"/>
                  <w:vMerge w:val="restart"/>
                  <w:vAlign w:val="center"/>
                </w:tcPr>
                <w:p w14:paraId="3D04AA91">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携带病原微生物，具有引发感染性疾病传播危险的医疗废物</w:t>
                  </w:r>
                </w:p>
                <w:p w14:paraId="771054CA">
                  <w:pPr>
                    <w:autoSpaceDE w:val="0"/>
                    <w:autoSpaceDN w:val="0"/>
                    <w:spacing w:line="240" w:lineRule="auto"/>
                    <w:jc w:val="center"/>
                    <w:rPr>
                      <w:snapToGrid w:val="0"/>
                      <w:kern w:val="0"/>
                      <w:sz w:val="21"/>
                      <w:szCs w:val="21"/>
                      <w:u w:val="single"/>
                      <w:lang w:val="zh-CN" w:bidi="zh-CN"/>
                    </w:rPr>
                  </w:pPr>
                </w:p>
              </w:tc>
              <w:tc>
                <w:tcPr>
                  <w:tcW w:w="1650" w:type="pct"/>
                  <w:vAlign w:val="center"/>
                </w:tcPr>
                <w:p w14:paraId="4891D19A">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被病人血液、体液、排泄物污染的物品</w:t>
                  </w:r>
                </w:p>
              </w:tc>
            </w:tr>
            <w:tr w14:paraId="7B406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5E7D93B0">
                  <w:pPr>
                    <w:autoSpaceDE w:val="0"/>
                    <w:autoSpaceDN w:val="0"/>
                    <w:spacing w:line="240" w:lineRule="auto"/>
                    <w:jc w:val="center"/>
                    <w:rPr>
                      <w:snapToGrid w:val="0"/>
                      <w:kern w:val="0"/>
                      <w:sz w:val="21"/>
                      <w:szCs w:val="21"/>
                      <w:u w:val="single"/>
                      <w:lang w:val="zh-CN" w:bidi="zh-CN"/>
                    </w:rPr>
                  </w:pPr>
                </w:p>
              </w:tc>
              <w:tc>
                <w:tcPr>
                  <w:tcW w:w="1051" w:type="pct"/>
                  <w:vMerge w:val="continue"/>
                  <w:vAlign w:val="center"/>
                </w:tcPr>
                <w:p w14:paraId="1297B503">
                  <w:pPr>
                    <w:autoSpaceDE w:val="0"/>
                    <w:autoSpaceDN w:val="0"/>
                    <w:spacing w:line="240" w:lineRule="auto"/>
                    <w:jc w:val="center"/>
                    <w:rPr>
                      <w:snapToGrid w:val="0"/>
                      <w:kern w:val="0"/>
                      <w:sz w:val="21"/>
                      <w:szCs w:val="21"/>
                      <w:u w:val="single"/>
                      <w:lang w:val="zh-CN" w:bidi="zh-CN"/>
                    </w:rPr>
                  </w:pPr>
                </w:p>
              </w:tc>
              <w:tc>
                <w:tcPr>
                  <w:tcW w:w="1556" w:type="pct"/>
                  <w:vMerge w:val="continue"/>
                  <w:vAlign w:val="center"/>
                </w:tcPr>
                <w:p w14:paraId="6107E10C">
                  <w:pPr>
                    <w:autoSpaceDE w:val="0"/>
                    <w:autoSpaceDN w:val="0"/>
                    <w:spacing w:line="240" w:lineRule="auto"/>
                    <w:jc w:val="center"/>
                    <w:rPr>
                      <w:snapToGrid w:val="0"/>
                      <w:kern w:val="0"/>
                      <w:sz w:val="21"/>
                      <w:szCs w:val="21"/>
                      <w:u w:val="single"/>
                      <w:lang w:val="zh-CN" w:bidi="zh-CN"/>
                    </w:rPr>
                  </w:pPr>
                </w:p>
              </w:tc>
              <w:tc>
                <w:tcPr>
                  <w:tcW w:w="1650" w:type="pct"/>
                  <w:vAlign w:val="center"/>
                </w:tcPr>
                <w:p w14:paraId="0651629A">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废弃的被服</w:t>
                  </w:r>
                </w:p>
              </w:tc>
            </w:tr>
            <w:tr w14:paraId="30CAE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71D1C7CA">
                  <w:pPr>
                    <w:autoSpaceDE w:val="0"/>
                    <w:autoSpaceDN w:val="0"/>
                    <w:spacing w:line="240" w:lineRule="auto"/>
                    <w:jc w:val="center"/>
                    <w:rPr>
                      <w:snapToGrid w:val="0"/>
                      <w:kern w:val="0"/>
                      <w:sz w:val="21"/>
                      <w:szCs w:val="21"/>
                      <w:u w:val="single"/>
                      <w:lang w:val="zh-CN" w:bidi="zh-CN"/>
                    </w:rPr>
                  </w:pPr>
                </w:p>
              </w:tc>
              <w:tc>
                <w:tcPr>
                  <w:tcW w:w="1051" w:type="pct"/>
                  <w:vMerge w:val="continue"/>
                  <w:vAlign w:val="center"/>
                </w:tcPr>
                <w:p w14:paraId="17EA820D">
                  <w:pPr>
                    <w:autoSpaceDE w:val="0"/>
                    <w:autoSpaceDN w:val="0"/>
                    <w:spacing w:line="240" w:lineRule="auto"/>
                    <w:jc w:val="center"/>
                    <w:rPr>
                      <w:snapToGrid w:val="0"/>
                      <w:kern w:val="0"/>
                      <w:sz w:val="21"/>
                      <w:szCs w:val="21"/>
                      <w:u w:val="single"/>
                      <w:lang w:val="zh-CN" w:bidi="zh-CN"/>
                    </w:rPr>
                  </w:pPr>
                </w:p>
              </w:tc>
              <w:tc>
                <w:tcPr>
                  <w:tcW w:w="1556" w:type="pct"/>
                  <w:vMerge w:val="continue"/>
                  <w:vAlign w:val="center"/>
                </w:tcPr>
                <w:p w14:paraId="1A8BF555">
                  <w:pPr>
                    <w:autoSpaceDE w:val="0"/>
                    <w:autoSpaceDN w:val="0"/>
                    <w:spacing w:line="240" w:lineRule="auto"/>
                    <w:jc w:val="center"/>
                    <w:rPr>
                      <w:snapToGrid w:val="0"/>
                      <w:kern w:val="0"/>
                      <w:sz w:val="21"/>
                      <w:szCs w:val="21"/>
                      <w:u w:val="single"/>
                      <w:lang w:val="zh-CN" w:bidi="zh-CN"/>
                    </w:rPr>
                  </w:pPr>
                </w:p>
              </w:tc>
              <w:tc>
                <w:tcPr>
                  <w:tcW w:w="1650" w:type="pct"/>
                  <w:vAlign w:val="center"/>
                </w:tcPr>
                <w:p w14:paraId="064F71BC">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经检验室化验过的血液、尿液等</w:t>
                  </w:r>
                </w:p>
              </w:tc>
            </w:tr>
            <w:tr w14:paraId="13A43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7229CDC6">
                  <w:pPr>
                    <w:autoSpaceDE w:val="0"/>
                    <w:autoSpaceDN w:val="0"/>
                    <w:spacing w:line="240" w:lineRule="auto"/>
                    <w:jc w:val="center"/>
                    <w:rPr>
                      <w:snapToGrid w:val="0"/>
                      <w:kern w:val="0"/>
                      <w:sz w:val="21"/>
                      <w:szCs w:val="21"/>
                      <w:u w:val="single"/>
                      <w:lang w:val="zh-CN" w:bidi="zh-CN"/>
                    </w:rPr>
                  </w:pPr>
                </w:p>
              </w:tc>
              <w:tc>
                <w:tcPr>
                  <w:tcW w:w="1051" w:type="pct"/>
                  <w:vMerge w:val="continue"/>
                  <w:vAlign w:val="center"/>
                </w:tcPr>
                <w:p w14:paraId="48C81B64">
                  <w:pPr>
                    <w:autoSpaceDE w:val="0"/>
                    <w:autoSpaceDN w:val="0"/>
                    <w:spacing w:line="240" w:lineRule="auto"/>
                    <w:jc w:val="center"/>
                    <w:rPr>
                      <w:snapToGrid w:val="0"/>
                      <w:kern w:val="0"/>
                      <w:sz w:val="21"/>
                      <w:szCs w:val="21"/>
                      <w:u w:val="single"/>
                      <w:lang w:val="zh-CN" w:bidi="zh-CN"/>
                    </w:rPr>
                  </w:pPr>
                </w:p>
              </w:tc>
              <w:tc>
                <w:tcPr>
                  <w:tcW w:w="1556" w:type="pct"/>
                  <w:vMerge w:val="continue"/>
                  <w:vAlign w:val="center"/>
                </w:tcPr>
                <w:p w14:paraId="3FCFABE9">
                  <w:pPr>
                    <w:autoSpaceDE w:val="0"/>
                    <w:autoSpaceDN w:val="0"/>
                    <w:spacing w:line="240" w:lineRule="auto"/>
                    <w:jc w:val="center"/>
                    <w:rPr>
                      <w:snapToGrid w:val="0"/>
                      <w:kern w:val="0"/>
                      <w:sz w:val="21"/>
                      <w:szCs w:val="21"/>
                      <w:u w:val="single"/>
                      <w:lang w:val="zh-CN" w:bidi="zh-CN"/>
                    </w:rPr>
                  </w:pPr>
                </w:p>
              </w:tc>
              <w:tc>
                <w:tcPr>
                  <w:tcW w:w="1650" w:type="pct"/>
                  <w:vAlign w:val="center"/>
                </w:tcPr>
                <w:p w14:paraId="1D02E8A8">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使用后的一次性使用医疗用品、医疗器械</w:t>
                  </w:r>
                </w:p>
              </w:tc>
            </w:tr>
            <w:tr w14:paraId="7499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1D8A3FB1">
                  <w:pPr>
                    <w:autoSpaceDE w:val="0"/>
                    <w:autoSpaceDN w:val="0"/>
                    <w:spacing w:line="240" w:lineRule="auto"/>
                    <w:jc w:val="center"/>
                    <w:rPr>
                      <w:snapToGrid w:val="0"/>
                      <w:kern w:val="0"/>
                      <w:sz w:val="21"/>
                      <w:szCs w:val="21"/>
                      <w:u w:val="single"/>
                      <w:lang w:val="zh-CN" w:bidi="zh-CN"/>
                    </w:rPr>
                  </w:pPr>
                </w:p>
              </w:tc>
              <w:tc>
                <w:tcPr>
                  <w:tcW w:w="1051" w:type="pct"/>
                  <w:vMerge w:val="restart"/>
                  <w:vAlign w:val="center"/>
                </w:tcPr>
                <w:p w14:paraId="5BBA2B03">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损伤性废物</w:t>
                  </w:r>
                </w:p>
                <w:p w14:paraId="1010F765">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841-002-01</w:t>
                  </w:r>
                </w:p>
              </w:tc>
              <w:tc>
                <w:tcPr>
                  <w:tcW w:w="1556" w:type="pct"/>
                  <w:vMerge w:val="restart"/>
                  <w:vAlign w:val="center"/>
                </w:tcPr>
                <w:p w14:paraId="75EFA758">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能够刺伤或者割伤人体的废弃的医用锐器</w:t>
                  </w:r>
                </w:p>
              </w:tc>
              <w:tc>
                <w:tcPr>
                  <w:tcW w:w="1650" w:type="pct"/>
                  <w:vAlign w:val="center"/>
                </w:tcPr>
                <w:p w14:paraId="05F3CA04">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医用针头、缝合针</w:t>
                  </w:r>
                </w:p>
              </w:tc>
            </w:tr>
            <w:tr w14:paraId="4E687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47F82533">
                  <w:pPr>
                    <w:autoSpaceDE w:val="0"/>
                    <w:autoSpaceDN w:val="0"/>
                    <w:spacing w:line="240" w:lineRule="auto"/>
                    <w:jc w:val="center"/>
                    <w:rPr>
                      <w:snapToGrid w:val="0"/>
                      <w:kern w:val="0"/>
                      <w:sz w:val="21"/>
                      <w:szCs w:val="21"/>
                      <w:u w:val="single"/>
                      <w:lang w:val="zh-CN" w:bidi="zh-CN"/>
                    </w:rPr>
                  </w:pPr>
                </w:p>
              </w:tc>
              <w:tc>
                <w:tcPr>
                  <w:tcW w:w="1051" w:type="pct"/>
                  <w:vMerge w:val="continue"/>
                  <w:vAlign w:val="center"/>
                </w:tcPr>
                <w:p w14:paraId="15B7F8F6">
                  <w:pPr>
                    <w:autoSpaceDE w:val="0"/>
                    <w:autoSpaceDN w:val="0"/>
                    <w:spacing w:line="240" w:lineRule="auto"/>
                    <w:jc w:val="center"/>
                    <w:rPr>
                      <w:snapToGrid w:val="0"/>
                      <w:kern w:val="0"/>
                      <w:sz w:val="21"/>
                      <w:szCs w:val="21"/>
                      <w:u w:val="single"/>
                      <w:lang w:val="zh-CN" w:bidi="zh-CN"/>
                    </w:rPr>
                  </w:pPr>
                </w:p>
              </w:tc>
              <w:tc>
                <w:tcPr>
                  <w:tcW w:w="1556" w:type="pct"/>
                  <w:vMerge w:val="continue"/>
                  <w:vAlign w:val="center"/>
                </w:tcPr>
                <w:p w14:paraId="4DD6AA44">
                  <w:pPr>
                    <w:autoSpaceDE w:val="0"/>
                    <w:autoSpaceDN w:val="0"/>
                    <w:spacing w:line="240" w:lineRule="auto"/>
                    <w:jc w:val="center"/>
                    <w:rPr>
                      <w:snapToGrid w:val="0"/>
                      <w:kern w:val="0"/>
                      <w:sz w:val="21"/>
                      <w:szCs w:val="21"/>
                      <w:u w:val="single"/>
                      <w:lang w:val="zh-CN" w:bidi="zh-CN"/>
                    </w:rPr>
                  </w:pPr>
                </w:p>
              </w:tc>
              <w:tc>
                <w:tcPr>
                  <w:tcW w:w="1650" w:type="pct"/>
                  <w:vAlign w:val="center"/>
                </w:tcPr>
                <w:p w14:paraId="3F4ED5AF">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各类医用锐器</w:t>
                  </w:r>
                </w:p>
              </w:tc>
            </w:tr>
            <w:tr w14:paraId="10D08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17F93BAD">
                  <w:pPr>
                    <w:autoSpaceDE w:val="0"/>
                    <w:autoSpaceDN w:val="0"/>
                    <w:spacing w:line="240" w:lineRule="auto"/>
                    <w:jc w:val="center"/>
                    <w:rPr>
                      <w:snapToGrid w:val="0"/>
                      <w:kern w:val="0"/>
                      <w:sz w:val="21"/>
                      <w:szCs w:val="21"/>
                      <w:u w:val="single"/>
                      <w:lang w:val="zh-CN" w:bidi="zh-CN"/>
                    </w:rPr>
                  </w:pPr>
                </w:p>
              </w:tc>
              <w:tc>
                <w:tcPr>
                  <w:tcW w:w="1051" w:type="pct"/>
                  <w:vMerge w:val="continue"/>
                  <w:vAlign w:val="center"/>
                </w:tcPr>
                <w:p w14:paraId="4F730B0D">
                  <w:pPr>
                    <w:autoSpaceDE w:val="0"/>
                    <w:autoSpaceDN w:val="0"/>
                    <w:spacing w:line="240" w:lineRule="auto"/>
                    <w:jc w:val="center"/>
                    <w:rPr>
                      <w:snapToGrid w:val="0"/>
                      <w:kern w:val="0"/>
                      <w:sz w:val="21"/>
                      <w:szCs w:val="21"/>
                      <w:u w:val="single"/>
                      <w:lang w:val="zh-CN" w:bidi="zh-CN"/>
                    </w:rPr>
                  </w:pPr>
                </w:p>
              </w:tc>
              <w:tc>
                <w:tcPr>
                  <w:tcW w:w="1556" w:type="pct"/>
                  <w:vMerge w:val="continue"/>
                  <w:vAlign w:val="center"/>
                </w:tcPr>
                <w:p w14:paraId="0B7BDC33">
                  <w:pPr>
                    <w:autoSpaceDE w:val="0"/>
                    <w:autoSpaceDN w:val="0"/>
                    <w:spacing w:line="240" w:lineRule="auto"/>
                    <w:jc w:val="center"/>
                    <w:rPr>
                      <w:snapToGrid w:val="0"/>
                      <w:kern w:val="0"/>
                      <w:sz w:val="21"/>
                      <w:szCs w:val="21"/>
                      <w:u w:val="single"/>
                      <w:lang w:val="zh-CN" w:bidi="zh-CN"/>
                    </w:rPr>
                  </w:pPr>
                </w:p>
              </w:tc>
              <w:tc>
                <w:tcPr>
                  <w:tcW w:w="1650" w:type="pct"/>
                  <w:vAlign w:val="center"/>
                </w:tcPr>
                <w:p w14:paraId="29BB4847">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玻璃试管、玻璃安瓿等</w:t>
                  </w:r>
                </w:p>
              </w:tc>
            </w:tr>
            <w:tr w14:paraId="70469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2A7E426E">
                  <w:pPr>
                    <w:autoSpaceDE w:val="0"/>
                    <w:autoSpaceDN w:val="0"/>
                    <w:spacing w:line="240" w:lineRule="auto"/>
                    <w:jc w:val="center"/>
                    <w:rPr>
                      <w:snapToGrid w:val="0"/>
                      <w:kern w:val="0"/>
                      <w:sz w:val="21"/>
                      <w:szCs w:val="21"/>
                      <w:u w:val="single"/>
                      <w:lang w:val="zh-CN" w:bidi="zh-CN"/>
                    </w:rPr>
                  </w:pPr>
                </w:p>
              </w:tc>
              <w:tc>
                <w:tcPr>
                  <w:tcW w:w="1051" w:type="pct"/>
                  <w:vMerge w:val="restart"/>
                  <w:vAlign w:val="center"/>
                </w:tcPr>
                <w:p w14:paraId="48C7332D">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化学性废物</w:t>
                  </w:r>
                </w:p>
                <w:p w14:paraId="1D032E8D">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841-004-01</w:t>
                  </w:r>
                </w:p>
              </w:tc>
              <w:tc>
                <w:tcPr>
                  <w:tcW w:w="1556" w:type="pct"/>
                  <w:vMerge w:val="restart"/>
                  <w:vAlign w:val="center"/>
                </w:tcPr>
                <w:p w14:paraId="1E1D8B9A">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val="zh-CN" w:bidi="zh-CN"/>
                    </w:rPr>
                    <w:t>具有毒性、腐蚀性、易燃易爆性的废弃的化学物品</w:t>
                  </w:r>
                </w:p>
              </w:tc>
              <w:tc>
                <w:tcPr>
                  <w:tcW w:w="1650" w:type="pct"/>
                  <w:vAlign w:val="center"/>
                </w:tcPr>
                <w:p w14:paraId="6E814525">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废弃的试剂、消毒剂</w:t>
                  </w:r>
                </w:p>
              </w:tc>
            </w:tr>
            <w:tr w14:paraId="03530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5E398B9A">
                  <w:pPr>
                    <w:autoSpaceDE w:val="0"/>
                    <w:autoSpaceDN w:val="0"/>
                    <w:spacing w:line="240" w:lineRule="auto"/>
                    <w:jc w:val="center"/>
                    <w:rPr>
                      <w:snapToGrid w:val="0"/>
                      <w:kern w:val="0"/>
                      <w:sz w:val="21"/>
                      <w:szCs w:val="21"/>
                      <w:u w:val="single"/>
                      <w:lang w:val="zh-CN" w:bidi="zh-CN"/>
                    </w:rPr>
                  </w:pPr>
                </w:p>
              </w:tc>
              <w:tc>
                <w:tcPr>
                  <w:tcW w:w="1051" w:type="pct"/>
                  <w:vMerge w:val="continue"/>
                  <w:vAlign w:val="center"/>
                </w:tcPr>
                <w:p w14:paraId="60AD8835">
                  <w:pPr>
                    <w:autoSpaceDE w:val="0"/>
                    <w:autoSpaceDN w:val="0"/>
                    <w:spacing w:line="240" w:lineRule="auto"/>
                    <w:jc w:val="center"/>
                    <w:rPr>
                      <w:snapToGrid w:val="0"/>
                      <w:kern w:val="0"/>
                      <w:sz w:val="21"/>
                      <w:szCs w:val="21"/>
                      <w:u w:val="single"/>
                      <w:lang w:val="zh-CN" w:bidi="zh-CN"/>
                    </w:rPr>
                  </w:pPr>
                </w:p>
              </w:tc>
              <w:tc>
                <w:tcPr>
                  <w:tcW w:w="1556" w:type="pct"/>
                  <w:vMerge w:val="continue"/>
                  <w:vAlign w:val="center"/>
                </w:tcPr>
                <w:p w14:paraId="7C4F3D5B">
                  <w:pPr>
                    <w:autoSpaceDE w:val="0"/>
                    <w:autoSpaceDN w:val="0"/>
                    <w:spacing w:line="240" w:lineRule="auto"/>
                    <w:jc w:val="center"/>
                    <w:rPr>
                      <w:snapToGrid w:val="0"/>
                      <w:kern w:val="0"/>
                      <w:sz w:val="21"/>
                      <w:szCs w:val="21"/>
                      <w:u w:val="single"/>
                      <w:lang w:val="zh-CN" w:bidi="zh-CN"/>
                    </w:rPr>
                  </w:pPr>
                </w:p>
              </w:tc>
              <w:tc>
                <w:tcPr>
                  <w:tcW w:w="1650" w:type="pct"/>
                  <w:vAlign w:val="center"/>
                </w:tcPr>
                <w:p w14:paraId="06F1BFAD">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废弃的汞血压计、汞温度计</w:t>
                  </w:r>
                </w:p>
              </w:tc>
            </w:tr>
            <w:tr w14:paraId="139E0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1" w:type="pct"/>
                  <w:vMerge w:val="continue"/>
                  <w:vAlign w:val="center"/>
                </w:tcPr>
                <w:p w14:paraId="2445C6B8">
                  <w:pPr>
                    <w:autoSpaceDE w:val="0"/>
                    <w:autoSpaceDN w:val="0"/>
                    <w:spacing w:line="240" w:lineRule="auto"/>
                    <w:jc w:val="center"/>
                    <w:rPr>
                      <w:snapToGrid w:val="0"/>
                      <w:kern w:val="0"/>
                      <w:sz w:val="21"/>
                      <w:szCs w:val="21"/>
                      <w:u w:val="single"/>
                      <w:lang w:val="zh-CN" w:bidi="zh-CN"/>
                    </w:rPr>
                  </w:pPr>
                </w:p>
              </w:tc>
              <w:tc>
                <w:tcPr>
                  <w:tcW w:w="1051" w:type="pct"/>
                  <w:vAlign w:val="center"/>
                </w:tcPr>
                <w:p w14:paraId="23E558BD">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药物性废物</w:t>
                  </w:r>
                </w:p>
                <w:p w14:paraId="308A179D">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841-005-01</w:t>
                  </w:r>
                </w:p>
              </w:tc>
              <w:tc>
                <w:tcPr>
                  <w:tcW w:w="1556" w:type="pct"/>
                  <w:vAlign w:val="center"/>
                </w:tcPr>
                <w:p w14:paraId="3CB8AA6B">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过期、淘汰、变质或者被污染的废弃的药品</w:t>
                  </w:r>
                </w:p>
              </w:tc>
              <w:tc>
                <w:tcPr>
                  <w:tcW w:w="1650" w:type="pct"/>
                  <w:vAlign w:val="center"/>
                </w:tcPr>
                <w:p w14:paraId="136E902F">
                  <w:pPr>
                    <w:autoSpaceDE w:val="0"/>
                    <w:autoSpaceDN w:val="0"/>
                    <w:spacing w:line="240" w:lineRule="auto"/>
                    <w:jc w:val="center"/>
                    <w:rPr>
                      <w:snapToGrid w:val="0"/>
                      <w:kern w:val="0"/>
                      <w:sz w:val="21"/>
                      <w:szCs w:val="21"/>
                      <w:u w:val="single"/>
                      <w:lang w:val="zh-CN" w:bidi="zh-CN"/>
                    </w:rPr>
                  </w:pPr>
                  <w:r>
                    <w:rPr>
                      <w:rFonts w:hint="eastAsia"/>
                      <w:snapToGrid w:val="0"/>
                      <w:kern w:val="0"/>
                      <w:sz w:val="21"/>
                      <w:szCs w:val="21"/>
                      <w:u w:val="single"/>
                      <w:lang w:bidi="zh-CN"/>
                    </w:rPr>
                    <w:t>过期、淘汰、变质或者被污染的废弃的药品等</w:t>
                  </w:r>
                </w:p>
              </w:tc>
            </w:tr>
          </w:tbl>
          <w:p w14:paraId="31BAE7BB">
            <w:pPr>
              <w:ind w:firstLine="480"/>
              <w:rPr>
                <w:u w:val="single"/>
              </w:rPr>
            </w:pPr>
            <w:r>
              <w:rPr>
                <w:rFonts w:hint="eastAsia"/>
                <w:u w:val="single"/>
              </w:rPr>
              <w:t>本项目参照“第一次全国污染源普查城镇生活源产排污系数手册第四分册：医院污染物产生、排放系数中相关系数” 本项目医疗废物产生系数取0.42 kg/床·d计算，则项目医疗废物产生量共计3.833t/a。</w:t>
            </w:r>
          </w:p>
          <w:p w14:paraId="5DC94A93">
            <w:pPr>
              <w:ind w:firstLine="480" w:firstLineChars="200"/>
              <w:jc w:val="both"/>
              <w:rPr>
                <w:szCs w:val="21"/>
                <w:u w:val="single"/>
              </w:rPr>
            </w:pPr>
            <w:r>
              <w:rPr>
                <w:rFonts w:hint="eastAsia"/>
                <w:szCs w:val="21"/>
                <w:u w:val="single"/>
              </w:rPr>
              <w:t>（</w:t>
            </w:r>
            <w:r>
              <w:rPr>
                <w:szCs w:val="21"/>
                <w:u w:val="single"/>
              </w:rPr>
              <w:t>3</w:t>
            </w:r>
            <w:r>
              <w:rPr>
                <w:rFonts w:hint="eastAsia"/>
                <w:szCs w:val="21"/>
                <w:u w:val="single"/>
              </w:rPr>
              <w:t>）污水处理污泥</w:t>
            </w:r>
          </w:p>
          <w:p w14:paraId="0E3EC5A4">
            <w:pPr>
              <w:ind w:firstLine="480" w:firstLineChars="200"/>
              <w:jc w:val="both"/>
              <w:rPr>
                <w:szCs w:val="21"/>
                <w:u w:val="single"/>
              </w:rPr>
            </w:pPr>
            <w:r>
              <w:rPr>
                <w:rFonts w:hint="eastAsia"/>
                <w:szCs w:val="21"/>
                <w:u w:val="single"/>
              </w:rPr>
              <w:t>污水处理站污泥产生量参考《医院污水处理技术指南》（环发〔</w:t>
            </w:r>
            <w:r>
              <w:rPr>
                <w:szCs w:val="21"/>
                <w:u w:val="single"/>
              </w:rPr>
              <w:t>2003</w:t>
            </w:r>
            <w:r>
              <w:rPr>
                <w:rFonts w:hint="eastAsia"/>
                <w:szCs w:val="21"/>
                <w:u w:val="single"/>
              </w:rPr>
              <w:t>〕</w:t>
            </w:r>
            <w:r>
              <w:rPr>
                <w:szCs w:val="21"/>
                <w:u w:val="single"/>
              </w:rPr>
              <w:t>197</w:t>
            </w:r>
            <w:r>
              <w:rPr>
                <w:rFonts w:hint="eastAsia"/>
                <w:szCs w:val="21"/>
                <w:u w:val="single"/>
              </w:rPr>
              <w:t>号）中“污水处理系统污泥产生量按</w:t>
            </w:r>
            <w:r>
              <w:rPr>
                <w:szCs w:val="21"/>
                <w:u w:val="single"/>
              </w:rPr>
              <w:t xml:space="preserve"> </w:t>
            </w:r>
            <w:r>
              <w:rPr>
                <w:rFonts w:hint="eastAsia"/>
                <w:szCs w:val="21"/>
                <w:u w:val="single"/>
              </w:rPr>
              <w:t>54</w:t>
            </w:r>
            <w:r>
              <w:rPr>
                <w:szCs w:val="21"/>
                <w:u w:val="single"/>
              </w:rPr>
              <w:t>g/</w:t>
            </w:r>
            <w:r>
              <w:rPr>
                <w:rFonts w:hint="eastAsia"/>
                <w:szCs w:val="21"/>
                <w:u w:val="single"/>
              </w:rPr>
              <w:t>人·</w:t>
            </w:r>
            <w:r>
              <w:rPr>
                <w:szCs w:val="21"/>
                <w:u w:val="single"/>
              </w:rPr>
              <w:t xml:space="preserve">d </w:t>
            </w:r>
            <w:r>
              <w:rPr>
                <w:rFonts w:hint="eastAsia"/>
                <w:szCs w:val="21"/>
                <w:u w:val="single"/>
              </w:rPr>
              <w:t>计”，则运营期污泥产生量为2.957</w:t>
            </w:r>
            <w:r>
              <w:rPr>
                <w:szCs w:val="21"/>
                <w:u w:val="single"/>
              </w:rPr>
              <w:t>t/a</w:t>
            </w:r>
            <w:r>
              <w:rPr>
                <w:rFonts w:hint="eastAsia"/>
                <w:szCs w:val="21"/>
                <w:u w:val="single"/>
              </w:rPr>
              <w:t>。</w:t>
            </w:r>
          </w:p>
          <w:p w14:paraId="1930EF0F">
            <w:pPr>
              <w:ind w:firstLine="480" w:firstLineChars="200"/>
              <w:jc w:val="both"/>
              <w:rPr>
                <w:szCs w:val="21"/>
                <w:u w:val="single"/>
              </w:rPr>
            </w:pPr>
            <w:r>
              <w:rPr>
                <w:rFonts w:hint="eastAsia"/>
                <w:szCs w:val="21"/>
                <w:u w:val="single"/>
              </w:rPr>
              <w:t>根据《医院污水处理技术指南》（环发﹝</w:t>
            </w:r>
            <w:r>
              <w:rPr>
                <w:szCs w:val="21"/>
                <w:u w:val="single"/>
              </w:rPr>
              <w:t>2003</w:t>
            </w:r>
            <w:r>
              <w:rPr>
                <w:rFonts w:hint="eastAsia"/>
                <w:szCs w:val="21"/>
                <w:u w:val="single"/>
              </w:rPr>
              <w:t>﹞</w:t>
            </w:r>
            <w:r>
              <w:rPr>
                <w:szCs w:val="21"/>
                <w:u w:val="single"/>
              </w:rPr>
              <w:t xml:space="preserve">197 </w:t>
            </w:r>
            <w:r>
              <w:rPr>
                <w:rFonts w:hint="eastAsia"/>
                <w:szCs w:val="21"/>
                <w:u w:val="single"/>
              </w:rPr>
              <w:t>号）和《国家危险废物名录（</w:t>
            </w:r>
            <w:r>
              <w:rPr>
                <w:szCs w:val="21"/>
                <w:u w:val="single"/>
              </w:rPr>
              <w:t>2025</w:t>
            </w:r>
            <w:r>
              <w:rPr>
                <w:rFonts w:hint="eastAsia"/>
                <w:szCs w:val="21"/>
                <w:u w:val="single"/>
              </w:rPr>
              <w:t>年）》中的规定，本项目污水处理污泥属于危险废物，废物类别为</w:t>
            </w:r>
            <w:r>
              <w:rPr>
                <w:szCs w:val="21"/>
                <w:u w:val="single"/>
              </w:rPr>
              <w:t xml:space="preserve"> HW01 </w:t>
            </w:r>
            <w:r>
              <w:rPr>
                <w:rFonts w:hint="eastAsia"/>
                <w:szCs w:val="21"/>
                <w:u w:val="single"/>
              </w:rPr>
              <w:t>医疗废物，废物代码为</w:t>
            </w:r>
            <w:r>
              <w:rPr>
                <w:szCs w:val="21"/>
                <w:u w:val="single"/>
              </w:rPr>
              <w:t>841-001-01</w:t>
            </w:r>
            <w:r>
              <w:rPr>
                <w:rFonts w:hint="eastAsia"/>
                <w:szCs w:val="21"/>
                <w:u w:val="single"/>
              </w:rPr>
              <w:t>，该部分废物不在医院储存，即产即清，委托有资质单位定期清运处理，污泥的运输路线尽量避开环境敏感区域。</w:t>
            </w:r>
          </w:p>
          <w:p w14:paraId="249EEC2D">
            <w:pPr>
              <w:autoSpaceDE w:val="0"/>
              <w:autoSpaceDN w:val="0"/>
              <w:ind w:firstLine="480"/>
              <w:jc w:val="both"/>
              <w:rPr>
                <w:snapToGrid w:val="0"/>
                <w:kern w:val="0"/>
                <w:szCs w:val="24"/>
                <w:u w:val="single"/>
                <w:lang w:bidi="zh-CN"/>
              </w:rPr>
            </w:pPr>
            <w:r>
              <w:rPr>
                <w:rFonts w:hint="eastAsia"/>
                <w:snapToGrid w:val="0"/>
                <w:kern w:val="0"/>
                <w:szCs w:val="24"/>
                <w:u w:val="single"/>
                <w:lang w:bidi="zh-CN"/>
              </w:rPr>
              <w:t xml:space="preserve">（4）固体废物产排情况汇总 </w:t>
            </w:r>
          </w:p>
          <w:p w14:paraId="7FD74306">
            <w:pPr>
              <w:ind w:firstLine="480" w:firstLineChars="200"/>
              <w:jc w:val="both"/>
              <w:rPr>
                <w:szCs w:val="21"/>
                <w:u w:val="single"/>
              </w:rPr>
            </w:pPr>
            <w:r>
              <w:rPr>
                <w:rFonts w:hint="eastAsia"/>
                <w:snapToGrid w:val="0"/>
                <w:kern w:val="0"/>
                <w:szCs w:val="24"/>
                <w:u w:val="single"/>
                <w:lang w:bidi="zh-CN"/>
              </w:rPr>
              <w:t>本项目固体废物产生及处置情况见表4-1</w:t>
            </w:r>
            <w:r>
              <w:rPr>
                <w:snapToGrid w:val="0"/>
                <w:kern w:val="0"/>
                <w:szCs w:val="24"/>
                <w:u w:val="single"/>
                <w:lang w:bidi="zh-CN"/>
              </w:rPr>
              <w:t>1</w:t>
            </w:r>
            <w:r>
              <w:rPr>
                <w:rFonts w:hint="eastAsia"/>
                <w:snapToGrid w:val="0"/>
                <w:kern w:val="0"/>
                <w:szCs w:val="24"/>
                <w:u w:val="single"/>
                <w:lang w:bidi="zh-CN"/>
              </w:rPr>
              <w:t>，危废产生及处置情况见表4-1</w:t>
            </w:r>
            <w:r>
              <w:rPr>
                <w:snapToGrid w:val="0"/>
                <w:kern w:val="0"/>
                <w:szCs w:val="24"/>
                <w:u w:val="single"/>
                <w:lang w:bidi="zh-CN"/>
              </w:rPr>
              <w:t>2</w:t>
            </w:r>
            <w:r>
              <w:rPr>
                <w:rFonts w:hint="eastAsia"/>
                <w:snapToGrid w:val="0"/>
                <w:kern w:val="0"/>
                <w:szCs w:val="24"/>
                <w:u w:val="single"/>
                <w:lang w:bidi="zh-CN"/>
              </w:rPr>
              <w:t>。</w:t>
            </w:r>
          </w:p>
          <w:p w14:paraId="003344BB">
            <w:pPr>
              <w:ind w:firstLine="482" w:firstLineChars="200"/>
              <w:jc w:val="center"/>
              <w:rPr>
                <w:b/>
                <w:bCs/>
                <w:snapToGrid w:val="0"/>
                <w:kern w:val="0"/>
                <w:szCs w:val="24"/>
                <w:u w:val="single"/>
                <w:lang w:bidi="zh-CN"/>
              </w:rPr>
            </w:pPr>
            <w:r>
              <w:rPr>
                <w:rFonts w:hint="eastAsia"/>
                <w:b/>
                <w:bCs/>
                <w:snapToGrid w:val="0"/>
                <w:kern w:val="0"/>
                <w:szCs w:val="24"/>
                <w:u w:val="single"/>
                <w:lang w:bidi="zh-CN"/>
              </w:rPr>
              <w:t>表4-1</w:t>
            </w:r>
            <w:r>
              <w:rPr>
                <w:b/>
                <w:bCs/>
                <w:snapToGrid w:val="0"/>
                <w:kern w:val="0"/>
                <w:szCs w:val="24"/>
                <w:u w:val="single"/>
                <w:lang w:bidi="zh-CN"/>
              </w:rPr>
              <w:t>1</w:t>
            </w:r>
            <w:r>
              <w:rPr>
                <w:rFonts w:hint="eastAsia"/>
                <w:b/>
                <w:bCs/>
                <w:snapToGrid w:val="0"/>
                <w:kern w:val="0"/>
                <w:szCs w:val="24"/>
                <w:u w:val="single"/>
                <w:lang w:bidi="zh-CN"/>
              </w:rPr>
              <w:t xml:space="preserve"> 固体废物产生量及处置情况一览表</w:t>
            </w:r>
          </w:p>
          <w:tbl>
            <w:tblPr>
              <w:tblStyle w:val="6"/>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743"/>
              <w:gridCol w:w="1596"/>
              <w:gridCol w:w="1314"/>
              <w:gridCol w:w="3826"/>
            </w:tblGrid>
            <w:tr w14:paraId="3B119F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28" w:type="pct"/>
                  <w:vAlign w:val="center"/>
                </w:tcPr>
                <w:p w14:paraId="49E05DAD">
                  <w:pPr>
                    <w:spacing w:line="240" w:lineRule="auto"/>
                    <w:jc w:val="center"/>
                    <w:rPr>
                      <w:b/>
                      <w:bCs/>
                      <w:snapToGrid w:val="0"/>
                      <w:kern w:val="0"/>
                      <w:sz w:val="21"/>
                      <w:szCs w:val="21"/>
                      <w:u w:val="single"/>
                    </w:rPr>
                  </w:pPr>
                  <w:r>
                    <w:rPr>
                      <w:rFonts w:hint="eastAsia"/>
                      <w:b/>
                      <w:bCs/>
                      <w:snapToGrid w:val="0"/>
                      <w:kern w:val="0"/>
                      <w:sz w:val="21"/>
                      <w:szCs w:val="21"/>
                      <w:u w:val="single"/>
                    </w:rPr>
                    <w:t>固体废物类别</w:t>
                  </w:r>
                </w:p>
              </w:tc>
              <w:tc>
                <w:tcPr>
                  <w:tcW w:w="941" w:type="pct"/>
                  <w:vAlign w:val="center"/>
                </w:tcPr>
                <w:p w14:paraId="3F7681FA">
                  <w:pPr>
                    <w:spacing w:line="240" w:lineRule="auto"/>
                    <w:jc w:val="center"/>
                    <w:rPr>
                      <w:b/>
                      <w:bCs/>
                      <w:snapToGrid w:val="0"/>
                      <w:kern w:val="0"/>
                      <w:sz w:val="21"/>
                      <w:szCs w:val="21"/>
                      <w:u w:val="single"/>
                    </w:rPr>
                  </w:pPr>
                  <w:r>
                    <w:rPr>
                      <w:rFonts w:hint="eastAsia"/>
                      <w:b/>
                      <w:bCs/>
                      <w:snapToGrid w:val="0"/>
                      <w:kern w:val="0"/>
                      <w:sz w:val="21"/>
                      <w:szCs w:val="21"/>
                      <w:u w:val="single"/>
                    </w:rPr>
                    <w:t>产生量（t/a）</w:t>
                  </w:r>
                </w:p>
              </w:tc>
              <w:tc>
                <w:tcPr>
                  <w:tcW w:w="775" w:type="pct"/>
                  <w:vAlign w:val="center"/>
                </w:tcPr>
                <w:p w14:paraId="40652AAA">
                  <w:pPr>
                    <w:spacing w:line="240" w:lineRule="auto"/>
                    <w:jc w:val="center"/>
                    <w:rPr>
                      <w:b/>
                      <w:bCs/>
                      <w:snapToGrid w:val="0"/>
                      <w:kern w:val="0"/>
                      <w:sz w:val="21"/>
                      <w:szCs w:val="21"/>
                      <w:u w:val="single"/>
                    </w:rPr>
                  </w:pPr>
                  <w:r>
                    <w:rPr>
                      <w:rFonts w:hint="eastAsia"/>
                      <w:b/>
                      <w:bCs/>
                      <w:snapToGrid w:val="0"/>
                      <w:kern w:val="0"/>
                      <w:sz w:val="21"/>
                      <w:szCs w:val="21"/>
                      <w:u w:val="single"/>
                    </w:rPr>
                    <w:t>废物属性</w:t>
                  </w:r>
                </w:p>
              </w:tc>
              <w:tc>
                <w:tcPr>
                  <w:tcW w:w="2256" w:type="pct"/>
                  <w:vAlign w:val="center"/>
                </w:tcPr>
                <w:p w14:paraId="0422833E">
                  <w:pPr>
                    <w:spacing w:line="240" w:lineRule="auto"/>
                    <w:jc w:val="center"/>
                    <w:rPr>
                      <w:b/>
                      <w:bCs/>
                      <w:snapToGrid w:val="0"/>
                      <w:kern w:val="0"/>
                      <w:sz w:val="21"/>
                      <w:szCs w:val="21"/>
                      <w:u w:val="single"/>
                    </w:rPr>
                  </w:pPr>
                  <w:r>
                    <w:rPr>
                      <w:rFonts w:hint="eastAsia"/>
                      <w:b/>
                      <w:bCs/>
                      <w:snapToGrid w:val="0"/>
                      <w:kern w:val="0"/>
                      <w:sz w:val="21"/>
                      <w:szCs w:val="21"/>
                      <w:u w:val="single"/>
                    </w:rPr>
                    <w:t>处置方式</w:t>
                  </w:r>
                </w:p>
              </w:tc>
            </w:tr>
            <w:tr w14:paraId="06610E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28" w:type="pct"/>
                  <w:vAlign w:val="center"/>
                </w:tcPr>
                <w:p w14:paraId="2E319FCB">
                  <w:pPr>
                    <w:spacing w:line="240" w:lineRule="auto"/>
                    <w:jc w:val="center"/>
                    <w:rPr>
                      <w:bCs/>
                      <w:snapToGrid w:val="0"/>
                      <w:kern w:val="0"/>
                      <w:sz w:val="21"/>
                      <w:szCs w:val="21"/>
                      <w:u w:val="single"/>
                    </w:rPr>
                  </w:pPr>
                  <w:r>
                    <w:rPr>
                      <w:rFonts w:hint="eastAsia"/>
                      <w:bCs/>
                      <w:snapToGrid w:val="0"/>
                      <w:kern w:val="0"/>
                      <w:sz w:val="21"/>
                      <w:szCs w:val="21"/>
                      <w:u w:val="single"/>
                    </w:rPr>
                    <w:t>生活垃圾</w:t>
                  </w:r>
                </w:p>
              </w:tc>
              <w:tc>
                <w:tcPr>
                  <w:tcW w:w="941" w:type="pct"/>
                  <w:vAlign w:val="center"/>
                </w:tcPr>
                <w:p w14:paraId="40CBEDE9">
                  <w:pPr>
                    <w:spacing w:line="240" w:lineRule="auto"/>
                    <w:jc w:val="center"/>
                    <w:rPr>
                      <w:bCs/>
                      <w:snapToGrid w:val="0"/>
                      <w:kern w:val="0"/>
                      <w:sz w:val="21"/>
                      <w:szCs w:val="21"/>
                      <w:u w:val="single"/>
                    </w:rPr>
                  </w:pPr>
                  <w:r>
                    <w:rPr>
                      <w:bCs/>
                      <w:snapToGrid w:val="0"/>
                      <w:kern w:val="0"/>
                      <w:sz w:val="21"/>
                      <w:szCs w:val="21"/>
                      <w:u w:val="single"/>
                    </w:rPr>
                    <w:t>9.125</w:t>
                  </w:r>
                </w:p>
              </w:tc>
              <w:tc>
                <w:tcPr>
                  <w:tcW w:w="775" w:type="pct"/>
                  <w:vAlign w:val="center"/>
                </w:tcPr>
                <w:p w14:paraId="6A72E234">
                  <w:pPr>
                    <w:spacing w:line="240" w:lineRule="auto"/>
                    <w:jc w:val="center"/>
                    <w:rPr>
                      <w:bCs/>
                      <w:snapToGrid w:val="0"/>
                      <w:kern w:val="0"/>
                      <w:sz w:val="21"/>
                      <w:szCs w:val="21"/>
                      <w:u w:val="single"/>
                    </w:rPr>
                  </w:pPr>
                  <w:r>
                    <w:rPr>
                      <w:rFonts w:hint="eastAsia"/>
                      <w:bCs/>
                      <w:snapToGrid w:val="0"/>
                      <w:kern w:val="0"/>
                      <w:sz w:val="21"/>
                      <w:szCs w:val="21"/>
                      <w:u w:val="single"/>
                    </w:rPr>
                    <w:t>一般固废</w:t>
                  </w:r>
                </w:p>
              </w:tc>
              <w:tc>
                <w:tcPr>
                  <w:tcW w:w="2256" w:type="pct"/>
                  <w:vAlign w:val="center"/>
                </w:tcPr>
                <w:p w14:paraId="545CC792">
                  <w:pPr>
                    <w:spacing w:line="240" w:lineRule="auto"/>
                    <w:jc w:val="center"/>
                    <w:rPr>
                      <w:bCs/>
                      <w:snapToGrid w:val="0"/>
                      <w:kern w:val="0"/>
                      <w:sz w:val="21"/>
                      <w:szCs w:val="21"/>
                      <w:u w:val="single"/>
                    </w:rPr>
                  </w:pPr>
                  <w:r>
                    <w:rPr>
                      <w:rFonts w:hint="eastAsia"/>
                      <w:bCs/>
                      <w:snapToGrid w:val="0"/>
                      <w:kern w:val="0"/>
                      <w:sz w:val="21"/>
                      <w:szCs w:val="21"/>
                      <w:u w:val="single"/>
                    </w:rPr>
                    <w:t>交由环卫部门处置</w:t>
                  </w:r>
                </w:p>
              </w:tc>
            </w:tr>
            <w:tr w14:paraId="1A940A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1028" w:type="pct"/>
                  <w:vAlign w:val="center"/>
                </w:tcPr>
                <w:p w14:paraId="54702BCC">
                  <w:pPr>
                    <w:spacing w:line="240" w:lineRule="auto"/>
                    <w:jc w:val="center"/>
                    <w:rPr>
                      <w:bCs/>
                      <w:snapToGrid w:val="0"/>
                      <w:kern w:val="0"/>
                      <w:sz w:val="21"/>
                      <w:szCs w:val="21"/>
                      <w:u w:val="single"/>
                    </w:rPr>
                  </w:pPr>
                  <w:r>
                    <w:rPr>
                      <w:rFonts w:hint="eastAsia"/>
                      <w:bCs/>
                      <w:snapToGrid w:val="0"/>
                      <w:kern w:val="0"/>
                      <w:sz w:val="21"/>
                      <w:szCs w:val="21"/>
                      <w:u w:val="single"/>
                    </w:rPr>
                    <w:t>医疗废物</w:t>
                  </w:r>
                </w:p>
              </w:tc>
              <w:tc>
                <w:tcPr>
                  <w:tcW w:w="941" w:type="pct"/>
                  <w:vAlign w:val="center"/>
                </w:tcPr>
                <w:p w14:paraId="6E4D052D">
                  <w:pPr>
                    <w:spacing w:line="240" w:lineRule="auto"/>
                    <w:jc w:val="center"/>
                    <w:rPr>
                      <w:rFonts w:hint="eastAsia"/>
                      <w:bCs/>
                      <w:snapToGrid w:val="0"/>
                      <w:kern w:val="0"/>
                      <w:sz w:val="21"/>
                      <w:szCs w:val="21"/>
                      <w:u w:val="single"/>
                    </w:rPr>
                  </w:pPr>
                  <w:r>
                    <w:rPr>
                      <w:rFonts w:hint="eastAsia"/>
                      <w:bCs/>
                      <w:snapToGrid w:val="0"/>
                      <w:kern w:val="0"/>
                      <w:sz w:val="21"/>
                      <w:szCs w:val="21"/>
                      <w:u w:val="single"/>
                    </w:rPr>
                    <w:t>3.833</w:t>
                  </w:r>
                </w:p>
              </w:tc>
              <w:tc>
                <w:tcPr>
                  <w:tcW w:w="775" w:type="pct"/>
                  <w:vAlign w:val="center"/>
                </w:tcPr>
                <w:p w14:paraId="1BCC87E9">
                  <w:pPr>
                    <w:spacing w:line="240" w:lineRule="auto"/>
                    <w:jc w:val="center"/>
                    <w:rPr>
                      <w:bCs/>
                      <w:snapToGrid w:val="0"/>
                      <w:kern w:val="0"/>
                      <w:sz w:val="21"/>
                      <w:szCs w:val="21"/>
                      <w:u w:val="single"/>
                    </w:rPr>
                  </w:pPr>
                  <w:r>
                    <w:rPr>
                      <w:rFonts w:hint="eastAsia"/>
                      <w:bCs/>
                      <w:snapToGrid w:val="0"/>
                      <w:kern w:val="0"/>
                      <w:sz w:val="21"/>
                      <w:szCs w:val="21"/>
                      <w:u w:val="single"/>
                    </w:rPr>
                    <w:t>危险废物</w:t>
                  </w:r>
                </w:p>
              </w:tc>
              <w:tc>
                <w:tcPr>
                  <w:tcW w:w="2256" w:type="pct"/>
                  <w:vAlign w:val="center"/>
                </w:tcPr>
                <w:p w14:paraId="1086B32A">
                  <w:pPr>
                    <w:spacing w:line="240" w:lineRule="auto"/>
                    <w:jc w:val="center"/>
                    <w:rPr>
                      <w:bCs/>
                      <w:snapToGrid w:val="0"/>
                      <w:kern w:val="0"/>
                      <w:sz w:val="21"/>
                      <w:szCs w:val="21"/>
                      <w:u w:val="single"/>
                    </w:rPr>
                  </w:pPr>
                  <w:r>
                    <w:rPr>
                      <w:rFonts w:hint="eastAsia"/>
                      <w:bCs/>
                      <w:snapToGrid w:val="0"/>
                      <w:kern w:val="0"/>
                      <w:sz w:val="21"/>
                      <w:szCs w:val="21"/>
                      <w:u w:val="single"/>
                    </w:rPr>
                    <w:t>分类暂存后委托有资质单位定期清运</w:t>
                  </w:r>
                </w:p>
              </w:tc>
            </w:tr>
            <w:tr w14:paraId="305D30D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28" w:type="pct"/>
                  <w:vAlign w:val="center"/>
                </w:tcPr>
                <w:p w14:paraId="3C67A690">
                  <w:pPr>
                    <w:spacing w:line="240" w:lineRule="auto"/>
                    <w:jc w:val="center"/>
                    <w:rPr>
                      <w:bCs/>
                      <w:snapToGrid w:val="0"/>
                      <w:kern w:val="0"/>
                      <w:sz w:val="21"/>
                      <w:szCs w:val="21"/>
                      <w:u w:val="single"/>
                    </w:rPr>
                  </w:pPr>
                  <w:r>
                    <w:rPr>
                      <w:rFonts w:hint="eastAsia"/>
                      <w:bCs/>
                      <w:snapToGrid w:val="0"/>
                      <w:kern w:val="0"/>
                      <w:sz w:val="21"/>
                      <w:szCs w:val="21"/>
                      <w:u w:val="single"/>
                    </w:rPr>
                    <w:t>污水处理污泥</w:t>
                  </w:r>
                </w:p>
              </w:tc>
              <w:tc>
                <w:tcPr>
                  <w:tcW w:w="941" w:type="pct"/>
                  <w:vAlign w:val="center"/>
                </w:tcPr>
                <w:p w14:paraId="6F6DBC60">
                  <w:pPr>
                    <w:spacing w:line="240" w:lineRule="auto"/>
                    <w:jc w:val="center"/>
                    <w:rPr>
                      <w:rFonts w:hint="eastAsia"/>
                      <w:bCs/>
                      <w:snapToGrid w:val="0"/>
                      <w:kern w:val="0"/>
                      <w:sz w:val="21"/>
                      <w:szCs w:val="21"/>
                      <w:u w:val="single"/>
                    </w:rPr>
                  </w:pPr>
                  <w:r>
                    <w:rPr>
                      <w:rFonts w:hint="eastAsia"/>
                      <w:bCs/>
                      <w:snapToGrid w:val="0"/>
                      <w:kern w:val="0"/>
                      <w:sz w:val="21"/>
                      <w:szCs w:val="21"/>
                      <w:u w:val="single"/>
                    </w:rPr>
                    <w:t>2.957</w:t>
                  </w:r>
                </w:p>
              </w:tc>
              <w:tc>
                <w:tcPr>
                  <w:tcW w:w="775" w:type="pct"/>
                  <w:vAlign w:val="center"/>
                </w:tcPr>
                <w:p w14:paraId="5FE09573">
                  <w:pPr>
                    <w:spacing w:line="240" w:lineRule="auto"/>
                    <w:jc w:val="center"/>
                    <w:rPr>
                      <w:bCs/>
                      <w:snapToGrid w:val="0"/>
                      <w:kern w:val="0"/>
                      <w:sz w:val="21"/>
                      <w:szCs w:val="21"/>
                      <w:u w:val="single"/>
                    </w:rPr>
                  </w:pPr>
                  <w:r>
                    <w:rPr>
                      <w:rFonts w:hint="eastAsia"/>
                      <w:bCs/>
                      <w:snapToGrid w:val="0"/>
                      <w:kern w:val="0"/>
                      <w:sz w:val="21"/>
                      <w:szCs w:val="21"/>
                      <w:u w:val="single"/>
                    </w:rPr>
                    <w:t>危险废物</w:t>
                  </w:r>
                </w:p>
              </w:tc>
              <w:tc>
                <w:tcPr>
                  <w:tcW w:w="2256" w:type="pct"/>
                  <w:vAlign w:val="center"/>
                </w:tcPr>
                <w:p w14:paraId="45D2503E">
                  <w:pPr>
                    <w:spacing w:line="240" w:lineRule="auto"/>
                    <w:jc w:val="center"/>
                    <w:rPr>
                      <w:bCs/>
                      <w:snapToGrid w:val="0"/>
                      <w:kern w:val="0"/>
                      <w:sz w:val="21"/>
                      <w:szCs w:val="21"/>
                      <w:u w:val="single"/>
                    </w:rPr>
                  </w:pPr>
                  <w:r>
                    <w:rPr>
                      <w:rFonts w:hint="eastAsia"/>
                      <w:bCs/>
                      <w:snapToGrid w:val="0"/>
                      <w:kern w:val="0"/>
                      <w:sz w:val="21"/>
                      <w:szCs w:val="21"/>
                      <w:u w:val="single"/>
                    </w:rPr>
                    <w:t>委托有资质单位定期清运</w:t>
                  </w:r>
                </w:p>
              </w:tc>
            </w:tr>
          </w:tbl>
          <w:p w14:paraId="02278B8A">
            <w:pPr>
              <w:ind w:firstLine="482" w:firstLineChars="200"/>
              <w:jc w:val="center"/>
              <w:rPr>
                <w:b/>
                <w:bCs/>
                <w:snapToGrid w:val="0"/>
                <w:kern w:val="0"/>
                <w:szCs w:val="24"/>
                <w:u w:val="single"/>
                <w:lang w:bidi="zh-CN"/>
              </w:rPr>
            </w:pPr>
            <w:r>
              <w:rPr>
                <w:rFonts w:hint="eastAsia"/>
                <w:b/>
                <w:bCs/>
                <w:snapToGrid w:val="0"/>
                <w:kern w:val="0"/>
                <w:szCs w:val="24"/>
                <w:u w:val="single"/>
                <w:lang w:bidi="zh-CN"/>
              </w:rPr>
              <w:t>表4-1</w:t>
            </w:r>
            <w:r>
              <w:rPr>
                <w:b/>
                <w:bCs/>
                <w:snapToGrid w:val="0"/>
                <w:kern w:val="0"/>
                <w:szCs w:val="24"/>
                <w:u w:val="single"/>
                <w:lang w:bidi="zh-CN"/>
              </w:rPr>
              <w:t>2</w:t>
            </w:r>
            <w:r>
              <w:rPr>
                <w:rFonts w:hint="eastAsia"/>
                <w:b/>
                <w:bCs/>
                <w:snapToGrid w:val="0"/>
                <w:kern w:val="0"/>
                <w:szCs w:val="24"/>
                <w:u w:val="single"/>
                <w:lang w:bidi="zh-CN"/>
              </w:rPr>
              <w:t xml:space="preserve">  危险废物产生量及处置情况一览表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746"/>
              <w:gridCol w:w="440"/>
              <w:gridCol w:w="869"/>
              <w:gridCol w:w="868"/>
              <w:gridCol w:w="793"/>
              <w:gridCol w:w="1221"/>
              <w:gridCol w:w="932"/>
              <w:gridCol w:w="1491"/>
            </w:tblGrid>
            <w:tr w14:paraId="4F76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0" w:type="auto"/>
                  <w:vAlign w:val="center"/>
                </w:tcPr>
                <w:p w14:paraId="4220E208">
                  <w:pPr>
                    <w:spacing w:line="240" w:lineRule="auto"/>
                    <w:jc w:val="center"/>
                    <w:rPr>
                      <w:b/>
                      <w:bCs/>
                      <w:snapToGrid w:val="0"/>
                      <w:kern w:val="0"/>
                      <w:sz w:val="21"/>
                      <w:szCs w:val="21"/>
                      <w:u w:val="single"/>
                    </w:rPr>
                  </w:pPr>
                  <w:r>
                    <w:rPr>
                      <w:rFonts w:hint="eastAsia"/>
                      <w:b/>
                      <w:bCs/>
                      <w:snapToGrid w:val="0"/>
                      <w:kern w:val="0"/>
                      <w:sz w:val="21"/>
                      <w:szCs w:val="21"/>
                      <w:u w:val="single"/>
                    </w:rPr>
                    <w:t>危废名称</w:t>
                  </w:r>
                </w:p>
              </w:tc>
              <w:tc>
                <w:tcPr>
                  <w:tcW w:w="746" w:type="dxa"/>
                  <w:vAlign w:val="center"/>
                </w:tcPr>
                <w:p w14:paraId="028C2FE5">
                  <w:pPr>
                    <w:spacing w:line="240" w:lineRule="auto"/>
                    <w:jc w:val="center"/>
                    <w:rPr>
                      <w:b/>
                      <w:bCs/>
                      <w:snapToGrid w:val="0"/>
                      <w:kern w:val="0"/>
                      <w:sz w:val="21"/>
                      <w:szCs w:val="21"/>
                      <w:u w:val="single"/>
                    </w:rPr>
                  </w:pPr>
                  <w:r>
                    <w:rPr>
                      <w:rFonts w:hint="eastAsia"/>
                      <w:b/>
                      <w:bCs/>
                      <w:snapToGrid w:val="0"/>
                      <w:kern w:val="0"/>
                      <w:sz w:val="21"/>
                      <w:szCs w:val="21"/>
                      <w:u w:val="single"/>
                    </w:rPr>
                    <w:t>产生</w:t>
                  </w:r>
                </w:p>
                <w:p w14:paraId="57160648">
                  <w:pPr>
                    <w:spacing w:line="240" w:lineRule="auto"/>
                    <w:jc w:val="center"/>
                    <w:rPr>
                      <w:b/>
                      <w:bCs/>
                      <w:snapToGrid w:val="0"/>
                      <w:kern w:val="0"/>
                      <w:sz w:val="21"/>
                      <w:szCs w:val="21"/>
                      <w:u w:val="single"/>
                    </w:rPr>
                  </w:pPr>
                  <w:r>
                    <w:rPr>
                      <w:rFonts w:hint="eastAsia"/>
                      <w:b/>
                      <w:bCs/>
                      <w:snapToGrid w:val="0"/>
                      <w:kern w:val="0"/>
                      <w:sz w:val="21"/>
                      <w:szCs w:val="21"/>
                      <w:u w:val="single"/>
                    </w:rPr>
                    <w:t>工序</w:t>
                  </w:r>
                </w:p>
              </w:tc>
              <w:tc>
                <w:tcPr>
                  <w:tcW w:w="440" w:type="dxa"/>
                  <w:vAlign w:val="center"/>
                </w:tcPr>
                <w:p w14:paraId="02FBEACE">
                  <w:pPr>
                    <w:spacing w:line="240" w:lineRule="auto"/>
                    <w:jc w:val="center"/>
                    <w:rPr>
                      <w:b/>
                      <w:bCs/>
                      <w:snapToGrid w:val="0"/>
                      <w:kern w:val="0"/>
                      <w:sz w:val="21"/>
                      <w:szCs w:val="21"/>
                      <w:u w:val="single"/>
                    </w:rPr>
                  </w:pPr>
                </w:p>
                <w:p w14:paraId="156B8182">
                  <w:pPr>
                    <w:spacing w:line="240" w:lineRule="auto"/>
                    <w:jc w:val="center"/>
                    <w:rPr>
                      <w:b/>
                      <w:bCs/>
                      <w:snapToGrid w:val="0"/>
                      <w:kern w:val="0"/>
                      <w:sz w:val="21"/>
                      <w:szCs w:val="21"/>
                      <w:u w:val="single"/>
                    </w:rPr>
                  </w:pPr>
                  <w:r>
                    <w:rPr>
                      <w:rFonts w:hint="eastAsia"/>
                      <w:b/>
                      <w:bCs/>
                      <w:snapToGrid w:val="0"/>
                      <w:kern w:val="0"/>
                      <w:sz w:val="21"/>
                      <w:szCs w:val="21"/>
                      <w:u w:val="single"/>
                    </w:rPr>
                    <w:t>形态</w:t>
                  </w:r>
                </w:p>
                <w:p w14:paraId="58541332">
                  <w:pPr>
                    <w:spacing w:line="240" w:lineRule="auto"/>
                    <w:jc w:val="center"/>
                    <w:rPr>
                      <w:b/>
                      <w:bCs/>
                      <w:snapToGrid w:val="0"/>
                      <w:kern w:val="0"/>
                      <w:sz w:val="21"/>
                      <w:szCs w:val="21"/>
                      <w:u w:val="single"/>
                    </w:rPr>
                  </w:pPr>
                </w:p>
              </w:tc>
              <w:tc>
                <w:tcPr>
                  <w:tcW w:w="869" w:type="dxa"/>
                  <w:vAlign w:val="center"/>
                </w:tcPr>
                <w:p w14:paraId="2C715422">
                  <w:pPr>
                    <w:spacing w:line="240" w:lineRule="auto"/>
                    <w:jc w:val="center"/>
                    <w:rPr>
                      <w:b/>
                      <w:bCs/>
                      <w:snapToGrid w:val="0"/>
                      <w:kern w:val="0"/>
                      <w:sz w:val="21"/>
                      <w:szCs w:val="21"/>
                      <w:u w:val="single"/>
                    </w:rPr>
                  </w:pPr>
                  <w:r>
                    <w:rPr>
                      <w:rFonts w:hint="eastAsia"/>
                      <w:b/>
                      <w:bCs/>
                      <w:snapToGrid w:val="0"/>
                      <w:kern w:val="0"/>
                      <w:sz w:val="21"/>
                      <w:szCs w:val="21"/>
                      <w:u w:val="single"/>
                    </w:rPr>
                    <w:t>主要</w:t>
                  </w:r>
                </w:p>
                <w:p w14:paraId="12B57691">
                  <w:pPr>
                    <w:spacing w:line="240" w:lineRule="auto"/>
                    <w:jc w:val="center"/>
                    <w:rPr>
                      <w:b/>
                      <w:bCs/>
                      <w:snapToGrid w:val="0"/>
                      <w:kern w:val="0"/>
                      <w:sz w:val="21"/>
                      <w:szCs w:val="21"/>
                      <w:u w:val="single"/>
                    </w:rPr>
                  </w:pPr>
                  <w:r>
                    <w:rPr>
                      <w:rFonts w:hint="eastAsia"/>
                      <w:b/>
                      <w:bCs/>
                      <w:snapToGrid w:val="0"/>
                      <w:kern w:val="0"/>
                      <w:sz w:val="21"/>
                      <w:szCs w:val="21"/>
                      <w:u w:val="single"/>
                    </w:rPr>
                    <w:t>成分</w:t>
                  </w:r>
                </w:p>
              </w:tc>
              <w:tc>
                <w:tcPr>
                  <w:tcW w:w="868" w:type="dxa"/>
                  <w:vAlign w:val="center"/>
                </w:tcPr>
                <w:p w14:paraId="569266D3">
                  <w:pPr>
                    <w:spacing w:line="240" w:lineRule="auto"/>
                    <w:jc w:val="center"/>
                    <w:rPr>
                      <w:b/>
                      <w:bCs/>
                      <w:snapToGrid w:val="0"/>
                      <w:kern w:val="0"/>
                      <w:sz w:val="21"/>
                      <w:szCs w:val="21"/>
                      <w:u w:val="single"/>
                    </w:rPr>
                  </w:pPr>
                  <w:r>
                    <w:rPr>
                      <w:rFonts w:hint="eastAsia"/>
                      <w:b/>
                      <w:bCs/>
                      <w:snapToGrid w:val="0"/>
                      <w:kern w:val="0"/>
                      <w:sz w:val="21"/>
                      <w:szCs w:val="21"/>
                      <w:u w:val="single"/>
                    </w:rPr>
                    <w:t>危险</w:t>
                  </w:r>
                </w:p>
                <w:p w14:paraId="497F97CD">
                  <w:pPr>
                    <w:spacing w:line="240" w:lineRule="auto"/>
                    <w:jc w:val="center"/>
                    <w:rPr>
                      <w:b/>
                      <w:bCs/>
                      <w:snapToGrid w:val="0"/>
                      <w:kern w:val="0"/>
                      <w:sz w:val="21"/>
                      <w:szCs w:val="21"/>
                      <w:u w:val="single"/>
                    </w:rPr>
                  </w:pPr>
                  <w:r>
                    <w:rPr>
                      <w:rFonts w:hint="eastAsia"/>
                      <w:b/>
                      <w:bCs/>
                      <w:snapToGrid w:val="0"/>
                      <w:kern w:val="0"/>
                      <w:sz w:val="21"/>
                      <w:szCs w:val="21"/>
                      <w:u w:val="single"/>
                    </w:rPr>
                    <w:t>特效</w:t>
                  </w:r>
                </w:p>
              </w:tc>
              <w:tc>
                <w:tcPr>
                  <w:tcW w:w="793" w:type="dxa"/>
                  <w:vAlign w:val="center"/>
                </w:tcPr>
                <w:p w14:paraId="3EEF6392">
                  <w:pPr>
                    <w:spacing w:line="240" w:lineRule="auto"/>
                    <w:jc w:val="center"/>
                    <w:rPr>
                      <w:b/>
                      <w:bCs/>
                      <w:snapToGrid w:val="0"/>
                      <w:kern w:val="0"/>
                      <w:sz w:val="21"/>
                      <w:szCs w:val="21"/>
                      <w:u w:val="single"/>
                    </w:rPr>
                  </w:pPr>
                  <w:r>
                    <w:rPr>
                      <w:rFonts w:hint="eastAsia"/>
                      <w:b/>
                      <w:bCs/>
                      <w:snapToGrid w:val="0"/>
                      <w:kern w:val="0"/>
                      <w:sz w:val="21"/>
                      <w:szCs w:val="21"/>
                      <w:u w:val="single"/>
                    </w:rPr>
                    <w:t>危废</w:t>
                  </w:r>
                </w:p>
                <w:p w14:paraId="00CBB88D">
                  <w:pPr>
                    <w:spacing w:line="240" w:lineRule="auto"/>
                    <w:jc w:val="center"/>
                    <w:rPr>
                      <w:b/>
                      <w:bCs/>
                      <w:snapToGrid w:val="0"/>
                      <w:kern w:val="0"/>
                      <w:sz w:val="21"/>
                      <w:szCs w:val="21"/>
                      <w:u w:val="single"/>
                    </w:rPr>
                  </w:pPr>
                  <w:r>
                    <w:rPr>
                      <w:rFonts w:hint="eastAsia"/>
                      <w:b/>
                      <w:bCs/>
                      <w:snapToGrid w:val="0"/>
                      <w:kern w:val="0"/>
                      <w:sz w:val="21"/>
                      <w:szCs w:val="21"/>
                      <w:u w:val="single"/>
                    </w:rPr>
                    <w:t>类别</w:t>
                  </w:r>
                </w:p>
              </w:tc>
              <w:tc>
                <w:tcPr>
                  <w:tcW w:w="1221" w:type="dxa"/>
                  <w:vAlign w:val="center"/>
                </w:tcPr>
                <w:p w14:paraId="2273AAE7">
                  <w:pPr>
                    <w:spacing w:line="240" w:lineRule="auto"/>
                    <w:jc w:val="center"/>
                    <w:rPr>
                      <w:b/>
                      <w:bCs/>
                      <w:snapToGrid w:val="0"/>
                      <w:kern w:val="0"/>
                      <w:sz w:val="21"/>
                      <w:szCs w:val="21"/>
                      <w:u w:val="single"/>
                    </w:rPr>
                  </w:pPr>
                  <w:r>
                    <w:rPr>
                      <w:rFonts w:hint="eastAsia"/>
                      <w:b/>
                      <w:bCs/>
                      <w:snapToGrid w:val="0"/>
                      <w:kern w:val="0"/>
                      <w:sz w:val="21"/>
                      <w:szCs w:val="21"/>
                      <w:u w:val="single"/>
                    </w:rPr>
                    <w:t>危废代码</w:t>
                  </w:r>
                </w:p>
              </w:tc>
              <w:tc>
                <w:tcPr>
                  <w:tcW w:w="932" w:type="dxa"/>
                  <w:vAlign w:val="center"/>
                </w:tcPr>
                <w:p w14:paraId="4A7023CE">
                  <w:pPr>
                    <w:spacing w:line="240" w:lineRule="auto"/>
                    <w:jc w:val="center"/>
                    <w:rPr>
                      <w:b/>
                      <w:bCs/>
                      <w:snapToGrid w:val="0"/>
                      <w:kern w:val="0"/>
                      <w:sz w:val="21"/>
                      <w:szCs w:val="21"/>
                      <w:u w:val="single"/>
                    </w:rPr>
                  </w:pPr>
                  <w:r>
                    <w:rPr>
                      <w:rFonts w:hint="eastAsia"/>
                      <w:b/>
                      <w:bCs/>
                      <w:snapToGrid w:val="0"/>
                      <w:kern w:val="0"/>
                      <w:sz w:val="21"/>
                      <w:szCs w:val="21"/>
                      <w:u w:val="single"/>
                    </w:rPr>
                    <w:t>产生量（t/a）</w:t>
                  </w:r>
                </w:p>
              </w:tc>
              <w:tc>
                <w:tcPr>
                  <w:tcW w:w="1491" w:type="dxa"/>
                  <w:vAlign w:val="center"/>
                </w:tcPr>
                <w:p w14:paraId="4B1A6A8B">
                  <w:pPr>
                    <w:spacing w:line="240" w:lineRule="auto"/>
                    <w:jc w:val="center"/>
                    <w:rPr>
                      <w:b/>
                      <w:bCs/>
                      <w:snapToGrid w:val="0"/>
                      <w:kern w:val="0"/>
                      <w:sz w:val="21"/>
                      <w:szCs w:val="21"/>
                      <w:u w:val="single"/>
                    </w:rPr>
                  </w:pPr>
                  <w:r>
                    <w:rPr>
                      <w:rFonts w:hint="eastAsia"/>
                      <w:b/>
                      <w:bCs/>
                      <w:snapToGrid w:val="0"/>
                      <w:kern w:val="0"/>
                      <w:sz w:val="21"/>
                      <w:szCs w:val="21"/>
                      <w:u w:val="single"/>
                    </w:rPr>
                    <w:t>处置方式</w:t>
                  </w:r>
                </w:p>
              </w:tc>
            </w:tr>
            <w:tr w14:paraId="2B0A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460F23">
                  <w:pPr>
                    <w:spacing w:line="240" w:lineRule="auto"/>
                    <w:jc w:val="center"/>
                    <w:rPr>
                      <w:b/>
                      <w:bCs/>
                      <w:snapToGrid w:val="0"/>
                      <w:kern w:val="0"/>
                      <w:szCs w:val="24"/>
                      <w:u w:val="single"/>
                    </w:rPr>
                  </w:pPr>
                  <w:r>
                    <w:rPr>
                      <w:rFonts w:hint="eastAsia"/>
                      <w:bCs/>
                      <w:snapToGrid w:val="0"/>
                      <w:kern w:val="0"/>
                      <w:sz w:val="21"/>
                      <w:szCs w:val="21"/>
                      <w:u w:val="single"/>
                    </w:rPr>
                    <w:t>医疗废物</w:t>
                  </w:r>
                </w:p>
              </w:tc>
              <w:tc>
                <w:tcPr>
                  <w:tcW w:w="746" w:type="dxa"/>
                  <w:vAlign w:val="center"/>
                </w:tcPr>
                <w:p w14:paraId="31BF5109">
                  <w:pPr>
                    <w:spacing w:line="240" w:lineRule="auto"/>
                    <w:jc w:val="center"/>
                    <w:rPr>
                      <w:bCs/>
                      <w:snapToGrid w:val="0"/>
                      <w:kern w:val="0"/>
                      <w:sz w:val="21"/>
                      <w:szCs w:val="21"/>
                      <w:u w:val="single"/>
                    </w:rPr>
                  </w:pPr>
                  <w:r>
                    <w:rPr>
                      <w:rFonts w:hint="eastAsia"/>
                      <w:bCs/>
                      <w:snapToGrid w:val="0"/>
                      <w:kern w:val="0"/>
                      <w:sz w:val="21"/>
                      <w:szCs w:val="21"/>
                      <w:u w:val="single"/>
                    </w:rPr>
                    <w:t>诊疗、 检验</w:t>
                  </w:r>
                </w:p>
              </w:tc>
              <w:tc>
                <w:tcPr>
                  <w:tcW w:w="440" w:type="dxa"/>
                  <w:vAlign w:val="center"/>
                </w:tcPr>
                <w:p w14:paraId="13949D44">
                  <w:pPr>
                    <w:spacing w:line="240" w:lineRule="auto"/>
                    <w:jc w:val="center"/>
                    <w:rPr>
                      <w:bCs/>
                      <w:snapToGrid w:val="0"/>
                      <w:kern w:val="0"/>
                      <w:sz w:val="21"/>
                      <w:szCs w:val="21"/>
                      <w:u w:val="single"/>
                    </w:rPr>
                  </w:pPr>
                  <w:r>
                    <w:rPr>
                      <w:rFonts w:hint="eastAsia"/>
                      <w:bCs/>
                      <w:snapToGrid w:val="0"/>
                      <w:kern w:val="0"/>
                      <w:sz w:val="21"/>
                      <w:szCs w:val="21"/>
                      <w:u w:val="single"/>
                    </w:rPr>
                    <w:t>固态</w:t>
                  </w:r>
                </w:p>
              </w:tc>
              <w:tc>
                <w:tcPr>
                  <w:tcW w:w="869" w:type="dxa"/>
                  <w:vAlign w:val="center"/>
                </w:tcPr>
                <w:p w14:paraId="4761FFC3">
                  <w:pPr>
                    <w:spacing w:line="240" w:lineRule="auto"/>
                    <w:jc w:val="center"/>
                    <w:rPr>
                      <w:bCs/>
                      <w:snapToGrid w:val="0"/>
                      <w:kern w:val="0"/>
                      <w:sz w:val="21"/>
                      <w:szCs w:val="21"/>
                      <w:u w:val="single"/>
                    </w:rPr>
                  </w:pPr>
                  <w:r>
                    <w:rPr>
                      <w:rFonts w:hint="eastAsia"/>
                      <w:bCs/>
                      <w:snapToGrid w:val="0"/>
                      <w:kern w:val="0"/>
                      <w:sz w:val="21"/>
                      <w:szCs w:val="21"/>
                      <w:u w:val="single"/>
                    </w:rPr>
                    <w:t>金属、</w:t>
                  </w:r>
                </w:p>
                <w:p w14:paraId="159DAF50">
                  <w:pPr>
                    <w:spacing w:line="240" w:lineRule="auto"/>
                    <w:jc w:val="center"/>
                    <w:rPr>
                      <w:bCs/>
                      <w:snapToGrid w:val="0"/>
                      <w:kern w:val="0"/>
                      <w:sz w:val="21"/>
                      <w:szCs w:val="21"/>
                      <w:u w:val="single"/>
                    </w:rPr>
                  </w:pPr>
                  <w:r>
                    <w:rPr>
                      <w:rFonts w:hint="eastAsia"/>
                      <w:bCs/>
                      <w:snapToGrid w:val="0"/>
                      <w:kern w:val="0"/>
                      <w:sz w:val="21"/>
                      <w:szCs w:val="21"/>
                      <w:u w:val="single"/>
                    </w:rPr>
                    <w:t>塑料、</w:t>
                  </w:r>
                </w:p>
                <w:p w14:paraId="5D5B50E0">
                  <w:pPr>
                    <w:spacing w:line="240" w:lineRule="auto"/>
                    <w:jc w:val="center"/>
                    <w:rPr>
                      <w:bCs/>
                      <w:snapToGrid w:val="0"/>
                      <w:kern w:val="0"/>
                      <w:sz w:val="21"/>
                      <w:szCs w:val="21"/>
                      <w:u w:val="single"/>
                    </w:rPr>
                  </w:pPr>
                  <w:r>
                    <w:rPr>
                      <w:rFonts w:hint="eastAsia"/>
                      <w:bCs/>
                      <w:snapToGrid w:val="0"/>
                      <w:kern w:val="0"/>
                      <w:sz w:val="21"/>
                      <w:szCs w:val="21"/>
                      <w:u w:val="single"/>
                    </w:rPr>
                    <w:t>纱布等</w:t>
                  </w:r>
                </w:p>
              </w:tc>
              <w:tc>
                <w:tcPr>
                  <w:tcW w:w="868" w:type="dxa"/>
                  <w:vAlign w:val="center"/>
                </w:tcPr>
                <w:p w14:paraId="133A7FCA">
                  <w:pPr>
                    <w:spacing w:line="240" w:lineRule="auto"/>
                    <w:jc w:val="center"/>
                    <w:rPr>
                      <w:bCs/>
                      <w:snapToGrid w:val="0"/>
                      <w:kern w:val="0"/>
                      <w:sz w:val="21"/>
                      <w:szCs w:val="21"/>
                      <w:u w:val="single"/>
                    </w:rPr>
                  </w:pPr>
                  <w:r>
                    <w:rPr>
                      <w:rFonts w:hint="eastAsia"/>
                      <w:bCs/>
                      <w:snapToGrid w:val="0"/>
                      <w:kern w:val="0"/>
                      <w:sz w:val="21"/>
                      <w:szCs w:val="21"/>
                      <w:u w:val="single"/>
                    </w:rPr>
                    <w:t>感染性</w:t>
                  </w:r>
                </w:p>
              </w:tc>
              <w:tc>
                <w:tcPr>
                  <w:tcW w:w="793" w:type="dxa"/>
                  <w:vAlign w:val="center"/>
                </w:tcPr>
                <w:p w14:paraId="464516C3">
                  <w:pPr>
                    <w:spacing w:line="240" w:lineRule="auto"/>
                    <w:jc w:val="center"/>
                    <w:rPr>
                      <w:bCs/>
                      <w:snapToGrid w:val="0"/>
                      <w:kern w:val="0"/>
                      <w:sz w:val="21"/>
                      <w:szCs w:val="21"/>
                      <w:u w:val="single"/>
                    </w:rPr>
                  </w:pPr>
                  <w:r>
                    <w:rPr>
                      <w:rFonts w:hint="eastAsia"/>
                      <w:bCs/>
                      <w:snapToGrid w:val="0"/>
                      <w:kern w:val="0"/>
                      <w:sz w:val="21"/>
                      <w:szCs w:val="21"/>
                      <w:u w:val="single"/>
                    </w:rPr>
                    <w:t>HW01</w:t>
                  </w:r>
                </w:p>
              </w:tc>
              <w:tc>
                <w:tcPr>
                  <w:tcW w:w="1221" w:type="dxa"/>
                  <w:vAlign w:val="center"/>
                </w:tcPr>
                <w:p w14:paraId="63872163">
                  <w:pPr>
                    <w:spacing w:line="240" w:lineRule="auto"/>
                    <w:jc w:val="center"/>
                    <w:rPr>
                      <w:bCs/>
                      <w:snapToGrid w:val="0"/>
                      <w:kern w:val="0"/>
                      <w:sz w:val="21"/>
                      <w:szCs w:val="21"/>
                      <w:u w:val="single"/>
                    </w:rPr>
                  </w:pPr>
                  <w:r>
                    <w:rPr>
                      <w:rFonts w:hint="eastAsia"/>
                      <w:bCs/>
                      <w:snapToGrid w:val="0"/>
                      <w:kern w:val="0"/>
                      <w:sz w:val="21"/>
                      <w:szCs w:val="21"/>
                      <w:u w:val="single"/>
                    </w:rPr>
                    <w:t>841-001-01</w:t>
                  </w:r>
                </w:p>
                <w:p w14:paraId="5218B80B">
                  <w:pPr>
                    <w:spacing w:line="240" w:lineRule="auto"/>
                    <w:jc w:val="center"/>
                    <w:rPr>
                      <w:bCs/>
                      <w:snapToGrid w:val="0"/>
                      <w:kern w:val="0"/>
                      <w:sz w:val="21"/>
                      <w:szCs w:val="21"/>
                      <w:u w:val="single"/>
                    </w:rPr>
                  </w:pPr>
                  <w:r>
                    <w:rPr>
                      <w:rFonts w:hint="eastAsia"/>
                      <w:bCs/>
                      <w:snapToGrid w:val="0"/>
                      <w:kern w:val="0"/>
                      <w:sz w:val="21"/>
                      <w:szCs w:val="21"/>
                      <w:u w:val="single"/>
                    </w:rPr>
                    <w:t>841-002-01</w:t>
                  </w:r>
                </w:p>
                <w:p w14:paraId="1959591D">
                  <w:pPr>
                    <w:spacing w:line="240" w:lineRule="auto"/>
                    <w:jc w:val="center"/>
                    <w:rPr>
                      <w:bCs/>
                      <w:snapToGrid w:val="0"/>
                      <w:kern w:val="0"/>
                      <w:sz w:val="21"/>
                      <w:szCs w:val="21"/>
                      <w:u w:val="single"/>
                    </w:rPr>
                  </w:pPr>
                  <w:r>
                    <w:rPr>
                      <w:rFonts w:hint="eastAsia"/>
                      <w:bCs/>
                      <w:snapToGrid w:val="0"/>
                      <w:kern w:val="0"/>
                      <w:sz w:val="21"/>
                      <w:szCs w:val="21"/>
                      <w:u w:val="single"/>
                    </w:rPr>
                    <w:t>841-004-01</w:t>
                  </w:r>
                </w:p>
                <w:p w14:paraId="13BC5C38">
                  <w:pPr>
                    <w:spacing w:line="240" w:lineRule="auto"/>
                    <w:jc w:val="center"/>
                    <w:rPr>
                      <w:bCs/>
                      <w:snapToGrid w:val="0"/>
                      <w:kern w:val="0"/>
                      <w:sz w:val="21"/>
                      <w:szCs w:val="21"/>
                      <w:u w:val="single"/>
                    </w:rPr>
                  </w:pPr>
                  <w:r>
                    <w:rPr>
                      <w:rFonts w:hint="eastAsia"/>
                      <w:bCs/>
                      <w:snapToGrid w:val="0"/>
                      <w:kern w:val="0"/>
                      <w:sz w:val="21"/>
                      <w:szCs w:val="21"/>
                      <w:u w:val="single"/>
                    </w:rPr>
                    <w:t>841-005-01</w:t>
                  </w:r>
                </w:p>
              </w:tc>
              <w:tc>
                <w:tcPr>
                  <w:tcW w:w="932" w:type="dxa"/>
                  <w:vAlign w:val="center"/>
                </w:tcPr>
                <w:p w14:paraId="3C2A8A0A">
                  <w:pPr>
                    <w:spacing w:line="240" w:lineRule="auto"/>
                    <w:jc w:val="center"/>
                    <w:rPr>
                      <w:bCs/>
                      <w:snapToGrid w:val="0"/>
                      <w:kern w:val="0"/>
                      <w:sz w:val="21"/>
                      <w:szCs w:val="21"/>
                      <w:u w:val="single"/>
                    </w:rPr>
                  </w:pPr>
                  <w:r>
                    <w:rPr>
                      <w:rFonts w:hint="eastAsia"/>
                      <w:bCs/>
                      <w:snapToGrid w:val="0"/>
                      <w:kern w:val="0"/>
                      <w:sz w:val="21"/>
                      <w:szCs w:val="21"/>
                      <w:u w:val="single"/>
                    </w:rPr>
                    <w:t>3.833</w:t>
                  </w:r>
                </w:p>
              </w:tc>
              <w:tc>
                <w:tcPr>
                  <w:tcW w:w="1491" w:type="dxa"/>
                  <w:vAlign w:val="center"/>
                </w:tcPr>
                <w:p w14:paraId="46FE763A">
                  <w:pPr>
                    <w:spacing w:line="240" w:lineRule="auto"/>
                    <w:jc w:val="center"/>
                    <w:rPr>
                      <w:bCs/>
                      <w:snapToGrid w:val="0"/>
                      <w:kern w:val="0"/>
                      <w:sz w:val="21"/>
                      <w:szCs w:val="21"/>
                      <w:u w:val="single"/>
                    </w:rPr>
                  </w:pPr>
                  <w:r>
                    <w:rPr>
                      <w:rFonts w:hint="eastAsia"/>
                      <w:bCs/>
                      <w:snapToGrid w:val="0"/>
                      <w:kern w:val="0"/>
                      <w:sz w:val="21"/>
                      <w:szCs w:val="21"/>
                      <w:u w:val="single"/>
                    </w:rPr>
                    <w:t>分类暂存后委托有资质单位定期清运</w:t>
                  </w:r>
                </w:p>
              </w:tc>
            </w:tr>
            <w:tr w14:paraId="0B4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9D1DF88">
                  <w:pPr>
                    <w:spacing w:line="240" w:lineRule="auto"/>
                    <w:jc w:val="center"/>
                    <w:rPr>
                      <w:b/>
                      <w:bCs/>
                      <w:snapToGrid w:val="0"/>
                      <w:kern w:val="0"/>
                      <w:szCs w:val="24"/>
                      <w:u w:val="single"/>
                    </w:rPr>
                  </w:pPr>
                  <w:r>
                    <w:rPr>
                      <w:rFonts w:hint="eastAsia"/>
                      <w:bCs/>
                      <w:snapToGrid w:val="0"/>
                      <w:kern w:val="0"/>
                      <w:sz w:val="21"/>
                      <w:szCs w:val="21"/>
                      <w:u w:val="single"/>
                    </w:rPr>
                    <w:t>污水处理污泥</w:t>
                  </w:r>
                </w:p>
              </w:tc>
              <w:tc>
                <w:tcPr>
                  <w:tcW w:w="746" w:type="dxa"/>
                  <w:vAlign w:val="center"/>
                </w:tcPr>
                <w:p w14:paraId="13793EC6">
                  <w:pPr>
                    <w:spacing w:line="240" w:lineRule="auto"/>
                    <w:jc w:val="center"/>
                    <w:rPr>
                      <w:bCs/>
                      <w:snapToGrid w:val="0"/>
                      <w:kern w:val="0"/>
                      <w:sz w:val="21"/>
                      <w:szCs w:val="21"/>
                      <w:u w:val="single"/>
                    </w:rPr>
                  </w:pPr>
                  <w:r>
                    <w:rPr>
                      <w:rFonts w:hint="eastAsia"/>
                      <w:bCs/>
                      <w:snapToGrid w:val="0"/>
                      <w:kern w:val="0"/>
                      <w:sz w:val="21"/>
                      <w:szCs w:val="21"/>
                      <w:u w:val="single"/>
                    </w:rPr>
                    <w:t>废水</w:t>
                  </w:r>
                </w:p>
                <w:p w14:paraId="2D69E7A8">
                  <w:pPr>
                    <w:spacing w:line="240" w:lineRule="auto"/>
                    <w:jc w:val="center"/>
                    <w:rPr>
                      <w:bCs/>
                      <w:snapToGrid w:val="0"/>
                      <w:kern w:val="0"/>
                      <w:sz w:val="21"/>
                      <w:szCs w:val="21"/>
                      <w:u w:val="single"/>
                    </w:rPr>
                  </w:pPr>
                  <w:r>
                    <w:rPr>
                      <w:rFonts w:hint="eastAsia"/>
                      <w:bCs/>
                      <w:snapToGrid w:val="0"/>
                      <w:kern w:val="0"/>
                      <w:sz w:val="21"/>
                      <w:szCs w:val="21"/>
                      <w:u w:val="single"/>
                    </w:rPr>
                    <w:t>处理</w:t>
                  </w:r>
                </w:p>
              </w:tc>
              <w:tc>
                <w:tcPr>
                  <w:tcW w:w="440" w:type="dxa"/>
                  <w:vAlign w:val="center"/>
                </w:tcPr>
                <w:p w14:paraId="52E8D493">
                  <w:pPr>
                    <w:spacing w:line="240" w:lineRule="auto"/>
                    <w:jc w:val="center"/>
                    <w:rPr>
                      <w:bCs/>
                      <w:snapToGrid w:val="0"/>
                      <w:kern w:val="0"/>
                      <w:sz w:val="21"/>
                      <w:szCs w:val="21"/>
                      <w:u w:val="single"/>
                    </w:rPr>
                  </w:pPr>
                  <w:r>
                    <w:rPr>
                      <w:rFonts w:hint="eastAsia"/>
                      <w:bCs/>
                      <w:snapToGrid w:val="0"/>
                      <w:kern w:val="0"/>
                      <w:sz w:val="21"/>
                      <w:szCs w:val="21"/>
                      <w:u w:val="single"/>
                    </w:rPr>
                    <w:t>固态</w:t>
                  </w:r>
                </w:p>
              </w:tc>
              <w:tc>
                <w:tcPr>
                  <w:tcW w:w="869" w:type="dxa"/>
                  <w:vAlign w:val="center"/>
                </w:tcPr>
                <w:p w14:paraId="492FDC40">
                  <w:pPr>
                    <w:spacing w:line="240" w:lineRule="auto"/>
                    <w:jc w:val="center"/>
                    <w:rPr>
                      <w:bCs/>
                      <w:snapToGrid w:val="0"/>
                      <w:kern w:val="0"/>
                      <w:sz w:val="21"/>
                      <w:szCs w:val="21"/>
                      <w:u w:val="single"/>
                    </w:rPr>
                  </w:pPr>
                  <w:r>
                    <w:rPr>
                      <w:rFonts w:hint="eastAsia"/>
                      <w:bCs/>
                      <w:snapToGrid w:val="0"/>
                      <w:kern w:val="0"/>
                      <w:sz w:val="21"/>
                      <w:szCs w:val="21"/>
                      <w:u w:val="single"/>
                    </w:rPr>
                    <w:t>污泥</w:t>
                  </w:r>
                </w:p>
              </w:tc>
              <w:tc>
                <w:tcPr>
                  <w:tcW w:w="868" w:type="dxa"/>
                  <w:vAlign w:val="center"/>
                </w:tcPr>
                <w:p w14:paraId="4C215CB7">
                  <w:pPr>
                    <w:spacing w:line="240" w:lineRule="auto"/>
                    <w:jc w:val="center"/>
                    <w:rPr>
                      <w:bCs/>
                      <w:snapToGrid w:val="0"/>
                      <w:kern w:val="0"/>
                      <w:sz w:val="21"/>
                      <w:szCs w:val="21"/>
                      <w:u w:val="single"/>
                    </w:rPr>
                  </w:pPr>
                  <w:r>
                    <w:rPr>
                      <w:rFonts w:hint="eastAsia"/>
                      <w:bCs/>
                      <w:snapToGrid w:val="0"/>
                      <w:kern w:val="0"/>
                      <w:sz w:val="21"/>
                      <w:szCs w:val="21"/>
                      <w:u w:val="single"/>
                    </w:rPr>
                    <w:t>感染性</w:t>
                  </w:r>
                </w:p>
              </w:tc>
              <w:tc>
                <w:tcPr>
                  <w:tcW w:w="793" w:type="dxa"/>
                  <w:vAlign w:val="center"/>
                </w:tcPr>
                <w:p w14:paraId="36EEADAD">
                  <w:pPr>
                    <w:spacing w:line="240" w:lineRule="auto"/>
                    <w:jc w:val="center"/>
                    <w:rPr>
                      <w:bCs/>
                      <w:snapToGrid w:val="0"/>
                      <w:kern w:val="0"/>
                      <w:sz w:val="21"/>
                      <w:szCs w:val="21"/>
                      <w:u w:val="single"/>
                    </w:rPr>
                  </w:pPr>
                  <w:r>
                    <w:rPr>
                      <w:rFonts w:hint="eastAsia"/>
                      <w:bCs/>
                      <w:snapToGrid w:val="0"/>
                      <w:kern w:val="0"/>
                      <w:sz w:val="21"/>
                      <w:szCs w:val="21"/>
                      <w:u w:val="single"/>
                    </w:rPr>
                    <w:t>HW01</w:t>
                  </w:r>
                </w:p>
              </w:tc>
              <w:tc>
                <w:tcPr>
                  <w:tcW w:w="1221" w:type="dxa"/>
                  <w:vAlign w:val="center"/>
                </w:tcPr>
                <w:p w14:paraId="7D898D7A">
                  <w:pPr>
                    <w:spacing w:line="240" w:lineRule="auto"/>
                    <w:jc w:val="center"/>
                    <w:rPr>
                      <w:bCs/>
                      <w:snapToGrid w:val="0"/>
                      <w:kern w:val="0"/>
                      <w:sz w:val="21"/>
                      <w:szCs w:val="21"/>
                      <w:u w:val="single"/>
                    </w:rPr>
                  </w:pPr>
                  <w:r>
                    <w:rPr>
                      <w:rFonts w:hint="eastAsia"/>
                      <w:bCs/>
                      <w:snapToGrid w:val="0"/>
                      <w:kern w:val="0"/>
                      <w:sz w:val="21"/>
                      <w:szCs w:val="21"/>
                      <w:u w:val="single"/>
                    </w:rPr>
                    <w:t>841-001-01</w:t>
                  </w:r>
                </w:p>
              </w:tc>
              <w:tc>
                <w:tcPr>
                  <w:tcW w:w="932" w:type="dxa"/>
                  <w:vAlign w:val="center"/>
                </w:tcPr>
                <w:p w14:paraId="2105740A">
                  <w:pPr>
                    <w:spacing w:line="240" w:lineRule="auto"/>
                    <w:jc w:val="center"/>
                    <w:rPr>
                      <w:bCs/>
                      <w:snapToGrid w:val="0"/>
                      <w:kern w:val="0"/>
                      <w:sz w:val="21"/>
                      <w:szCs w:val="21"/>
                      <w:u w:val="single"/>
                    </w:rPr>
                  </w:pPr>
                  <w:r>
                    <w:rPr>
                      <w:rFonts w:hint="eastAsia"/>
                      <w:bCs/>
                      <w:snapToGrid w:val="0"/>
                      <w:kern w:val="0"/>
                      <w:sz w:val="21"/>
                      <w:szCs w:val="21"/>
                      <w:u w:val="single"/>
                    </w:rPr>
                    <w:t>2.957</w:t>
                  </w:r>
                </w:p>
              </w:tc>
              <w:tc>
                <w:tcPr>
                  <w:tcW w:w="1491" w:type="dxa"/>
                  <w:vAlign w:val="center"/>
                </w:tcPr>
                <w:p w14:paraId="69415AB4">
                  <w:pPr>
                    <w:spacing w:line="240" w:lineRule="auto"/>
                    <w:jc w:val="center"/>
                    <w:rPr>
                      <w:bCs/>
                      <w:snapToGrid w:val="0"/>
                      <w:kern w:val="0"/>
                      <w:sz w:val="21"/>
                      <w:szCs w:val="21"/>
                      <w:u w:val="single"/>
                    </w:rPr>
                  </w:pPr>
                  <w:r>
                    <w:rPr>
                      <w:rFonts w:hint="eastAsia"/>
                      <w:bCs/>
                      <w:snapToGrid w:val="0"/>
                      <w:kern w:val="0"/>
                      <w:sz w:val="21"/>
                      <w:szCs w:val="21"/>
                      <w:u w:val="single"/>
                    </w:rPr>
                    <w:t>委托有资质单位定期清运</w:t>
                  </w:r>
                </w:p>
              </w:tc>
            </w:tr>
          </w:tbl>
          <w:p w14:paraId="15B2E03F">
            <w:pPr>
              <w:ind w:firstLine="482" w:firstLineChars="200"/>
              <w:jc w:val="both"/>
              <w:rPr>
                <w:b/>
                <w:bCs/>
                <w:szCs w:val="21"/>
              </w:rPr>
            </w:pPr>
            <w:r>
              <w:rPr>
                <w:rFonts w:hint="eastAsia"/>
                <w:b/>
                <w:bCs/>
                <w:szCs w:val="21"/>
              </w:rPr>
              <w:t>4.</w:t>
            </w:r>
            <w:r>
              <w:rPr>
                <w:b/>
                <w:bCs/>
                <w:szCs w:val="21"/>
              </w:rPr>
              <w:t xml:space="preserve">2 </w:t>
            </w:r>
            <w:r>
              <w:rPr>
                <w:rFonts w:hint="eastAsia"/>
                <w:b/>
                <w:bCs/>
                <w:szCs w:val="21"/>
              </w:rPr>
              <w:t>环境管理要求</w:t>
            </w:r>
          </w:p>
          <w:p w14:paraId="0A518C62">
            <w:pPr>
              <w:ind w:firstLine="480" w:firstLineChars="200"/>
              <w:jc w:val="both"/>
              <w:rPr>
                <w:szCs w:val="21"/>
              </w:rPr>
            </w:pPr>
            <w:r>
              <w:rPr>
                <w:rFonts w:hint="eastAsia"/>
                <w:szCs w:val="21"/>
              </w:rPr>
              <w:t>项目医疗垃圾属于《国家危险废物名录（2025年版）》，医疗废物属于危险废物，编号为HW01，全部按《危险废物贮存污染控制标准》（GB18597-2023）和《医疗废物处理处置污染控制标准》（GB 39707—2020）暂存后处置。处理处置措施要求如下：</w:t>
            </w:r>
          </w:p>
          <w:p w14:paraId="7583479E">
            <w:pPr>
              <w:autoSpaceDE w:val="0"/>
              <w:autoSpaceDN w:val="0"/>
              <w:ind w:firstLine="480" w:firstLineChars="200"/>
              <w:rPr>
                <w:szCs w:val="24"/>
                <w:lang w:val="zh-CN"/>
              </w:rPr>
            </w:pPr>
            <w:bookmarkStart w:id="57" w:name="_Toc10935"/>
            <w:bookmarkStart w:id="58" w:name="_Toc29247"/>
            <w:r>
              <w:rPr>
                <w:szCs w:val="24"/>
                <w:lang w:val="zh-CN"/>
              </w:rPr>
              <w:t>（</w:t>
            </w:r>
            <w:r>
              <w:rPr>
                <w:szCs w:val="24"/>
              </w:rPr>
              <w:t>一</w:t>
            </w:r>
            <w:r>
              <w:rPr>
                <w:szCs w:val="24"/>
                <w:lang w:val="zh-CN"/>
              </w:rPr>
              <w:t>）医疗废物分类收集</w:t>
            </w:r>
            <w:bookmarkEnd w:id="57"/>
            <w:bookmarkEnd w:id="58"/>
          </w:p>
          <w:p w14:paraId="485F6532">
            <w:pPr>
              <w:autoSpaceDE w:val="0"/>
              <w:autoSpaceDN w:val="0"/>
              <w:ind w:firstLine="480" w:firstLineChars="200"/>
              <w:rPr>
                <w:szCs w:val="24"/>
                <w:lang w:val="zh-CN"/>
              </w:rPr>
            </w:pPr>
            <w:r>
              <w:rPr>
                <w:szCs w:val="24"/>
                <w:lang w:val="zh-CN"/>
              </w:rPr>
              <w:t>根据《医疗废物分类目录》，对医疗废物实施分类管理；按照《医疗卫生机构医疗废物管理办法》及时分类收集医疗废物，</w:t>
            </w:r>
            <w:r>
              <w:rPr>
                <w:szCs w:val="24"/>
              </w:rPr>
              <w:t>并按照分类记录医疗废物、废药物、药品和污水处理站污泥的产生量、贮存量和转移量，并向全国固体废物管理信息系统报送相关数据</w:t>
            </w:r>
            <w:r>
              <w:rPr>
                <w:szCs w:val="24"/>
                <w:lang w:val="zh-CN"/>
              </w:rPr>
              <w:t>。</w:t>
            </w:r>
          </w:p>
          <w:p w14:paraId="0EB9FF1E">
            <w:pPr>
              <w:autoSpaceDE w:val="0"/>
              <w:autoSpaceDN w:val="0"/>
              <w:ind w:firstLine="480" w:firstLineChars="200"/>
              <w:rPr>
                <w:szCs w:val="24"/>
                <w:lang w:val="zh-CN"/>
              </w:rPr>
            </w:pPr>
            <w:bookmarkStart w:id="59" w:name="_Toc17911"/>
            <w:bookmarkStart w:id="60" w:name="_Toc1882"/>
            <w:r>
              <w:rPr>
                <w:szCs w:val="24"/>
                <w:lang w:val="zh-CN"/>
              </w:rPr>
              <w:t>（</w:t>
            </w:r>
            <w:r>
              <w:rPr>
                <w:szCs w:val="24"/>
              </w:rPr>
              <w:t>二</w:t>
            </w:r>
            <w:r>
              <w:rPr>
                <w:szCs w:val="24"/>
                <w:lang w:val="zh-CN"/>
              </w:rPr>
              <w:t>）收集容器符合规定要求</w:t>
            </w:r>
            <w:bookmarkEnd w:id="59"/>
            <w:bookmarkEnd w:id="60"/>
          </w:p>
          <w:p w14:paraId="107CCE1C">
            <w:pPr>
              <w:autoSpaceDE w:val="0"/>
              <w:autoSpaceDN w:val="0"/>
              <w:ind w:firstLine="480" w:firstLineChars="200"/>
              <w:rPr>
                <w:szCs w:val="24"/>
                <w:lang w:val="zh-CN"/>
              </w:rPr>
            </w:pPr>
            <w:r>
              <w:rPr>
                <w:rFonts w:hint="eastAsia" w:ascii="宋体" w:hAnsi="宋体" w:cs="宋体"/>
                <w:szCs w:val="24"/>
                <w:lang w:val="zh-CN"/>
              </w:rPr>
              <w:t>①</w:t>
            </w:r>
            <w:r>
              <w:rPr>
                <w:szCs w:val="24"/>
                <w:lang w:val="zh-CN"/>
              </w:rPr>
              <w:t>医疗废物收集容器应符合《医疗废物专用包装袋、容器和警示标志标准》（HJ 421-2008）要求，废物收集与存放所有废物都应丢弃或放入标明适当颜色或标识的垃圾袋或污物桶中，在装满四分之三时有人负责封袋，废物一旦放入废物箱后就不宜再取出。医院中有传染性和有害的污物不能混在一起，若混在一起则应按有害废物处理。</w:t>
            </w:r>
          </w:p>
          <w:p w14:paraId="1EFBC218">
            <w:pPr>
              <w:autoSpaceDE w:val="0"/>
              <w:autoSpaceDN w:val="0"/>
              <w:ind w:firstLine="480" w:firstLineChars="200"/>
              <w:rPr>
                <w:szCs w:val="24"/>
                <w:lang w:val="zh-CN"/>
              </w:rPr>
            </w:pPr>
            <w:bookmarkStart w:id="61" w:name="_Toc21242"/>
            <w:bookmarkStart w:id="62" w:name="_Toc20009"/>
            <w:r>
              <w:rPr>
                <w:rFonts w:hint="eastAsia" w:ascii="宋体" w:hAnsi="宋体" w:cs="宋体"/>
                <w:szCs w:val="24"/>
                <w:lang w:val="zh-CN"/>
              </w:rPr>
              <w:t>②</w:t>
            </w:r>
            <w:r>
              <w:rPr>
                <w:szCs w:val="24"/>
                <w:lang w:val="zh-CN"/>
              </w:rPr>
              <w:t>废物袋的搬运与集中污物袋要定期收集。废物袋应每日运出病房或科室，也可根据需要决定搬运时间，无标志的废物袋不应搬出，而且应保证安全并防止泄漏。封好的锐器容器或圆形废物桶搬出病房或科室之前应有明确标志。废物袋应及时更换，任何情况下都不能用普通袋代替有害废物袋。病房应同时有两种类型的废物袋。废物袋的大小应根据需要确定，尽量满足各种需要，应保证外袋颜色相符，袋内可衬以不同颜色和强度的内袋，工作人员应确保废物离开病房或科室时装入颜色相符的袋子中。</w:t>
            </w:r>
          </w:p>
          <w:p w14:paraId="3B51D5DB">
            <w:pPr>
              <w:autoSpaceDE w:val="0"/>
              <w:autoSpaceDN w:val="0"/>
              <w:ind w:firstLine="480" w:firstLineChars="200"/>
              <w:rPr>
                <w:szCs w:val="24"/>
                <w:lang w:val="zh-CN"/>
              </w:rPr>
            </w:pPr>
            <w:r>
              <w:rPr>
                <w:rFonts w:hint="eastAsia" w:ascii="宋体" w:hAnsi="宋体" w:cs="宋体"/>
                <w:szCs w:val="24"/>
                <w:lang w:val="zh-CN"/>
              </w:rPr>
              <w:t>③</w:t>
            </w:r>
            <w:r>
              <w:rPr>
                <w:rFonts w:ascii="宋体" w:hAnsi="宋体" w:cs="宋体"/>
                <w:szCs w:val="24"/>
              </w:rPr>
              <w:t>贮存设施或场所、容器和包装物应按 HJ 1276 要求设置危险废物贮存设施或场所标志、危险废物 贮存分区标志和危险废物标签等危险废物识别标志</w:t>
            </w:r>
            <w:r>
              <w:rPr>
                <w:szCs w:val="24"/>
                <w:lang w:val="zh-CN"/>
              </w:rPr>
              <w:t>；</w:t>
            </w:r>
          </w:p>
          <w:p w14:paraId="4D8602CE">
            <w:pPr>
              <w:autoSpaceDE w:val="0"/>
              <w:autoSpaceDN w:val="0"/>
              <w:ind w:firstLine="480" w:firstLineChars="200"/>
              <w:rPr>
                <w:szCs w:val="24"/>
                <w:lang w:val="zh-CN"/>
              </w:rPr>
            </w:pPr>
            <w:r>
              <w:rPr>
                <w:szCs w:val="24"/>
                <w:lang w:val="zh-CN"/>
              </w:rPr>
              <w:t>（</w:t>
            </w:r>
            <w:r>
              <w:rPr>
                <w:szCs w:val="24"/>
              </w:rPr>
              <w:t>三</w:t>
            </w:r>
            <w:r>
              <w:rPr>
                <w:szCs w:val="24"/>
                <w:lang w:val="zh-CN"/>
              </w:rPr>
              <w:t>）暂时贮存设施设置</w:t>
            </w:r>
            <w:bookmarkEnd w:id="61"/>
            <w:bookmarkEnd w:id="62"/>
          </w:p>
          <w:p w14:paraId="29268748">
            <w:pPr>
              <w:autoSpaceDE w:val="0"/>
              <w:autoSpaceDN w:val="0"/>
              <w:ind w:firstLine="480" w:firstLineChars="200"/>
              <w:rPr>
                <w:szCs w:val="24"/>
                <w:lang w:val="zh-CN"/>
              </w:rPr>
            </w:pPr>
            <w:r>
              <w:rPr>
                <w:szCs w:val="24"/>
              </w:rPr>
              <w:t>应符合《危险废物贮存污染控制标准》（GB 18597—2023）和</w:t>
            </w:r>
            <w:r>
              <w:rPr>
                <w:szCs w:val="24"/>
                <w:lang w:val="zh-CN"/>
              </w:rPr>
              <w:t>《医疗卫生机构医疗废物管理办法》规定，医疗废物的暂时贮存设施、设备应当达到以下要求：</w:t>
            </w:r>
          </w:p>
          <w:p w14:paraId="4620A4F4">
            <w:pPr>
              <w:autoSpaceDE w:val="0"/>
              <w:autoSpaceDN w:val="0"/>
              <w:ind w:firstLine="480" w:firstLineChars="200"/>
              <w:rPr>
                <w:szCs w:val="24"/>
                <w:lang w:val="zh-CN"/>
              </w:rPr>
            </w:pPr>
            <w:r>
              <w:rPr>
                <w:szCs w:val="24"/>
                <w:lang w:val="zh-CN"/>
              </w:rPr>
              <w:fldChar w:fldCharType="begin"/>
            </w:r>
            <w:r>
              <w:rPr>
                <w:szCs w:val="24"/>
                <w:lang w:val="zh-CN"/>
              </w:rPr>
              <w:instrText xml:space="preserve"> = 1 \* GB3 </w:instrText>
            </w:r>
            <w:r>
              <w:rPr>
                <w:szCs w:val="24"/>
                <w:lang w:val="zh-CN"/>
              </w:rPr>
              <w:fldChar w:fldCharType="separate"/>
            </w:r>
            <w:r>
              <w:rPr>
                <w:rFonts w:hint="eastAsia" w:ascii="宋体" w:hAnsi="宋体" w:cs="宋体"/>
                <w:szCs w:val="24"/>
                <w:lang w:val="zh-CN"/>
              </w:rPr>
              <w:t>①</w:t>
            </w:r>
            <w:r>
              <w:rPr>
                <w:szCs w:val="24"/>
                <w:lang w:val="zh-CN"/>
              </w:rPr>
              <w:fldChar w:fldCharType="end"/>
            </w:r>
            <w:r>
              <w:rPr>
                <w:szCs w:val="24"/>
                <w:lang w:val="zh-CN"/>
              </w:rPr>
              <w:t>远离医疗区、食品加工区、人员活动区和生活垃圾存放场所，方便医疗废物运送人员及运送工具、车辆的出入；</w:t>
            </w:r>
          </w:p>
          <w:p w14:paraId="6D650FA3">
            <w:pPr>
              <w:autoSpaceDE w:val="0"/>
              <w:autoSpaceDN w:val="0"/>
              <w:ind w:firstLine="480" w:firstLineChars="200"/>
              <w:rPr>
                <w:szCs w:val="24"/>
                <w:lang w:val="zh-CN"/>
              </w:rPr>
            </w:pPr>
            <w:r>
              <w:rPr>
                <w:szCs w:val="24"/>
                <w:lang w:val="zh-CN"/>
              </w:rPr>
              <w:fldChar w:fldCharType="begin"/>
            </w:r>
            <w:r>
              <w:rPr>
                <w:szCs w:val="24"/>
                <w:lang w:val="zh-CN"/>
              </w:rPr>
              <w:instrText xml:space="preserve"> = 2 \* GB3 </w:instrText>
            </w:r>
            <w:r>
              <w:rPr>
                <w:szCs w:val="24"/>
                <w:lang w:val="zh-CN"/>
              </w:rPr>
              <w:fldChar w:fldCharType="separate"/>
            </w:r>
            <w:r>
              <w:rPr>
                <w:rFonts w:hint="eastAsia" w:ascii="宋体" w:hAnsi="宋体" w:cs="宋体"/>
                <w:szCs w:val="24"/>
                <w:lang w:val="zh-CN"/>
              </w:rPr>
              <w:t>②</w:t>
            </w:r>
            <w:r>
              <w:rPr>
                <w:szCs w:val="24"/>
                <w:lang w:val="zh-CN"/>
              </w:rPr>
              <w:fldChar w:fldCharType="end"/>
            </w:r>
            <w:r>
              <w:rPr>
                <w:szCs w:val="24"/>
                <w:lang w:val="zh-CN"/>
              </w:rPr>
              <w:t>应有严密的封闭措施，设专人管理，避免非工作人员进出，以及防鼠、防蚊蝇、防蟑螂、防盗以及预防儿童接触等安全措施</w:t>
            </w:r>
            <w:r>
              <w:rPr>
                <w:rFonts w:hint="eastAsia"/>
                <w:szCs w:val="24"/>
                <w:lang w:val="zh-CN"/>
              </w:rPr>
              <w:t>；</w:t>
            </w:r>
          </w:p>
          <w:p w14:paraId="5915C8BD">
            <w:pPr>
              <w:autoSpaceDE w:val="0"/>
              <w:autoSpaceDN w:val="0"/>
              <w:ind w:firstLine="480" w:firstLineChars="200"/>
              <w:rPr>
                <w:szCs w:val="24"/>
                <w:lang w:val="zh-CN"/>
              </w:rPr>
            </w:pPr>
            <w:r>
              <w:rPr>
                <w:szCs w:val="24"/>
                <w:lang w:val="zh-CN"/>
              </w:rPr>
              <w:fldChar w:fldCharType="begin"/>
            </w:r>
            <w:r>
              <w:rPr>
                <w:szCs w:val="24"/>
                <w:lang w:val="zh-CN"/>
              </w:rPr>
              <w:instrText xml:space="preserve"> = 3 \* GB3 </w:instrText>
            </w:r>
            <w:r>
              <w:rPr>
                <w:szCs w:val="24"/>
                <w:lang w:val="zh-CN"/>
              </w:rPr>
              <w:fldChar w:fldCharType="separate"/>
            </w:r>
            <w:r>
              <w:rPr>
                <w:rFonts w:hint="eastAsia" w:ascii="宋体" w:hAnsi="宋体" w:cs="宋体"/>
                <w:szCs w:val="24"/>
                <w:lang w:val="zh-CN"/>
              </w:rPr>
              <w:t>③</w:t>
            </w:r>
            <w:r>
              <w:rPr>
                <w:szCs w:val="24"/>
                <w:lang w:val="zh-CN"/>
              </w:rPr>
              <w:fldChar w:fldCharType="end"/>
            </w:r>
            <w:r>
              <w:rPr>
                <w:rFonts w:ascii="宋体" w:hAnsi="宋体" w:cs="宋体"/>
                <w:szCs w:val="24"/>
              </w:rPr>
              <w:t>贮存设施应根据危险废物的形态、物理化学性质、包装形式和污染物迁移途径，采取必要的防 风、防晒、防雨、防漏、防渗、防腐以及其他环境污染防治措施，不应露天堆放危险废物</w:t>
            </w:r>
            <w:r>
              <w:rPr>
                <w:rFonts w:hint="eastAsia" w:ascii="宋体" w:hAnsi="宋体" w:cs="宋体"/>
                <w:szCs w:val="24"/>
              </w:rPr>
              <w:t>；</w:t>
            </w:r>
          </w:p>
          <w:p w14:paraId="33C2E37C">
            <w:pPr>
              <w:autoSpaceDE w:val="0"/>
              <w:autoSpaceDN w:val="0"/>
              <w:ind w:firstLine="480" w:firstLineChars="200"/>
              <w:rPr>
                <w:szCs w:val="24"/>
                <w:lang w:val="zh-CN"/>
              </w:rPr>
            </w:pPr>
            <w:r>
              <w:rPr>
                <w:szCs w:val="24"/>
                <w:lang w:val="zh-CN"/>
              </w:rPr>
              <w:fldChar w:fldCharType="begin"/>
            </w:r>
            <w:r>
              <w:rPr>
                <w:szCs w:val="24"/>
                <w:lang w:val="zh-CN"/>
              </w:rPr>
              <w:instrText xml:space="preserve"> = 4 \* GB3 </w:instrText>
            </w:r>
            <w:r>
              <w:rPr>
                <w:szCs w:val="24"/>
                <w:lang w:val="zh-CN"/>
              </w:rPr>
              <w:fldChar w:fldCharType="separate"/>
            </w:r>
            <w:r>
              <w:rPr>
                <w:rFonts w:hint="eastAsia" w:ascii="宋体" w:hAnsi="宋体" w:cs="宋体"/>
                <w:szCs w:val="24"/>
                <w:lang w:val="zh-CN"/>
              </w:rPr>
              <w:t>④</w:t>
            </w:r>
            <w:r>
              <w:rPr>
                <w:szCs w:val="24"/>
                <w:lang w:val="zh-CN"/>
              </w:rPr>
              <w:fldChar w:fldCharType="end"/>
            </w:r>
            <w:r>
              <w:rPr>
                <w:szCs w:val="24"/>
                <w:lang w:val="zh-CN"/>
              </w:rPr>
              <w:t>地面和1.0m高的墙裙须进行防渗处理，地面有良好的排水性能，易于清洁和消毒，产生的废水应采用管道直接排入医疗卫生机构的医疗废水消毒、处理系统，禁止将产生的废水直接排入外环境；</w:t>
            </w:r>
          </w:p>
          <w:p w14:paraId="569DEA4E">
            <w:pPr>
              <w:autoSpaceDE w:val="0"/>
              <w:autoSpaceDN w:val="0"/>
              <w:ind w:firstLine="480" w:firstLineChars="200"/>
              <w:rPr>
                <w:szCs w:val="24"/>
                <w:lang w:val="zh-CN"/>
              </w:rPr>
            </w:pPr>
            <w:r>
              <w:rPr>
                <w:szCs w:val="24"/>
                <w:lang w:val="zh-CN"/>
              </w:rPr>
              <w:fldChar w:fldCharType="begin"/>
            </w:r>
            <w:r>
              <w:rPr>
                <w:szCs w:val="24"/>
                <w:lang w:val="zh-CN"/>
              </w:rPr>
              <w:instrText xml:space="preserve"> = 5 \* GB3 </w:instrText>
            </w:r>
            <w:r>
              <w:rPr>
                <w:szCs w:val="24"/>
                <w:lang w:val="zh-CN"/>
              </w:rPr>
              <w:fldChar w:fldCharType="separate"/>
            </w:r>
            <w:r>
              <w:rPr>
                <w:rFonts w:hint="eastAsia" w:ascii="宋体" w:hAnsi="宋体" w:cs="宋体"/>
                <w:szCs w:val="24"/>
                <w:lang w:val="zh-CN"/>
              </w:rPr>
              <w:t>⑤</w:t>
            </w:r>
            <w:r>
              <w:rPr>
                <w:szCs w:val="24"/>
                <w:lang w:val="zh-CN"/>
              </w:rPr>
              <w:fldChar w:fldCharType="end"/>
            </w:r>
            <w:r>
              <w:rPr>
                <w:szCs w:val="24"/>
                <w:lang w:val="zh-CN"/>
              </w:rPr>
              <w:t>易于清洁和消毒；避免阳光直射；</w:t>
            </w:r>
          </w:p>
          <w:p w14:paraId="03329F83">
            <w:pPr>
              <w:autoSpaceDE w:val="0"/>
              <w:autoSpaceDN w:val="0"/>
              <w:ind w:firstLine="480" w:firstLineChars="200"/>
              <w:rPr>
                <w:szCs w:val="24"/>
                <w:lang w:val="zh-CN"/>
              </w:rPr>
            </w:pPr>
            <w:r>
              <w:rPr>
                <w:szCs w:val="24"/>
                <w:lang w:val="zh-CN"/>
              </w:rPr>
              <w:fldChar w:fldCharType="begin"/>
            </w:r>
            <w:r>
              <w:rPr>
                <w:szCs w:val="24"/>
                <w:lang w:val="zh-CN"/>
              </w:rPr>
              <w:instrText xml:space="preserve"> = 6 \* GB3 </w:instrText>
            </w:r>
            <w:r>
              <w:rPr>
                <w:szCs w:val="24"/>
                <w:lang w:val="zh-CN"/>
              </w:rPr>
              <w:fldChar w:fldCharType="separate"/>
            </w:r>
            <w:r>
              <w:rPr>
                <w:rFonts w:hint="eastAsia" w:ascii="宋体" w:hAnsi="宋体" w:cs="宋体"/>
                <w:szCs w:val="24"/>
                <w:lang w:val="zh-CN"/>
              </w:rPr>
              <w:t>⑥</w:t>
            </w:r>
            <w:r>
              <w:rPr>
                <w:szCs w:val="24"/>
                <w:lang w:val="zh-CN"/>
              </w:rPr>
              <w:fldChar w:fldCharType="end"/>
            </w:r>
            <w:r>
              <w:rPr>
                <w:szCs w:val="24"/>
                <w:lang w:val="zh-CN"/>
              </w:rPr>
              <w:t>设有明显的医疗废物警示标识和“禁止吸烟、饮食”的警示标识；</w:t>
            </w:r>
          </w:p>
          <w:p w14:paraId="481E0AA7">
            <w:pPr>
              <w:autoSpaceDE w:val="0"/>
              <w:autoSpaceDN w:val="0"/>
              <w:ind w:firstLine="480" w:firstLineChars="200"/>
              <w:rPr>
                <w:szCs w:val="24"/>
                <w:lang w:val="zh-CN"/>
              </w:rPr>
            </w:pPr>
            <w:r>
              <w:rPr>
                <w:szCs w:val="24"/>
                <w:lang w:val="zh-CN"/>
              </w:rPr>
              <w:fldChar w:fldCharType="begin"/>
            </w:r>
            <w:r>
              <w:rPr>
                <w:szCs w:val="24"/>
                <w:lang w:val="zh-CN"/>
              </w:rPr>
              <w:instrText xml:space="preserve"> = 7 \* GB3 </w:instrText>
            </w:r>
            <w:r>
              <w:rPr>
                <w:szCs w:val="24"/>
                <w:lang w:val="zh-CN"/>
              </w:rPr>
              <w:fldChar w:fldCharType="separate"/>
            </w:r>
            <w:r>
              <w:rPr>
                <w:rFonts w:hint="eastAsia" w:ascii="宋体" w:hAnsi="宋体" w:cs="宋体"/>
                <w:szCs w:val="24"/>
                <w:lang w:val="zh-CN"/>
              </w:rPr>
              <w:t>⑦</w:t>
            </w:r>
            <w:r>
              <w:rPr>
                <w:szCs w:val="24"/>
                <w:lang w:val="zh-CN"/>
              </w:rPr>
              <w:fldChar w:fldCharType="end"/>
            </w:r>
            <w:r>
              <w:rPr>
                <w:szCs w:val="24"/>
                <w:lang w:val="zh-CN"/>
              </w:rPr>
              <w:t>暂时贮存病理性废物，应当具备低温贮存或者防腐条件。</w:t>
            </w:r>
          </w:p>
          <w:p w14:paraId="438B8D00">
            <w:pPr>
              <w:autoSpaceDE w:val="0"/>
              <w:autoSpaceDN w:val="0"/>
              <w:ind w:firstLine="480" w:firstLineChars="200"/>
              <w:rPr>
                <w:szCs w:val="24"/>
                <w:lang w:val="zh-CN"/>
              </w:rPr>
            </w:pPr>
            <w:bookmarkStart w:id="63" w:name="_Toc5066"/>
            <w:bookmarkStart w:id="64" w:name="_Toc22807"/>
            <w:r>
              <w:rPr>
                <w:rFonts w:hint="eastAsia" w:ascii="宋体" w:hAnsi="宋体" w:cs="宋体"/>
                <w:szCs w:val="24"/>
                <w:lang w:val="zh-CN"/>
              </w:rPr>
              <w:t>⑧</w:t>
            </w:r>
            <w:r>
              <w:rPr>
                <w:rFonts w:ascii="宋体" w:hAnsi="宋体" w:cs="宋体"/>
                <w:szCs w:val="24"/>
              </w:rPr>
              <w:t>贮存设施或贮存分区内地面、墙面裙脚、堵截泄漏的围堰、接触危险废物的隔板和墙体等应采用坚固的材料建造，表面无裂缝</w:t>
            </w:r>
            <w:r>
              <w:rPr>
                <w:rFonts w:hint="eastAsia" w:ascii="宋体" w:hAnsi="宋体" w:cs="宋体"/>
                <w:szCs w:val="24"/>
              </w:rPr>
              <w:t>，</w:t>
            </w:r>
            <w:r>
              <w:rPr>
                <w:rFonts w:ascii="宋体" w:hAnsi="宋体" w:cs="宋体"/>
                <w:szCs w:val="24"/>
              </w:rPr>
              <w:t>贮存设施地面与裙脚应采取表面防渗措施；表面防渗材料应与所接触的物料或污染物相容，可采用抗渗混凝土、高密度聚乙烯膜</w:t>
            </w:r>
            <w:r>
              <w:rPr>
                <w:szCs w:val="24"/>
                <w:lang w:val="zh-CN"/>
              </w:rPr>
              <w:t>；</w:t>
            </w:r>
          </w:p>
          <w:p w14:paraId="5BAD0BCB">
            <w:pPr>
              <w:autoSpaceDE w:val="0"/>
              <w:autoSpaceDN w:val="0"/>
              <w:ind w:firstLine="480" w:firstLineChars="200"/>
              <w:rPr>
                <w:szCs w:val="24"/>
                <w:lang w:val="zh-CN"/>
              </w:rPr>
            </w:pPr>
            <w:r>
              <w:rPr>
                <w:rFonts w:hint="eastAsia" w:ascii="宋体" w:hAnsi="宋体" w:cs="宋体"/>
                <w:szCs w:val="24"/>
                <w:lang w:val="zh-CN"/>
              </w:rPr>
              <w:t>⑨</w:t>
            </w:r>
            <w:r>
              <w:rPr>
                <w:szCs w:val="24"/>
                <w:lang w:val="zh-CN"/>
              </w:rPr>
              <w:t>在库房外明显处应设置医疗废物警示标志；</w:t>
            </w:r>
          </w:p>
          <w:p w14:paraId="18AA5FF0">
            <w:pPr>
              <w:autoSpaceDE w:val="0"/>
              <w:autoSpaceDN w:val="0"/>
              <w:ind w:firstLine="480" w:firstLineChars="200"/>
              <w:rPr>
                <w:szCs w:val="24"/>
                <w:lang w:val="zh-CN"/>
              </w:rPr>
            </w:pPr>
            <w:r>
              <w:rPr>
                <w:rFonts w:hint="eastAsia" w:ascii="宋体" w:hAnsi="宋体" w:cs="宋体"/>
                <w:szCs w:val="24"/>
                <w:lang w:val="zh-CN"/>
              </w:rPr>
              <w:t>⑩</w:t>
            </w:r>
            <w:r>
              <w:rPr>
                <w:szCs w:val="24"/>
                <w:lang w:val="zh-CN"/>
              </w:rPr>
              <w:t>库房应每天在废物清运之后消毒冲洗；</w:t>
            </w:r>
          </w:p>
          <w:p w14:paraId="5B2F30F5">
            <w:pPr>
              <w:autoSpaceDE w:val="0"/>
              <w:autoSpaceDN w:val="0"/>
              <w:ind w:firstLine="480" w:firstLineChars="200"/>
              <w:rPr>
                <w:szCs w:val="24"/>
                <w:lang w:val="zh-CN"/>
              </w:rPr>
            </w:pPr>
            <w:r>
              <w:rPr>
                <w:rFonts w:ascii="Cambria Math" w:hAnsi="Cambria Math" w:cs="Cambria Math"/>
                <w:szCs w:val="24"/>
                <w:lang w:val="zh-CN"/>
              </w:rPr>
              <w:t>⑪</w:t>
            </w:r>
            <w:r>
              <w:rPr>
                <w:szCs w:val="24"/>
                <w:lang w:val="zh-CN"/>
              </w:rPr>
              <w:t>医疗废物暂存间应设置感染性、损伤性、病理性废物的贮存设施；化学性、药物性废物还应设置专用贮存设施。贮存设施内应设置不同类别医疗废物的贮存区。贮存设施地面防渗应满足国家和地方有关重点污染源防渗要求。墙面应做防渗处理，感染性、损伤性、病理性废物贮存设施的地面、墙面材料应易于清洗和消毒。感染性、损伤性、病理性废物贮存设施应设置微负压及通风装置、制冷系统和设备，排风口应设置废气净化装置。医疗废物不能及时处理处置时，应置于贮存设施内贮存。感染性、损伤性、病理性废物应盛装于医疗废物周转箱/桶内一并置于贮存设施内暂时贮存。</w:t>
            </w:r>
          </w:p>
          <w:p w14:paraId="3C761EBD">
            <w:pPr>
              <w:autoSpaceDE w:val="0"/>
              <w:autoSpaceDN w:val="0"/>
              <w:ind w:firstLine="480" w:firstLineChars="200"/>
              <w:rPr>
                <w:szCs w:val="24"/>
                <w:lang w:val="zh-CN"/>
              </w:rPr>
            </w:pPr>
            <w:r>
              <w:rPr>
                <w:szCs w:val="24"/>
                <w:lang w:val="zh-CN"/>
              </w:rPr>
              <w:t>（</w:t>
            </w:r>
            <w:r>
              <w:rPr>
                <w:szCs w:val="24"/>
              </w:rPr>
              <w:t>四</w:t>
            </w:r>
            <w:r>
              <w:rPr>
                <w:szCs w:val="24"/>
                <w:lang w:val="zh-CN"/>
              </w:rPr>
              <w:t>）暂贮时间</w:t>
            </w:r>
            <w:bookmarkEnd w:id="63"/>
            <w:bookmarkEnd w:id="64"/>
          </w:p>
          <w:p w14:paraId="1A861C8B">
            <w:pPr>
              <w:autoSpaceDE w:val="0"/>
              <w:autoSpaceDN w:val="0"/>
              <w:ind w:firstLine="480" w:firstLineChars="200"/>
              <w:rPr>
                <w:szCs w:val="24"/>
                <w:lang w:val="zh-CN"/>
              </w:rPr>
            </w:pPr>
            <w:r>
              <w:rPr>
                <w:szCs w:val="24"/>
                <w:lang w:val="zh-CN"/>
              </w:rPr>
              <w:fldChar w:fldCharType="begin"/>
            </w:r>
            <w:r>
              <w:rPr>
                <w:szCs w:val="24"/>
                <w:lang w:val="zh-CN"/>
              </w:rPr>
              <w:instrText xml:space="preserve"> = 1 \* GB3 </w:instrText>
            </w:r>
            <w:r>
              <w:rPr>
                <w:szCs w:val="24"/>
                <w:lang w:val="zh-CN"/>
              </w:rPr>
              <w:fldChar w:fldCharType="separate"/>
            </w:r>
            <w:r>
              <w:rPr>
                <w:rFonts w:hint="eastAsia" w:ascii="宋体" w:hAnsi="宋体" w:cs="宋体"/>
                <w:szCs w:val="24"/>
                <w:lang w:val="zh-CN"/>
              </w:rPr>
              <w:t>①</w:t>
            </w:r>
            <w:r>
              <w:rPr>
                <w:szCs w:val="24"/>
                <w:lang w:val="zh-CN"/>
              </w:rPr>
              <w:fldChar w:fldCharType="end"/>
            </w:r>
            <w:r>
              <w:rPr>
                <w:szCs w:val="24"/>
                <w:lang w:val="zh-CN"/>
              </w:rPr>
              <w:t>《危险废物贮存污染控制标准》规定医院产生的临床废物常温下贮存期不得超过1天，于5摄氏度以下冷藏，不得超过7天， 偏远地区贮存温度</w:t>
            </w:r>
            <w:r>
              <w:rPr>
                <w:szCs w:val="24"/>
              </w:rPr>
              <w:t xml:space="preserve"> </w:t>
            </w:r>
            <w:r>
              <w:rPr>
                <w:szCs w:val="24"/>
                <w:lang w:val="zh-CN"/>
              </w:rPr>
              <w:t>5℃，并采取消毒措施时，可适当延长贮存时间，但不得超过168小时。</w:t>
            </w:r>
          </w:p>
          <w:p w14:paraId="2601B8D8">
            <w:pPr>
              <w:autoSpaceDE w:val="0"/>
              <w:autoSpaceDN w:val="0"/>
              <w:ind w:firstLine="480" w:firstLineChars="200"/>
              <w:rPr>
                <w:szCs w:val="24"/>
                <w:lang w:val="zh-CN"/>
              </w:rPr>
            </w:pPr>
            <w:r>
              <w:rPr>
                <w:szCs w:val="24"/>
                <w:lang w:val="zh-CN"/>
              </w:rPr>
              <w:fldChar w:fldCharType="begin"/>
            </w:r>
            <w:r>
              <w:rPr>
                <w:szCs w:val="24"/>
                <w:lang w:val="zh-CN"/>
              </w:rPr>
              <w:instrText xml:space="preserve"> = 2 \* GB3 </w:instrText>
            </w:r>
            <w:r>
              <w:rPr>
                <w:szCs w:val="24"/>
                <w:lang w:val="zh-CN"/>
              </w:rPr>
              <w:fldChar w:fldCharType="separate"/>
            </w:r>
            <w:r>
              <w:rPr>
                <w:rFonts w:hint="eastAsia" w:ascii="宋体" w:hAnsi="宋体" w:cs="宋体"/>
                <w:szCs w:val="24"/>
                <w:lang w:val="zh-CN"/>
              </w:rPr>
              <w:t>②</w:t>
            </w:r>
            <w:r>
              <w:rPr>
                <w:szCs w:val="24"/>
                <w:lang w:val="zh-CN"/>
              </w:rPr>
              <w:fldChar w:fldCharType="end"/>
            </w:r>
            <w:r>
              <w:rPr>
                <w:szCs w:val="24"/>
                <w:lang w:val="zh-CN"/>
              </w:rPr>
              <w:t>项目医疗废物</w:t>
            </w:r>
            <w:r>
              <w:rPr>
                <w:rFonts w:hint="eastAsia"/>
                <w:szCs w:val="24"/>
                <w:lang w:val="zh-CN"/>
              </w:rPr>
              <w:t>采取消毒措施后</w:t>
            </w:r>
            <w:r>
              <w:rPr>
                <w:szCs w:val="24"/>
                <w:lang w:val="zh-CN"/>
              </w:rPr>
              <w:t>，暂贮时间为7天。</w:t>
            </w:r>
          </w:p>
          <w:p w14:paraId="2B1D00B9">
            <w:pPr>
              <w:autoSpaceDE w:val="0"/>
              <w:autoSpaceDN w:val="0"/>
              <w:ind w:firstLine="480" w:firstLineChars="200"/>
              <w:rPr>
                <w:szCs w:val="24"/>
                <w:lang w:val="zh-CN"/>
              </w:rPr>
            </w:pPr>
            <w:bookmarkStart w:id="65" w:name="_Toc12140"/>
            <w:bookmarkStart w:id="66" w:name="_Toc8961"/>
            <w:r>
              <w:rPr>
                <w:szCs w:val="24"/>
                <w:lang w:val="zh-CN"/>
              </w:rPr>
              <w:t>（</w:t>
            </w:r>
            <w:r>
              <w:rPr>
                <w:szCs w:val="24"/>
              </w:rPr>
              <w:t>五</w:t>
            </w:r>
            <w:r>
              <w:rPr>
                <w:szCs w:val="24"/>
                <w:lang w:val="zh-CN"/>
              </w:rPr>
              <w:t>）暂存医疗废物的交接</w:t>
            </w:r>
            <w:bookmarkEnd w:id="65"/>
            <w:bookmarkEnd w:id="66"/>
          </w:p>
          <w:p w14:paraId="12B19346">
            <w:pPr>
              <w:autoSpaceDE w:val="0"/>
              <w:autoSpaceDN w:val="0"/>
              <w:ind w:firstLine="480" w:firstLineChars="200"/>
              <w:rPr>
                <w:szCs w:val="24"/>
                <w:lang w:val="zh-CN"/>
              </w:rPr>
            </w:pPr>
            <w:r>
              <w:rPr>
                <w:szCs w:val="24"/>
                <w:lang w:val="zh-CN"/>
              </w:rPr>
              <w:t>本项目医疗废物交永州市医疗废物处置有限公司进行最终处置，医疗废物交接过程中必须严格执行以下规定：</w:t>
            </w:r>
          </w:p>
          <w:p w14:paraId="416BA4A5">
            <w:pPr>
              <w:autoSpaceDE w:val="0"/>
              <w:autoSpaceDN w:val="0"/>
              <w:ind w:firstLine="480" w:firstLineChars="200"/>
              <w:rPr>
                <w:szCs w:val="24"/>
                <w:lang w:val="zh-CN"/>
              </w:rPr>
            </w:pPr>
            <w:r>
              <w:rPr>
                <w:szCs w:val="24"/>
                <w:lang w:val="zh-CN"/>
              </w:rPr>
              <w:fldChar w:fldCharType="begin"/>
            </w:r>
            <w:r>
              <w:rPr>
                <w:szCs w:val="24"/>
                <w:lang w:val="zh-CN"/>
              </w:rPr>
              <w:instrText xml:space="preserve"> = 1 \* GB3 </w:instrText>
            </w:r>
            <w:r>
              <w:rPr>
                <w:szCs w:val="24"/>
                <w:lang w:val="zh-CN"/>
              </w:rPr>
              <w:fldChar w:fldCharType="separate"/>
            </w:r>
            <w:r>
              <w:rPr>
                <w:rFonts w:hint="eastAsia" w:ascii="宋体" w:hAnsi="宋体" w:cs="宋体"/>
                <w:szCs w:val="24"/>
                <w:lang w:val="zh-CN"/>
              </w:rPr>
              <w:t>①</w:t>
            </w:r>
            <w:r>
              <w:rPr>
                <w:szCs w:val="24"/>
                <w:lang w:val="zh-CN"/>
              </w:rPr>
              <w:fldChar w:fldCharType="end"/>
            </w:r>
            <w:r>
              <w:rPr>
                <w:szCs w:val="24"/>
                <w:lang w:val="zh-CN"/>
              </w:rPr>
              <w:t>医疗废物转移过程中执行《医疗废物集中处置技术规范（试行）》，废药物、药品和污水处理站 污泥转移处置过程中执行《危险废物转移联单管理办法》，处理处置单位应采用周转箱/桶收集、转移医疗废物，并应执行危险废物转移联单管理制度。</w:t>
            </w:r>
          </w:p>
          <w:p w14:paraId="59981AF7">
            <w:pPr>
              <w:autoSpaceDE w:val="0"/>
              <w:autoSpaceDN w:val="0"/>
              <w:ind w:firstLine="480" w:firstLineChars="200"/>
              <w:rPr>
                <w:szCs w:val="24"/>
                <w:lang w:val="zh-CN"/>
              </w:rPr>
            </w:pPr>
            <w:r>
              <w:rPr>
                <w:szCs w:val="24"/>
                <w:lang w:val="zh-CN"/>
              </w:rPr>
              <w:fldChar w:fldCharType="begin"/>
            </w:r>
            <w:r>
              <w:rPr>
                <w:szCs w:val="24"/>
                <w:lang w:val="zh-CN"/>
              </w:rPr>
              <w:instrText xml:space="preserve"> = 2 \* GB3 </w:instrText>
            </w:r>
            <w:r>
              <w:rPr>
                <w:szCs w:val="24"/>
                <w:lang w:val="zh-CN"/>
              </w:rPr>
              <w:fldChar w:fldCharType="separate"/>
            </w:r>
            <w:r>
              <w:rPr>
                <w:rFonts w:hint="eastAsia" w:ascii="宋体" w:hAnsi="宋体" w:cs="宋体"/>
                <w:szCs w:val="24"/>
                <w:lang w:val="zh-CN"/>
              </w:rPr>
              <w:t>②</w:t>
            </w:r>
            <w:r>
              <w:rPr>
                <w:szCs w:val="24"/>
                <w:lang w:val="zh-CN"/>
              </w:rPr>
              <w:fldChar w:fldCharType="end"/>
            </w:r>
            <w:r>
              <w:rPr>
                <w:szCs w:val="24"/>
                <w:lang w:val="zh-CN"/>
              </w:rPr>
              <w:t>盛装医疗废物的塑料袋或者利器盒一旦达到2/3体积后，收集至医疗废物储存间；医疗废物运送人员在接收医疗废物时，应外观检查医疗卫生机构是否按规定进行包装、标识，并盛装于周转箱内，不得打开包装袋取出医疗废物。</w:t>
            </w:r>
          </w:p>
          <w:p w14:paraId="3B4F6B72">
            <w:pPr>
              <w:autoSpaceDE w:val="0"/>
              <w:autoSpaceDN w:val="0"/>
              <w:ind w:firstLine="480" w:firstLineChars="200"/>
              <w:rPr>
                <w:szCs w:val="24"/>
                <w:lang w:val="zh-CN"/>
              </w:rPr>
            </w:pPr>
            <w:r>
              <w:rPr>
                <w:szCs w:val="24"/>
                <w:lang w:val="zh-CN"/>
              </w:rPr>
              <w:fldChar w:fldCharType="begin"/>
            </w:r>
            <w:r>
              <w:rPr>
                <w:szCs w:val="24"/>
                <w:lang w:val="zh-CN"/>
              </w:rPr>
              <w:instrText xml:space="preserve"> = 3 \* GB3 </w:instrText>
            </w:r>
            <w:r>
              <w:rPr>
                <w:szCs w:val="24"/>
                <w:lang w:val="zh-CN"/>
              </w:rPr>
              <w:fldChar w:fldCharType="separate"/>
            </w:r>
            <w:r>
              <w:rPr>
                <w:rFonts w:hint="eastAsia" w:ascii="宋体" w:hAnsi="宋体" w:cs="宋体"/>
                <w:szCs w:val="24"/>
                <w:lang w:val="zh-CN"/>
              </w:rPr>
              <w:t>③</w:t>
            </w:r>
            <w:r>
              <w:rPr>
                <w:szCs w:val="24"/>
                <w:lang w:val="zh-CN"/>
              </w:rPr>
              <w:fldChar w:fldCharType="end"/>
            </w:r>
            <w:r>
              <w:rPr>
                <w:szCs w:val="24"/>
                <w:lang w:val="zh-CN"/>
              </w:rPr>
              <w:t>对包装破损、包装外表污染或未盛装于周转箱内的医疗废物，医疗废物运送人员应当要求医疗卫生机构重新包装、标识，并盛装于周转箱内。</w:t>
            </w:r>
          </w:p>
          <w:p w14:paraId="70D9B599">
            <w:pPr>
              <w:autoSpaceDE w:val="0"/>
              <w:autoSpaceDN w:val="0"/>
              <w:ind w:firstLine="480" w:firstLineChars="200"/>
              <w:rPr>
                <w:szCs w:val="24"/>
                <w:lang w:val="zh-CN"/>
              </w:rPr>
            </w:pPr>
            <w:r>
              <w:rPr>
                <w:szCs w:val="24"/>
                <w:lang w:val="zh-CN"/>
              </w:rPr>
              <w:fldChar w:fldCharType="begin"/>
            </w:r>
            <w:r>
              <w:rPr>
                <w:szCs w:val="24"/>
                <w:lang w:val="zh-CN"/>
              </w:rPr>
              <w:instrText xml:space="preserve"> = 4 \* GB3 </w:instrText>
            </w:r>
            <w:r>
              <w:rPr>
                <w:szCs w:val="24"/>
                <w:lang w:val="zh-CN"/>
              </w:rPr>
              <w:fldChar w:fldCharType="separate"/>
            </w:r>
            <w:r>
              <w:rPr>
                <w:rFonts w:hint="eastAsia" w:ascii="宋体" w:hAnsi="宋体" w:cs="宋体"/>
                <w:szCs w:val="24"/>
                <w:lang w:val="zh-CN"/>
              </w:rPr>
              <w:t>④</w:t>
            </w:r>
            <w:r>
              <w:rPr>
                <w:szCs w:val="24"/>
                <w:lang w:val="zh-CN"/>
              </w:rPr>
              <w:fldChar w:fldCharType="end"/>
            </w:r>
            <w:r>
              <w:rPr>
                <w:szCs w:val="24"/>
                <w:lang w:val="zh-CN"/>
              </w:rPr>
              <w:t xml:space="preserve">拒不按规定对医疗废物进行包装的，运送人员有权拒绝运送，并向当地环保部门报告。 </w:t>
            </w:r>
          </w:p>
          <w:p w14:paraId="6B18AFD5">
            <w:pPr>
              <w:autoSpaceDE w:val="0"/>
              <w:autoSpaceDN w:val="0"/>
              <w:ind w:firstLine="480" w:firstLineChars="200"/>
              <w:rPr>
                <w:szCs w:val="24"/>
                <w:lang w:val="zh-CN"/>
              </w:rPr>
            </w:pPr>
            <w:r>
              <w:rPr>
                <w:rFonts w:hint="eastAsia" w:ascii="宋体" w:hAnsi="宋体" w:cs="宋体"/>
                <w:szCs w:val="24"/>
                <w:lang w:val="zh-CN"/>
              </w:rPr>
              <w:t>⑤</w:t>
            </w:r>
            <w:r>
              <w:rPr>
                <w:szCs w:val="24"/>
                <w:lang w:val="zh-CN"/>
              </w:rPr>
              <w:t>医疗废物储存间应该尽量避开人群活动区域，且与普通生活垃圾收集箱相隔一定的安全距离，医疗废物转交出去后，应当对暂时贮存地点、设施及时进行清洁和消毒处理。</w:t>
            </w:r>
          </w:p>
          <w:p w14:paraId="2D1E64F5">
            <w:pPr>
              <w:autoSpaceDE w:val="0"/>
              <w:autoSpaceDN w:val="0"/>
              <w:ind w:firstLine="480" w:firstLineChars="200"/>
              <w:rPr>
                <w:szCs w:val="24"/>
                <w:lang w:val="zh-CN"/>
              </w:rPr>
            </w:pPr>
            <w:r>
              <w:rPr>
                <w:rFonts w:hint="eastAsia" w:ascii="宋体" w:hAnsi="宋体" w:cs="宋体"/>
                <w:szCs w:val="24"/>
                <w:lang w:val="zh-CN"/>
              </w:rPr>
              <w:t>⑥</w:t>
            </w:r>
            <w:r>
              <w:rPr>
                <w:szCs w:val="24"/>
                <w:lang w:val="zh-CN"/>
              </w:rPr>
              <w:t>医疗废物集中贮存时间最长不得超过</w:t>
            </w:r>
            <w:r>
              <w:rPr>
                <w:szCs w:val="24"/>
              </w:rPr>
              <w:t>1</w:t>
            </w:r>
            <w:r>
              <w:rPr>
                <w:szCs w:val="24"/>
                <w:lang w:val="zh-CN"/>
              </w:rPr>
              <w:t>天。在夏季，容易导致废物腐败发臭，贮存场所应优先选择在通风和阴凉的地方，同时应与废物处置单位加强沟通和联系，做到日产日清。</w:t>
            </w:r>
          </w:p>
          <w:p w14:paraId="0213D81C">
            <w:pPr>
              <w:autoSpaceDE w:val="0"/>
              <w:autoSpaceDN w:val="0"/>
              <w:ind w:firstLine="480" w:firstLineChars="200"/>
              <w:rPr>
                <w:szCs w:val="24"/>
                <w:lang w:val="zh-CN"/>
              </w:rPr>
            </w:pPr>
            <w:r>
              <w:rPr>
                <w:rFonts w:hint="eastAsia" w:ascii="宋体" w:hAnsi="宋体" w:cs="宋体"/>
                <w:szCs w:val="24"/>
                <w:lang w:val="zh-CN"/>
              </w:rPr>
              <w:t>⑦</w:t>
            </w:r>
            <w:r>
              <w:rPr>
                <w:szCs w:val="24"/>
                <w:lang w:val="zh-CN"/>
              </w:rPr>
              <w:t>医院医疗废物管理者应加强集中贮存的内部管理和监督检查频次，确保所有医疗废物不会流入社会。</w:t>
            </w:r>
          </w:p>
          <w:p w14:paraId="4E565A20">
            <w:pPr>
              <w:autoSpaceDE w:val="0"/>
              <w:autoSpaceDN w:val="0"/>
              <w:ind w:firstLine="480" w:firstLineChars="200"/>
              <w:rPr>
                <w:szCs w:val="24"/>
                <w:lang w:val="zh-CN"/>
              </w:rPr>
            </w:pPr>
            <w:bookmarkStart w:id="67" w:name="_Toc17777"/>
            <w:bookmarkStart w:id="68" w:name="_Toc9964"/>
            <w:r>
              <w:rPr>
                <w:szCs w:val="24"/>
                <w:lang w:val="zh-CN"/>
              </w:rPr>
              <w:t>（</w:t>
            </w:r>
            <w:r>
              <w:rPr>
                <w:szCs w:val="24"/>
              </w:rPr>
              <w:t>六</w:t>
            </w:r>
            <w:r>
              <w:rPr>
                <w:szCs w:val="24"/>
                <w:lang w:val="zh-CN"/>
              </w:rPr>
              <w:t>）医疗废物的运输</w:t>
            </w:r>
            <w:bookmarkEnd w:id="67"/>
            <w:bookmarkEnd w:id="68"/>
          </w:p>
          <w:p w14:paraId="61CC610E">
            <w:pPr>
              <w:autoSpaceDE w:val="0"/>
              <w:autoSpaceDN w:val="0"/>
              <w:ind w:firstLine="480" w:firstLineChars="200"/>
              <w:rPr>
                <w:szCs w:val="24"/>
                <w:lang w:val="zh-CN"/>
              </w:rPr>
            </w:pPr>
            <w:r>
              <w:rPr>
                <w:szCs w:val="24"/>
                <w:lang w:val="zh-CN"/>
              </w:rPr>
              <w:fldChar w:fldCharType="begin"/>
            </w:r>
            <w:r>
              <w:rPr>
                <w:szCs w:val="24"/>
                <w:lang w:val="zh-CN"/>
              </w:rPr>
              <w:instrText xml:space="preserve"> = 1 \* GB3 </w:instrText>
            </w:r>
            <w:r>
              <w:rPr>
                <w:szCs w:val="24"/>
                <w:lang w:val="zh-CN"/>
              </w:rPr>
              <w:fldChar w:fldCharType="separate"/>
            </w:r>
            <w:r>
              <w:rPr>
                <w:rFonts w:hint="eastAsia" w:ascii="宋体" w:hAnsi="宋体" w:cs="宋体"/>
                <w:szCs w:val="24"/>
                <w:lang w:val="zh-CN"/>
              </w:rPr>
              <w:t>①</w:t>
            </w:r>
            <w:r>
              <w:rPr>
                <w:szCs w:val="24"/>
                <w:lang w:val="zh-CN"/>
              </w:rPr>
              <w:fldChar w:fldCharType="end"/>
            </w:r>
            <w:r>
              <w:rPr>
                <w:szCs w:val="24"/>
                <w:lang w:val="zh-CN"/>
              </w:rPr>
              <w:t>医疗废物运送应当使用专用车辆。</w:t>
            </w:r>
          </w:p>
          <w:p w14:paraId="78B44859">
            <w:pPr>
              <w:autoSpaceDE w:val="0"/>
              <w:autoSpaceDN w:val="0"/>
              <w:ind w:firstLine="480" w:firstLineChars="200"/>
              <w:rPr>
                <w:szCs w:val="24"/>
                <w:lang w:val="zh-CN"/>
              </w:rPr>
            </w:pPr>
            <w:r>
              <w:rPr>
                <w:szCs w:val="24"/>
                <w:lang w:val="zh-CN"/>
              </w:rPr>
              <w:fldChar w:fldCharType="begin"/>
            </w:r>
            <w:r>
              <w:rPr>
                <w:szCs w:val="24"/>
                <w:lang w:val="zh-CN"/>
              </w:rPr>
              <w:instrText xml:space="preserve"> = 2 \* GB3 </w:instrText>
            </w:r>
            <w:r>
              <w:rPr>
                <w:szCs w:val="24"/>
                <w:lang w:val="zh-CN"/>
              </w:rPr>
              <w:fldChar w:fldCharType="separate"/>
            </w:r>
            <w:r>
              <w:rPr>
                <w:rFonts w:hint="eastAsia" w:ascii="宋体" w:hAnsi="宋体" w:cs="宋体"/>
                <w:szCs w:val="24"/>
                <w:lang w:val="zh-CN"/>
              </w:rPr>
              <w:t>②</w:t>
            </w:r>
            <w:r>
              <w:rPr>
                <w:szCs w:val="24"/>
                <w:lang w:val="zh-CN"/>
              </w:rPr>
              <w:fldChar w:fldCharType="end"/>
            </w:r>
            <w:r>
              <w:rPr>
                <w:szCs w:val="24"/>
                <w:lang w:val="zh-CN"/>
              </w:rPr>
              <w:t>车辆厢体应与驾驶室分离并密闭；</w:t>
            </w:r>
          </w:p>
          <w:p w14:paraId="37487E9C">
            <w:pPr>
              <w:autoSpaceDE w:val="0"/>
              <w:autoSpaceDN w:val="0"/>
              <w:ind w:firstLine="480" w:firstLineChars="200"/>
              <w:rPr>
                <w:szCs w:val="24"/>
                <w:lang w:val="zh-CN"/>
              </w:rPr>
            </w:pPr>
            <w:r>
              <w:rPr>
                <w:szCs w:val="24"/>
                <w:lang w:val="zh-CN"/>
              </w:rPr>
              <w:fldChar w:fldCharType="begin"/>
            </w:r>
            <w:r>
              <w:rPr>
                <w:szCs w:val="24"/>
                <w:lang w:val="zh-CN"/>
              </w:rPr>
              <w:instrText xml:space="preserve"> = 3 \* GB3 </w:instrText>
            </w:r>
            <w:r>
              <w:rPr>
                <w:szCs w:val="24"/>
                <w:lang w:val="zh-CN"/>
              </w:rPr>
              <w:fldChar w:fldCharType="separate"/>
            </w:r>
            <w:r>
              <w:rPr>
                <w:rFonts w:hint="eastAsia" w:ascii="宋体" w:hAnsi="宋体" w:cs="宋体"/>
                <w:szCs w:val="24"/>
                <w:lang w:val="zh-CN"/>
              </w:rPr>
              <w:t>③</w:t>
            </w:r>
            <w:r>
              <w:rPr>
                <w:szCs w:val="24"/>
                <w:lang w:val="zh-CN"/>
              </w:rPr>
              <w:fldChar w:fldCharType="end"/>
            </w:r>
            <w:r>
              <w:rPr>
                <w:szCs w:val="24"/>
                <w:lang w:val="zh-CN"/>
              </w:rPr>
              <w:t>厢体应达到气密性要求，内壁光滑平整，易于清洗消毒；</w:t>
            </w:r>
          </w:p>
          <w:p w14:paraId="732DFF4F">
            <w:pPr>
              <w:autoSpaceDE w:val="0"/>
              <w:autoSpaceDN w:val="0"/>
              <w:ind w:firstLine="480" w:firstLineChars="200"/>
              <w:rPr>
                <w:szCs w:val="24"/>
                <w:lang w:val="zh-CN"/>
              </w:rPr>
            </w:pPr>
            <w:r>
              <w:rPr>
                <w:szCs w:val="24"/>
                <w:lang w:val="zh-CN"/>
              </w:rPr>
              <w:fldChar w:fldCharType="begin"/>
            </w:r>
            <w:r>
              <w:rPr>
                <w:szCs w:val="24"/>
                <w:lang w:val="zh-CN"/>
              </w:rPr>
              <w:instrText xml:space="preserve"> = 4 \* GB3 </w:instrText>
            </w:r>
            <w:r>
              <w:rPr>
                <w:szCs w:val="24"/>
                <w:lang w:val="zh-CN"/>
              </w:rPr>
              <w:fldChar w:fldCharType="separate"/>
            </w:r>
            <w:r>
              <w:rPr>
                <w:rFonts w:hint="eastAsia" w:ascii="宋体" w:hAnsi="宋体" w:cs="宋体"/>
                <w:szCs w:val="24"/>
                <w:lang w:val="zh-CN"/>
              </w:rPr>
              <w:t>④</w:t>
            </w:r>
            <w:r>
              <w:rPr>
                <w:szCs w:val="24"/>
                <w:lang w:val="zh-CN"/>
              </w:rPr>
              <w:fldChar w:fldCharType="end"/>
            </w:r>
            <w:r>
              <w:rPr>
                <w:szCs w:val="24"/>
                <w:lang w:val="zh-CN"/>
              </w:rPr>
              <w:t>厢体材料防水、耐腐蚀，厢体底部防液体渗漏，并设清洗污水的排水收集装置。</w:t>
            </w:r>
          </w:p>
          <w:p w14:paraId="46A87555">
            <w:pPr>
              <w:autoSpaceDE w:val="0"/>
              <w:autoSpaceDN w:val="0"/>
              <w:ind w:firstLine="480" w:firstLineChars="200"/>
              <w:rPr>
                <w:szCs w:val="24"/>
                <w:lang w:val="zh-CN"/>
              </w:rPr>
            </w:pPr>
            <w:r>
              <w:rPr>
                <w:szCs w:val="24"/>
                <w:lang w:val="zh-CN"/>
              </w:rPr>
              <w:fldChar w:fldCharType="begin"/>
            </w:r>
            <w:r>
              <w:rPr>
                <w:szCs w:val="24"/>
                <w:lang w:val="zh-CN"/>
              </w:rPr>
              <w:instrText xml:space="preserve"> = 5 \* GB3 </w:instrText>
            </w:r>
            <w:r>
              <w:rPr>
                <w:szCs w:val="24"/>
                <w:lang w:val="zh-CN"/>
              </w:rPr>
              <w:fldChar w:fldCharType="separate"/>
            </w:r>
            <w:r>
              <w:rPr>
                <w:rFonts w:hint="eastAsia" w:ascii="宋体" w:hAnsi="宋体" w:cs="宋体"/>
                <w:szCs w:val="24"/>
                <w:lang w:val="zh-CN"/>
              </w:rPr>
              <w:t>⑤</w:t>
            </w:r>
            <w:r>
              <w:rPr>
                <w:szCs w:val="24"/>
                <w:lang w:val="zh-CN"/>
              </w:rPr>
              <w:fldChar w:fldCharType="end"/>
            </w:r>
            <w:r>
              <w:rPr>
                <w:szCs w:val="24"/>
                <w:lang w:val="zh-CN"/>
              </w:rPr>
              <w:t>运送车辆应符合《医疗废物转运车技术要求》（GB19217</w:t>
            </w:r>
            <w:r>
              <w:rPr>
                <w:szCs w:val="24"/>
              </w:rPr>
              <w:t>-2003</w:t>
            </w:r>
            <w:r>
              <w:rPr>
                <w:szCs w:val="24"/>
                <w:lang w:val="zh-CN"/>
              </w:rPr>
              <w:t>）。</w:t>
            </w:r>
          </w:p>
          <w:p w14:paraId="47AA0CA1">
            <w:pPr>
              <w:autoSpaceDE w:val="0"/>
              <w:autoSpaceDN w:val="0"/>
              <w:ind w:firstLine="480" w:firstLineChars="200"/>
              <w:rPr>
                <w:szCs w:val="24"/>
                <w:lang w:val="zh-CN"/>
              </w:rPr>
            </w:pPr>
            <w:r>
              <w:rPr>
                <w:szCs w:val="24"/>
                <w:lang w:val="zh-CN"/>
              </w:rPr>
              <w:fldChar w:fldCharType="begin"/>
            </w:r>
            <w:r>
              <w:rPr>
                <w:szCs w:val="24"/>
                <w:lang w:val="zh-CN"/>
              </w:rPr>
              <w:instrText xml:space="preserve"> = 6 \* GB3 </w:instrText>
            </w:r>
            <w:r>
              <w:rPr>
                <w:szCs w:val="24"/>
                <w:lang w:val="zh-CN"/>
              </w:rPr>
              <w:fldChar w:fldCharType="separate"/>
            </w:r>
            <w:r>
              <w:rPr>
                <w:rFonts w:hint="eastAsia" w:ascii="宋体" w:hAnsi="宋体" w:cs="宋体"/>
                <w:szCs w:val="24"/>
                <w:lang w:val="zh-CN"/>
              </w:rPr>
              <w:t>⑥</w:t>
            </w:r>
            <w:r>
              <w:rPr>
                <w:szCs w:val="24"/>
                <w:lang w:val="zh-CN"/>
              </w:rPr>
              <w:fldChar w:fldCharType="end"/>
            </w:r>
            <w:r>
              <w:rPr>
                <w:szCs w:val="24"/>
              </w:rPr>
              <w:t>运输过程应按照规定路线行驶，行驶过程中应锁闭车厢门，避免医疗废物丢失、遗撒</w:t>
            </w:r>
            <w:r>
              <w:rPr>
                <w:szCs w:val="24"/>
                <w:lang w:val="zh-CN"/>
              </w:rPr>
              <w:t>。</w:t>
            </w:r>
          </w:p>
          <w:p w14:paraId="61B352A7">
            <w:pPr>
              <w:ind w:firstLine="480" w:firstLineChars="200"/>
              <w:jc w:val="both"/>
              <w:rPr>
                <w:szCs w:val="21"/>
              </w:rPr>
            </w:pPr>
            <w:r>
              <w:rPr>
                <w:rFonts w:hint="eastAsia"/>
                <w:szCs w:val="21"/>
              </w:rPr>
              <w:t>（七）其它管理要求</w:t>
            </w:r>
          </w:p>
          <w:p w14:paraId="3776CC86">
            <w:pPr>
              <w:ind w:firstLine="480" w:firstLineChars="200"/>
              <w:jc w:val="both"/>
              <w:rPr>
                <w:szCs w:val="21"/>
              </w:rPr>
            </w:pPr>
            <w:r>
              <w:rPr>
                <w:rFonts w:hint="eastAsia"/>
                <w:szCs w:val="21"/>
              </w:rPr>
              <w:t>①污水处理站污泥应经过消毒处理，由有资质的单位进行收运处置；污泥清掏前需按照 GB 18466 要求进行监测。</w:t>
            </w:r>
          </w:p>
          <w:p w14:paraId="6391142F">
            <w:pPr>
              <w:ind w:firstLine="480" w:firstLineChars="200"/>
              <w:jc w:val="both"/>
              <w:rPr>
                <w:szCs w:val="21"/>
              </w:rPr>
            </w:pPr>
            <w:r>
              <w:rPr>
                <w:rFonts w:hint="eastAsia"/>
                <w:szCs w:val="21"/>
              </w:rPr>
              <w:t>②医疗废物和生活垃圾做好日产日清理。</w:t>
            </w:r>
          </w:p>
          <w:p w14:paraId="4FC0314E">
            <w:pPr>
              <w:ind w:firstLine="480" w:firstLineChars="200"/>
              <w:jc w:val="both"/>
              <w:rPr>
                <w:szCs w:val="21"/>
              </w:rPr>
            </w:pPr>
            <w:r>
              <w:rPr>
                <w:rFonts w:hint="eastAsia"/>
                <w:szCs w:val="21"/>
              </w:rPr>
              <w:t>③危险固废处置应选择具有危险废物经营许可证，资质许可范围包含本项目产生的危险废物类别，能 够提供专业收集、运输、贮存、处理处置及综合利用危险废物的企业，避免危险 废物对环境的二次污染风险。</w:t>
            </w:r>
          </w:p>
          <w:p w14:paraId="1B305C33">
            <w:pPr>
              <w:ind w:firstLine="480" w:firstLineChars="200"/>
              <w:jc w:val="both"/>
              <w:rPr>
                <w:szCs w:val="21"/>
              </w:rPr>
            </w:pPr>
            <w:r>
              <w:rPr>
                <w:rFonts w:hint="eastAsia"/>
                <w:szCs w:val="21"/>
              </w:rPr>
              <w:t>④危险废物存入贮存设施前应对危险废物类别和特性与危险废物标签等危险废物识别标志的一致性进行核验，不一致的或类别、特性不明的不应存入。</w:t>
            </w:r>
          </w:p>
          <w:p w14:paraId="294DC25B">
            <w:pPr>
              <w:ind w:firstLine="480" w:firstLineChars="200"/>
              <w:jc w:val="both"/>
              <w:rPr>
                <w:szCs w:val="21"/>
              </w:rPr>
            </w:pPr>
            <w:r>
              <w:rPr>
                <w:rFonts w:hint="eastAsia"/>
                <w:szCs w:val="21"/>
              </w:rPr>
              <w:t>⑤应定期检查危险废物的贮存状况，及时清理贮存设施地面，更换破损泄漏的危险废物贮存容器和包装物，保证堆存危险废物的防雨、防风、防扬尘等设施功能完好。</w:t>
            </w:r>
          </w:p>
          <w:p w14:paraId="2725EEE2">
            <w:pPr>
              <w:ind w:firstLine="482" w:firstLineChars="200"/>
              <w:rPr>
                <w:b/>
                <w:bCs/>
              </w:rPr>
            </w:pPr>
            <w:r>
              <w:rPr>
                <w:rFonts w:hint="eastAsia"/>
                <w:b/>
                <w:bCs/>
              </w:rPr>
              <w:t>5、地下水、土壤</w:t>
            </w:r>
          </w:p>
          <w:p w14:paraId="0FFB8E07">
            <w:pPr>
              <w:ind w:firstLine="480" w:firstLineChars="200"/>
            </w:pPr>
            <w:r>
              <w:rPr>
                <w:rFonts w:hint="eastAsia"/>
              </w:rPr>
              <w:t>本项目位于永州市双牌县茶林镇大河江村，根据《环境影响评价技术导则  地下水环境》（HJ610-2016）中地下水环境敏感程度分级表，本项目所在地不属于《建设项目环境影响评价分类管理名录》中所界定的涉及地下水的环境敏感区，本项目区域内供水管网完善，居民以自来水为饮用水源，场地的地下水环境敏感程度为不敏感，根据地下水环境影响评价行业，本项目属于医院项目，属IV类建设项目。根据《环境影响评价技术导则  地下水环境》（HJ610-2016)要求，本项目可不进行地下水评价。</w:t>
            </w:r>
          </w:p>
          <w:p w14:paraId="408464C8">
            <w:pPr>
              <w:ind w:firstLine="480" w:firstLineChars="200"/>
            </w:pPr>
            <w:r>
              <w:rPr>
                <w:rFonts w:hint="eastAsia"/>
              </w:rPr>
              <w:t>根据《环境影响评价技术导则  土壤环境（试行）》（HJ964-2018）附录A，本项目所在行业属于社会事业与服务业，项目类别为IV类，本项目可不开展土壤环境影响评价工作。</w:t>
            </w:r>
          </w:p>
          <w:p w14:paraId="64A0C16A">
            <w:pPr>
              <w:ind w:firstLine="482" w:firstLineChars="200"/>
              <w:rPr>
                <w:b/>
                <w:bCs/>
              </w:rPr>
            </w:pPr>
            <w:r>
              <w:rPr>
                <w:rFonts w:hint="eastAsia"/>
                <w:b/>
                <w:bCs/>
              </w:rPr>
              <w:t>6、土壤影响</w:t>
            </w:r>
          </w:p>
          <w:p w14:paraId="0628F96C">
            <w:pPr>
              <w:ind w:firstLine="480" w:firstLineChars="200"/>
            </w:pPr>
            <w:r>
              <w:rPr>
                <w:rFonts w:hint="eastAsia"/>
              </w:rPr>
              <w:t>根据《环境影响评价技术导则土壤环境（试行）》（HJ964-2018）附录A，本项目所在行业属于社会事业与服务业，项目类别为 IV 类，本项目可不开展土壤环境影响评价工作。</w:t>
            </w:r>
          </w:p>
          <w:p w14:paraId="6CF545A6">
            <w:pPr>
              <w:ind w:firstLine="482" w:firstLineChars="200"/>
              <w:rPr>
                <w:b/>
                <w:bCs/>
              </w:rPr>
            </w:pPr>
            <w:r>
              <w:rPr>
                <w:rFonts w:hint="eastAsia"/>
                <w:b/>
                <w:bCs/>
              </w:rPr>
              <w:t>7、生态影响</w:t>
            </w:r>
          </w:p>
          <w:p w14:paraId="187DF1F6">
            <w:pPr>
              <w:ind w:firstLine="480" w:firstLineChars="200"/>
            </w:pPr>
            <w:r>
              <w:rPr>
                <w:rFonts w:hint="eastAsia"/>
              </w:rPr>
              <w:t>本项目改扩建位于医院空地内，本次改扩建不新增用地，故对周边生态环境及生物多样性无影响。</w:t>
            </w:r>
          </w:p>
          <w:p w14:paraId="15E30148">
            <w:pPr>
              <w:ind w:firstLine="482" w:firstLineChars="200"/>
              <w:rPr>
                <w:b/>
                <w:bCs/>
              </w:rPr>
            </w:pPr>
            <w:r>
              <w:rPr>
                <w:rFonts w:hint="eastAsia"/>
                <w:b/>
                <w:bCs/>
              </w:rPr>
              <w:t>8、环境风险</w:t>
            </w:r>
          </w:p>
          <w:p w14:paraId="40B4F3A9">
            <w:pPr>
              <w:ind w:firstLine="480" w:firstLineChars="200"/>
            </w:pPr>
            <w:r>
              <w:rPr>
                <w:rFonts w:hint="eastAsia"/>
              </w:rPr>
              <w:t>（1）风险识别</w:t>
            </w:r>
          </w:p>
          <w:p w14:paraId="78F45F53">
            <w:pPr>
              <w:ind w:firstLine="480" w:firstLineChars="200"/>
            </w:pPr>
            <w:r>
              <w:rPr>
                <w:rFonts w:hint="eastAsia"/>
              </w:rPr>
              <w:t>根据《建设项目环境风险评价技术导则》（HJ169-2018）附录A.1和《危险化学品名录》，本项目主要风险物质为：危险废物、酒精（主要为乙醇）。本项目主要环境风险因子及主要风险特性见下表：</w:t>
            </w:r>
          </w:p>
          <w:p w14:paraId="51F9F78D">
            <w:pPr>
              <w:ind w:firstLine="482" w:firstLineChars="200"/>
              <w:jc w:val="center"/>
              <w:rPr>
                <w:b/>
                <w:bCs/>
                <w:snapToGrid w:val="0"/>
                <w:kern w:val="0"/>
                <w:szCs w:val="24"/>
                <w:lang w:bidi="zh-CN"/>
              </w:rPr>
            </w:pPr>
            <w:r>
              <w:rPr>
                <w:b/>
                <w:bCs/>
                <w:snapToGrid w:val="0"/>
                <w:kern w:val="0"/>
                <w:szCs w:val="24"/>
                <w:lang w:bidi="zh-CN"/>
              </w:rPr>
              <w:t>表4-</w:t>
            </w:r>
            <w:r>
              <w:rPr>
                <w:rFonts w:hint="eastAsia"/>
                <w:b/>
                <w:bCs/>
                <w:snapToGrid w:val="0"/>
                <w:kern w:val="0"/>
                <w:szCs w:val="24"/>
                <w:lang w:bidi="zh-CN"/>
              </w:rPr>
              <w:t>1</w:t>
            </w:r>
            <w:r>
              <w:rPr>
                <w:b/>
                <w:bCs/>
                <w:snapToGrid w:val="0"/>
                <w:kern w:val="0"/>
                <w:szCs w:val="24"/>
                <w:lang w:bidi="zh-CN"/>
              </w:rPr>
              <w:t>3 环境风险因子及主要风险特性</w:t>
            </w:r>
          </w:p>
          <w:tbl>
            <w:tblPr>
              <w:tblStyle w:val="6"/>
              <w:tblW w:w="8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110"/>
              <w:gridCol w:w="1449"/>
              <w:gridCol w:w="3657"/>
              <w:gridCol w:w="1214"/>
            </w:tblGrid>
            <w:tr w14:paraId="0CDF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D9AB48F">
                  <w:pPr>
                    <w:spacing w:line="240" w:lineRule="auto"/>
                    <w:jc w:val="center"/>
                    <w:rPr>
                      <w:b/>
                      <w:bCs/>
                      <w:snapToGrid w:val="0"/>
                      <w:sz w:val="21"/>
                      <w:szCs w:val="21"/>
                    </w:rPr>
                  </w:pPr>
                  <w:r>
                    <w:rPr>
                      <w:b/>
                      <w:bCs/>
                      <w:snapToGrid w:val="0"/>
                      <w:sz w:val="21"/>
                      <w:szCs w:val="21"/>
                    </w:rPr>
                    <w:t>序号</w:t>
                  </w:r>
                </w:p>
              </w:tc>
              <w:tc>
                <w:tcPr>
                  <w:tcW w:w="2559" w:type="dxa"/>
                  <w:gridSpan w:val="2"/>
                  <w:vAlign w:val="center"/>
                </w:tcPr>
                <w:p w14:paraId="330DD812">
                  <w:pPr>
                    <w:spacing w:line="240" w:lineRule="auto"/>
                    <w:jc w:val="center"/>
                    <w:rPr>
                      <w:b/>
                      <w:bCs/>
                      <w:snapToGrid w:val="0"/>
                      <w:sz w:val="21"/>
                      <w:szCs w:val="21"/>
                    </w:rPr>
                  </w:pPr>
                  <w:r>
                    <w:rPr>
                      <w:b/>
                      <w:bCs/>
                      <w:snapToGrid w:val="0"/>
                      <w:sz w:val="21"/>
                      <w:szCs w:val="21"/>
                    </w:rPr>
                    <w:t>类别名称</w:t>
                  </w:r>
                </w:p>
              </w:tc>
              <w:tc>
                <w:tcPr>
                  <w:tcW w:w="3657" w:type="dxa"/>
                  <w:vAlign w:val="center"/>
                </w:tcPr>
                <w:p w14:paraId="352709C6">
                  <w:pPr>
                    <w:spacing w:line="240" w:lineRule="auto"/>
                    <w:jc w:val="center"/>
                    <w:rPr>
                      <w:b/>
                      <w:bCs/>
                      <w:snapToGrid w:val="0"/>
                      <w:sz w:val="21"/>
                      <w:szCs w:val="21"/>
                    </w:rPr>
                  </w:pPr>
                  <w:r>
                    <w:rPr>
                      <w:b/>
                      <w:bCs/>
                      <w:snapToGrid w:val="0"/>
                      <w:sz w:val="21"/>
                      <w:szCs w:val="21"/>
                    </w:rPr>
                    <w:t>风险特性</w:t>
                  </w:r>
                </w:p>
              </w:tc>
              <w:tc>
                <w:tcPr>
                  <w:tcW w:w="1214" w:type="dxa"/>
                  <w:vAlign w:val="center"/>
                </w:tcPr>
                <w:p w14:paraId="35AEC59A">
                  <w:pPr>
                    <w:spacing w:line="240" w:lineRule="auto"/>
                    <w:jc w:val="center"/>
                    <w:rPr>
                      <w:b/>
                      <w:bCs/>
                      <w:snapToGrid w:val="0"/>
                      <w:sz w:val="21"/>
                      <w:szCs w:val="21"/>
                    </w:rPr>
                  </w:pPr>
                  <w:r>
                    <w:rPr>
                      <w:b/>
                      <w:bCs/>
                      <w:snapToGrid w:val="0"/>
                      <w:sz w:val="21"/>
                      <w:szCs w:val="21"/>
                    </w:rPr>
                    <w:t>备注</w:t>
                  </w:r>
                </w:p>
              </w:tc>
            </w:tr>
            <w:tr w14:paraId="696C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0C5A817">
                  <w:pPr>
                    <w:spacing w:line="240" w:lineRule="auto"/>
                    <w:jc w:val="center"/>
                    <w:rPr>
                      <w:snapToGrid w:val="0"/>
                      <w:sz w:val="21"/>
                      <w:szCs w:val="21"/>
                    </w:rPr>
                  </w:pPr>
                  <w:r>
                    <w:rPr>
                      <w:snapToGrid w:val="0"/>
                      <w:sz w:val="21"/>
                      <w:szCs w:val="21"/>
                    </w:rPr>
                    <w:t>1</w:t>
                  </w:r>
                </w:p>
              </w:tc>
              <w:tc>
                <w:tcPr>
                  <w:tcW w:w="1110" w:type="dxa"/>
                  <w:vAlign w:val="center"/>
                </w:tcPr>
                <w:p w14:paraId="69CE7B74">
                  <w:pPr>
                    <w:spacing w:line="240" w:lineRule="auto"/>
                    <w:jc w:val="center"/>
                    <w:rPr>
                      <w:snapToGrid w:val="0"/>
                      <w:sz w:val="21"/>
                      <w:szCs w:val="21"/>
                    </w:rPr>
                  </w:pPr>
                  <w:r>
                    <w:rPr>
                      <w:snapToGrid w:val="0"/>
                      <w:sz w:val="21"/>
                      <w:szCs w:val="21"/>
                    </w:rPr>
                    <w:t>医院内部</w:t>
                  </w:r>
                </w:p>
              </w:tc>
              <w:tc>
                <w:tcPr>
                  <w:tcW w:w="1449" w:type="dxa"/>
                  <w:vAlign w:val="center"/>
                </w:tcPr>
                <w:p w14:paraId="31631025">
                  <w:pPr>
                    <w:spacing w:line="240" w:lineRule="auto"/>
                    <w:jc w:val="center"/>
                    <w:rPr>
                      <w:snapToGrid w:val="0"/>
                      <w:sz w:val="21"/>
                      <w:szCs w:val="21"/>
                    </w:rPr>
                  </w:pPr>
                  <w:r>
                    <w:rPr>
                      <w:snapToGrid w:val="0"/>
                      <w:sz w:val="21"/>
                      <w:szCs w:val="21"/>
                    </w:rPr>
                    <w:t>酒精</w:t>
                  </w:r>
                </w:p>
              </w:tc>
              <w:tc>
                <w:tcPr>
                  <w:tcW w:w="3657" w:type="dxa"/>
                  <w:vAlign w:val="center"/>
                </w:tcPr>
                <w:p w14:paraId="406F30B6">
                  <w:pPr>
                    <w:spacing w:line="240" w:lineRule="auto"/>
                    <w:jc w:val="center"/>
                    <w:rPr>
                      <w:snapToGrid w:val="0"/>
                      <w:sz w:val="21"/>
                      <w:szCs w:val="21"/>
                    </w:rPr>
                  </w:pPr>
                  <w:r>
                    <w:rPr>
                      <w:snapToGrid w:val="0"/>
                      <w:sz w:val="21"/>
                      <w:szCs w:val="21"/>
                    </w:rPr>
                    <w:t>易燃</w:t>
                  </w:r>
                </w:p>
              </w:tc>
              <w:tc>
                <w:tcPr>
                  <w:tcW w:w="1214" w:type="dxa"/>
                  <w:vAlign w:val="center"/>
                </w:tcPr>
                <w:p w14:paraId="04AC84B9">
                  <w:pPr>
                    <w:spacing w:line="240" w:lineRule="auto"/>
                    <w:jc w:val="center"/>
                    <w:rPr>
                      <w:snapToGrid w:val="0"/>
                      <w:sz w:val="21"/>
                      <w:szCs w:val="21"/>
                    </w:rPr>
                  </w:pPr>
                  <w:r>
                    <w:rPr>
                      <w:snapToGrid w:val="0"/>
                      <w:sz w:val="21"/>
                      <w:szCs w:val="21"/>
                    </w:rPr>
                    <w:t>挥发性</w:t>
                  </w:r>
                </w:p>
              </w:tc>
            </w:tr>
            <w:tr w14:paraId="1C33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1CCEDF3F">
                  <w:pPr>
                    <w:spacing w:line="240" w:lineRule="auto"/>
                    <w:jc w:val="center"/>
                    <w:rPr>
                      <w:snapToGrid w:val="0"/>
                      <w:sz w:val="21"/>
                      <w:szCs w:val="21"/>
                    </w:rPr>
                  </w:pPr>
                  <w:r>
                    <w:rPr>
                      <w:rFonts w:hint="eastAsia"/>
                      <w:snapToGrid w:val="0"/>
                      <w:sz w:val="21"/>
                      <w:szCs w:val="21"/>
                    </w:rPr>
                    <w:t>2</w:t>
                  </w:r>
                </w:p>
              </w:tc>
              <w:tc>
                <w:tcPr>
                  <w:tcW w:w="1110" w:type="dxa"/>
                  <w:vAlign w:val="center"/>
                </w:tcPr>
                <w:p w14:paraId="475729D6">
                  <w:pPr>
                    <w:spacing w:line="240" w:lineRule="auto"/>
                    <w:jc w:val="center"/>
                    <w:rPr>
                      <w:snapToGrid w:val="0"/>
                      <w:sz w:val="21"/>
                      <w:szCs w:val="21"/>
                    </w:rPr>
                  </w:pPr>
                  <w:r>
                    <w:rPr>
                      <w:rFonts w:hint="eastAsia"/>
                      <w:snapToGrid w:val="0"/>
                      <w:sz w:val="21"/>
                      <w:szCs w:val="21"/>
                    </w:rPr>
                    <w:t>污水处理</w:t>
                  </w:r>
                </w:p>
              </w:tc>
              <w:tc>
                <w:tcPr>
                  <w:tcW w:w="1449" w:type="dxa"/>
                  <w:vAlign w:val="center"/>
                </w:tcPr>
                <w:p w14:paraId="75ECC830">
                  <w:pPr>
                    <w:spacing w:line="240" w:lineRule="auto"/>
                    <w:jc w:val="center"/>
                    <w:rPr>
                      <w:snapToGrid w:val="0"/>
                      <w:sz w:val="21"/>
                      <w:szCs w:val="21"/>
                    </w:rPr>
                  </w:pPr>
                  <w:r>
                    <w:rPr>
                      <w:rFonts w:hint="eastAsia"/>
                      <w:snapToGrid w:val="0"/>
                      <w:sz w:val="21"/>
                      <w:szCs w:val="21"/>
                    </w:rPr>
                    <w:t>二氧化氯消毒粉（AB剂）</w:t>
                  </w:r>
                </w:p>
              </w:tc>
              <w:tc>
                <w:tcPr>
                  <w:tcW w:w="3657" w:type="dxa"/>
                  <w:vAlign w:val="center"/>
                </w:tcPr>
                <w:p w14:paraId="17C8C44A">
                  <w:pPr>
                    <w:spacing w:line="240" w:lineRule="auto"/>
                    <w:jc w:val="center"/>
                    <w:rPr>
                      <w:snapToGrid w:val="0"/>
                      <w:sz w:val="21"/>
                      <w:szCs w:val="21"/>
                    </w:rPr>
                  </w:pPr>
                  <w:r>
                    <w:rPr>
                      <w:rFonts w:hint="eastAsia"/>
                      <w:snapToGrid w:val="0"/>
                      <w:sz w:val="21"/>
                      <w:szCs w:val="21"/>
                    </w:rPr>
                    <w:t>混合易燃易爆</w:t>
                  </w:r>
                </w:p>
              </w:tc>
              <w:tc>
                <w:tcPr>
                  <w:tcW w:w="1214" w:type="dxa"/>
                  <w:vAlign w:val="center"/>
                </w:tcPr>
                <w:p w14:paraId="0C1EFF43">
                  <w:pPr>
                    <w:spacing w:line="240" w:lineRule="auto"/>
                    <w:jc w:val="center"/>
                    <w:rPr>
                      <w:snapToGrid w:val="0"/>
                      <w:sz w:val="21"/>
                      <w:szCs w:val="21"/>
                    </w:rPr>
                  </w:pPr>
                  <w:r>
                    <w:rPr>
                      <w:rFonts w:hint="eastAsia"/>
                      <w:snapToGrid w:val="0"/>
                      <w:sz w:val="21"/>
                      <w:szCs w:val="21"/>
                    </w:rPr>
                    <w:t>/</w:t>
                  </w:r>
                </w:p>
              </w:tc>
            </w:tr>
            <w:tr w14:paraId="2DB7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7B2269A2">
                  <w:pPr>
                    <w:spacing w:line="240" w:lineRule="auto"/>
                    <w:jc w:val="center"/>
                    <w:rPr>
                      <w:rFonts w:hint="eastAsia"/>
                      <w:snapToGrid w:val="0"/>
                      <w:sz w:val="21"/>
                      <w:szCs w:val="21"/>
                    </w:rPr>
                  </w:pPr>
                  <w:r>
                    <w:rPr>
                      <w:rFonts w:hint="eastAsia"/>
                      <w:snapToGrid w:val="0"/>
                      <w:sz w:val="21"/>
                      <w:szCs w:val="21"/>
                    </w:rPr>
                    <w:t>3</w:t>
                  </w:r>
                </w:p>
              </w:tc>
              <w:tc>
                <w:tcPr>
                  <w:tcW w:w="1110" w:type="dxa"/>
                  <w:vAlign w:val="center"/>
                </w:tcPr>
                <w:p w14:paraId="723B74F8">
                  <w:pPr>
                    <w:spacing w:line="240" w:lineRule="auto"/>
                    <w:jc w:val="center"/>
                    <w:rPr>
                      <w:snapToGrid w:val="0"/>
                      <w:sz w:val="21"/>
                      <w:szCs w:val="21"/>
                    </w:rPr>
                  </w:pPr>
                  <w:r>
                    <w:rPr>
                      <w:snapToGrid w:val="0"/>
                      <w:sz w:val="21"/>
                      <w:szCs w:val="21"/>
                    </w:rPr>
                    <w:t>污水事故排放</w:t>
                  </w:r>
                </w:p>
              </w:tc>
              <w:tc>
                <w:tcPr>
                  <w:tcW w:w="1449" w:type="dxa"/>
                  <w:vAlign w:val="center"/>
                </w:tcPr>
                <w:p w14:paraId="6E033784">
                  <w:pPr>
                    <w:spacing w:line="240" w:lineRule="auto"/>
                    <w:jc w:val="center"/>
                    <w:rPr>
                      <w:snapToGrid w:val="0"/>
                      <w:sz w:val="21"/>
                      <w:szCs w:val="21"/>
                    </w:rPr>
                  </w:pPr>
                  <w:r>
                    <w:rPr>
                      <w:snapToGrid w:val="0"/>
                      <w:sz w:val="21"/>
                      <w:szCs w:val="21"/>
                    </w:rPr>
                    <w:t>设备故障、突发停电、进水水质异常等</w:t>
                  </w:r>
                </w:p>
              </w:tc>
              <w:tc>
                <w:tcPr>
                  <w:tcW w:w="3657" w:type="dxa"/>
                  <w:vAlign w:val="center"/>
                </w:tcPr>
                <w:p w14:paraId="0C75B2AD">
                  <w:pPr>
                    <w:spacing w:line="240" w:lineRule="auto"/>
                    <w:jc w:val="center"/>
                    <w:rPr>
                      <w:snapToGrid w:val="0"/>
                      <w:sz w:val="21"/>
                      <w:szCs w:val="21"/>
                    </w:rPr>
                  </w:pPr>
                  <w:r>
                    <w:rPr>
                      <w:snapToGrid w:val="0"/>
                      <w:sz w:val="21"/>
                      <w:szCs w:val="21"/>
                    </w:rPr>
                    <w:t>设备故障、突发停电、进水水质异常等导致污水处理厂不能正常运行，以致出水水质不达标</w:t>
                  </w:r>
                </w:p>
              </w:tc>
              <w:tc>
                <w:tcPr>
                  <w:tcW w:w="1214" w:type="dxa"/>
                  <w:vAlign w:val="center"/>
                </w:tcPr>
                <w:p w14:paraId="1A5443BB">
                  <w:pPr>
                    <w:spacing w:line="240" w:lineRule="auto"/>
                    <w:jc w:val="center"/>
                    <w:rPr>
                      <w:snapToGrid w:val="0"/>
                      <w:sz w:val="21"/>
                      <w:szCs w:val="21"/>
                    </w:rPr>
                  </w:pPr>
                  <w:r>
                    <w:rPr>
                      <w:snapToGrid w:val="0"/>
                      <w:sz w:val="21"/>
                      <w:szCs w:val="21"/>
                    </w:rPr>
                    <w:t>/</w:t>
                  </w:r>
                </w:p>
              </w:tc>
            </w:tr>
            <w:tr w14:paraId="2CEC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Align w:val="center"/>
                </w:tcPr>
                <w:p w14:paraId="679AC8A9">
                  <w:pPr>
                    <w:spacing w:line="240" w:lineRule="auto"/>
                    <w:jc w:val="center"/>
                    <w:rPr>
                      <w:rFonts w:hint="eastAsia"/>
                      <w:snapToGrid w:val="0"/>
                      <w:sz w:val="21"/>
                      <w:szCs w:val="21"/>
                    </w:rPr>
                  </w:pPr>
                  <w:r>
                    <w:rPr>
                      <w:rFonts w:hint="eastAsia"/>
                      <w:snapToGrid w:val="0"/>
                      <w:sz w:val="21"/>
                      <w:szCs w:val="21"/>
                    </w:rPr>
                    <w:t>4</w:t>
                  </w:r>
                </w:p>
              </w:tc>
              <w:tc>
                <w:tcPr>
                  <w:tcW w:w="1110" w:type="dxa"/>
                  <w:vAlign w:val="center"/>
                </w:tcPr>
                <w:p w14:paraId="3810F561">
                  <w:pPr>
                    <w:spacing w:line="240" w:lineRule="auto"/>
                    <w:jc w:val="center"/>
                    <w:rPr>
                      <w:snapToGrid w:val="0"/>
                      <w:sz w:val="21"/>
                      <w:szCs w:val="21"/>
                    </w:rPr>
                  </w:pPr>
                  <w:r>
                    <w:rPr>
                      <w:snapToGrid w:val="0"/>
                      <w:sz w:val="21"/>
                      <w:szCs w:val="21"/>
                    </w:rPr>
                    <w:t>危险废物储存</w:t>
                  </w:r>
                </w:p>
              </w:tc>
              <w:tc>
                <w:tcPr>
                  <w:tcW w:w="1449" w:type="dxa"/>
                  <w:vAlign w:val="center"/>
                </w:tcPr>
                <w:p w14:paraId="7DA258FC">
                  <w:pPr>
                    <w:spacing w:line="240" w:lineRule="auto"/>
                    <w:jc w:val="center"/>
                    <w:rPr>
                      <w:snapToGrid w:val="0"/>
                      <w:sz w:val="21"/>
                      <w:szCs w:val="21"/>
                    </w:rPr>
                  </w:pPr>
                  <w:r>
                    <w:rPr>
                      <w:snapToGrid w:val="0"/>
                      <w:sz w:val="21"/>
                      <w:szCs w:val="21"/>
                    </w:rPr>
                    <w:t>医疗废物、检验</w:t>
                  </w:r>
                  <w:r>
                    <w:rPr>
                      <w:rFonts w:hint="eastAsia"/>
                      <w:snapToGrid w:val="0"/>
                      <w:sz w:val="21"/>
                      <w:szCs w:val="21"/>
                    </w:rPr>
                    <w:t>科</w:t>
                  </w:r>
                  <w:r>
                    <w:rPr>
                      <w:snapToGrid w:val="0"/>
                      <w:sz w:val="21"/>
                      <w:szCs w:val="21"/>
                    </w:rPr>
                    <w:t>废试剂及废液</w:t>
                  </w:r>
                </w:p>
              </w:tc>
              <w:tc>
                <w:tcPr>
                  <w:tcW w:w="3657" w:type="dxa"/>
                  <w:vAlign w:val="center"/>
                </w:tcPr>
                <w:p w14:paraId="583CB814">
                  <w:pPr>
                    <w:spacing w:line="240" w:lineRule="auto"/>
                    <w:jc w:val="center"/>
                    <w:rPr>
                      <w:snapToGrid w:val="0"/>
                      <w:sz w:val="21"/>
                      <w:szCs w:val="21"/>
                    </w:rPr>
                  </w:pPr>
                  <w:r>
                    <w:rPr>
                      <w:snapToGrid w:val="0"/>
                      <w:sz w:val="21"/>
                      <w:szCs w:val="21"/>
                    </w:rPr>
                    <w:t>危险废物泄露，污染周边地表水及土壤</w:t>
                  </w:r>
                </w:p>
              </w:tc>
              <w:tc>
                <w:tcPr>
                  <w:tcW w:w="1214" w:type="dxa"/>
                  <w:vAlign w:val="center"/>
                </w:tcPr>
                <w:p w14:paraId="2C6EACE9">
                  <w:pPr>
                    <w:spacing w:line="240" w:lineRule="auto"/>
                    <w:jc w:val="center"/>
                    <w:rPr>
                      <w:snapToGrid w:val="0"/>
                      <w:sz w:val="21"/>
                      <w:szCs w:val="21"/>
                    </w:rPr>
                  </w:pPr>
                  <w:r>
                    <w:rPr>
                      <w:snapToGrid w:val="0"/>
                      <w:sz w:val="21"/>
                      <w:szCs w:val="21"/>
                    </w:rPr>
                    <w:t>/</w:t>
                  </w:r>
                </w:p>
              </w:tc>
            </w:tr>
          </w:tbl>
          <w:p w14:paraId="7C3C6031">
            <w:pPr>
              <w:ind w:firstLine="482" w:firstLineChars="200"/>
              <w:jc w:val="both"/>
              <w:rPr>
                <w:b/>
                <w:bCs/>
                <w:snapToGrid w:val="0"/>
                <w:szCs w:val="24"/>
              </w:rPr>
            </w:pPr>
            <w:r>
              <w:rPr>
                <w:b/>
                <w:bCs/>
                <w:snapToGrid w:val="0"/>
                <w:szCs w:val="24"/>
              </w:rPr>
              <w:t>（2）环境风险潜势初判</w:t>
            </w:r>
          </w:p>
          <w:p w14:paraId="33433DC6">
            <w:pPr>
              <w:ind w:firstLine="480" w:firstLineChars="200"/>
              <w:jc w:val="both"/>
              <w:rPr>
                <w:snapToGrid w:val="0"/>
                <w:szCs w:val="24"/>
              </w:rPr>
            </w:pPr>
            <w:r>
              <w:rPr>
                <w:snapToGrid w:val="0"/>
                <w:szCs w:val="24"/>
              </w:rPr>
              <w:t>根据《建设项目环境风险评价技术导则》（HJ169-2018）要求，需按照附录C，计算本项目所涉及的每种危险物质在厂界内的最大存在总量与其在附录B中对应临界量的比值Q。</w:t>
            </w:r>
          </w:p>
          <w:p w14:paraId="35A5A614">
            <w:pPr>
              <w:ind w:firstLine="480" w:firstLineChars="200"/>
              <w:jc w:val="both"/>
              <w:rPr>
                <w:snapToGrid w:val="0"/>
                <w:szCs w:val="24"/>
              </w:rPr>
            </w:pPr>
            <w:r>
              <w:rPr>
                <w:snapToGrid w:val="0"/>
                <w:szCs w:val="24"/>
              </w:rPr>
              <w:t>当只涉及一种危险物质时，计算该物质的总量与其临界量比值，即为Q；</w:t>
            </w:r>
          </w:p>
          <w:p w14:paraId="2EE11C3E">
            <w:pPr>
              <w:ind w:firstLine="480" w:firstLineChars="200"/>
              <w:jc w:val="both"/>
              <w:rPr>
                <w:snapToGrid w:val="0"/>
                <w:szCs w:val="24"/>
              </w:rPr>
            </w:pPr>
            <w:r>
              <w:rPr>
                <w:snapToGrid w:val="0"/>
                <w:szCs w:val="24"/>
              </w:rPr>
              <w:t>当存在多种危险物质时，则下式计算物质总量与其临界量比值（Q）：</w:t>
            </w:r>
          </w:p>
          <w:p w14:paraId="0D053B3C">
            <w:pPr>
              <w:jc w:val="center"/>
              <w:rPr>
                <w:snapToGrid w:val="0"/>
                <w:szCs w:val="24"/>
              </w:rPr>
            </w:pPr>
            <w:r>
              <w:rPr>
                <w:snapToGrid w:val="0"/>
                <w:szCs w:val="24"/>
              </w:rPr>
              <w:drawing>
                <wp:inline distT="0" distB="0" distL="0" distR="0">
                  <wp:extent cx="1552575" cy="409575"/>
                  <wp:effectExtent l="0" t="0" r="9525" b="9525"/>
                  <wp:docPr id="193239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949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52575" cy="409575"/>
                          </a:xfrm>
                          <a:prstGeom prst="rect">
                            <a:avLst/>
                          </a:prstGeom>
                          <a:noFill/>
                          <a:ln>
                            <a:noFill/>
                          </a:ln>
                        </pic:spPr>
                      </pic:pic>
                    </a:graphicData>
                  </a:graphic>
                </wp:inline>
              </w:drawing>
            </w:r>
          </w:p>
          <w:p w14:paraId="1CBE35EE">
            <w:pPr>
              <w:ind w:firstLine="480" w:firstLineChars="200"/>
              <w:jc w:val="both"/>
              <w:rPr>
                <w:snapToGrid w:val="0"/>
                <w:szCs w:val="24"/>
              </w:rPr>
            </w:pPr>
            <w:r>
              <w:rPr>
                <w:snapToGrid w:val="0"/>
                <w:szCs w:val="24"/>
              </w:rPr>
              <w:t>式中：</w:t>
            </w:r>
          </w:p>
          <w:p w14:paraId="4827A9BA">
            <w:pPr>
              <w:ind w:firstLine="480" w:firstLineChars="200"/>
              <w:jc w:val="both"/>
              <w:rPr>
                <w:snapToGrid w:val="0"/>
                <w:szCs w:val="24"/>
              </w:rPr>
            </w:pPr>
            <w:r>
              <w:rPr>
                <w:snapToGrid w:val="0"/>
                <w:szCs w:val="24"/>
              </w:rPr>
              <w:t>q</w:t>
            </w:r>
            <w:r>
              <w:rPr>
                <w:snapToGrid w:val="0"/>
                <w:szCs w:val="24"/>
                <w:vertAlign w:val="subscript"/>
              </w:rPr>
              <w:t>1</w:t>
            </w:r>
            <w:r>
              <w:rPr>
                <w:snapToGrid w:val="0"/>
                <w:szCs w:val="24"/>
              </w:rPr>
              <w:t>，q</w:t>
            </w:r>
            <w:r>
              <w:rPr>
                <w:snapToGrid w:val="0"/>
                <w:szCs w:val="24"/>
                <w:vertAlign w:val="subscript"/>
              </w:rPr>
              <w:t>2</w:t>
            </w:r>
            <w:r>
              <w:rPr>
                <w:snapToGrid w:val="0"/>
                <w:szCs w:val="24"/>
              </w:rPr>
              <w:t>，...，q</w:t>
            </w:r>
            <w:r>
              <w:rPr>
                <w:snapToGrid w:val="0"/>
                <w:szCs w:val="24"/>
                <w:vertAlign w:val="subscript"/>
              </w:rPr>
              <w:t>n</w:t>
            </w:r>
            <w:r>
              <w:rPr>
                <w:snapToGrid w:val="0"/>
                <w:szCs w:val="24"/>
              </w:rPr>
              <w:t>——每种危险物质的最大存在总量，t；</w:t>
            </w:r>
          </w:p>
          <w:p w14:paraId="34A71C3D">
            <w:pPr>
              <w:ind w:firstLine="480" w:firstLineChars="200"/>
              <w:jc w:val="both"/>
              <w:rPr>
                <w:snapToGrid w:val="0"/>
                <w:szCs w:val="24"/>
              </w:rPr>
            </w:pPr>
            <w:r>
              <w:rPr>
                <w:snapToGrid w:val="0"/>
                <w:szCs w:val="24"/>
              </w:rPr>
              <w:t>Q</w:t>
            </w:r>
            <w:r>
              <w:rPr>
                <w:snapToGrid w:val="0"/>
                <w:szCs w:val="24"/>
                <w:vertAlign w:val="subscript"/>
              </w:rPr>
              <w:t>1</w:t>
            </w:r>
            <w:r>
              <w:rPr>
                <w:snapToGrid w:val="0"/>
                <w:szCs w:val="24"/>
              </w:rPr>
              <w:t>，Q</w:t>
            </w:r>
            <w:r>
              <w:rPr>
                <w:snapToGrid w:val="0"/>
                <w:szCs w:val="24"/>
                <w:vertAlign w:val="subscript"/>
              </w:rPr>
              <w:t>2</w:t>
            </w:r>
            <w:r>
              <w:rPr>
                <w:snapToGrid w:val="0"/>
                <w:szCs w:val="24"/>
              </w:rPr>
              <w:t>，...，Q</w:t>
            </w:r>
            <w:r>
              <w:rPr>
                <w:snapToGrid w:val="0"/>
                <w:szCs w:val="24"/>
                <w:vertAlign w:val="subscript"/>
              </w:rPr>
              <w:t>n</w:t>
            </w:r>
            <w:r>
              <w:rPr>
                <w:snapToGrid w:val="0"/>
                <w:szCs w:val="24"/>
              </w:rPr>
              <w:t>——每种危险物质的临界量，t。</w:t>
            </w:r>
          </w:p>
          <w:p w14:paraId="09F31792">
            <w:pPr>
              <w:ind w:firstLine="480" w:firstLineChars="200"/>
              <w:jc w:val="both"/>
              <w:rPr>
                <w:snapToGrid w:val="0"/>
                <w:szCs w:val="24"/>
              </w:rPr>
            </w:pPr>
            <w:r>
              <w:rPr>
                <w:snapToGrid w:val="0"/>
                <w:szCs w:val="24"/>
              </w:rPr>
              <w:t>当Q＜1时，该项目环境风险潜势为Ⅰ。</w:t>
            </w:r>
          </w:p>
          <w:p w14:paraId="4DDBF37C">
            <w:pPr>
              <w:ind w:firstLine="480" w:firstLineChars="200"/>
              <w:jc w:val="both"/>
              <w:rPr>
                <w:snapToGrid w:val="0"/>
                <w:szCs w:val="24"/>
              </w:rPr>
            </w:pPr>
            <w:r>
              <w:rPr>
                <w:snapToGrid w:val="0"/>
                <w:szCs w:val="24"/>
              </w:rPr>
              <w:t>当Q≥1时，将Q值划分为：1</w:t>
            </w:r>
            <w:r>
              <w:rPr>
                <w:rFonts w:hint="eastAsia"/>
                <w:snapToGrid w:val="0"/>
                <w:szCs w:val="24"/>
              </w:rPr>
              <w:t>）</w:t>
            </w:r>
            <w:r>
              <w:rPr>
                <w:snapToGrid w:val="0"/>
                <w:szCs w:val="24"/>
              </w:rPr>
              <w:t>1≤Q＜10；2</w:t>
            </w:r>
            <w:r>
              <w:rPr>
                <w:rFonts w:hint="eastAsia"/>
                <w:snapToGrid w:val="0"/>
                <w:szCs w:val="24"/>
              </w:rPr>
              <w:t>）</w:t>
            </w:r>
            <w:r>
              <w:rPr>
                <w:snapToGrid w:val="0"/>
                <w:szCs w:val="24"/>
              </w:rPr>
              <w:t>10≤Q＜100；</w:t>
            </w:r>
            <w:r>
              <w:rPr>
                <w:rFonts w:hint="eastAsia"/>
                <w:snapToGrid w:val="0"/>
                <w:szCs w:val="24"/>
              </w:rPr>
              <w:t>3）</w:t>
            </w:r>
            <w:r>
              <w:rPr>
                <w:snapToGrid w:val="0"/>
                <w:szCs w:val="24"/>
              </w:rPr>
              <w:t>Q≥100。</w:t>
            </w:r>
          </w:p>
          <w:p w14:paraId="0A18C5C6">
            <w:pPr>
              <w:ind w:firstLine="480" w:firstLineChars="200"/>
              <w:jc w:val="both"/>
              <w:rPr>
                <w:snapToGrid w:val="0"/>
                <w:szCs w:val="24"/>
              </w:rPr>
            </w:pPr>
            <w:r>
              <w:rPr>
                <w:snapToGrid w:val="0"/>
                <w:szCs w:val="24"/>
              </w:rPr>
              <w:t>对照《</w:t>
            </w:r>
            <w:bookmarkStart w:id="69" w:name="OLE_LINK21"/>
            <w:r>
              <w:rPr>
                <w:snapToGrid w:val="0"/>
                <w:szCs w:val="24"/>
              </w:rPr>
              <w:t>建设项目环境风险评价</w:t>
            </w:r>
            <w:r>
              <w:rPr>
                <w:rFonts w:hint="eastAsia"/>
                <w:snapToGrid w:val="0"/>
                <w:szCs w:val="24"/>
              </w:rPr>
              <w:t>技术</w:t>
            </w:r>
            <w:r>
              <w:rPr>
                <w:snapToGrid w:val="0"/>
                <w:szCs w:val="24"/>
              </w:rPr>
              <w:t>导则</w:t>
            </w:r>
            <w:bookmarkEnd w:id="69"/>
            <w:r>
              <w:rPr>
                <w:snapToGrid w:val="0"/>
                <w:szCs w:val="24"/>
              </w:rPr>
              <w:t>》（HJ/T169-2018）附录B重点关注的危险物质及临界量，本项目涉及的危险物质数量与临界量比值（Q）的确定情况见下表。</w:t>
            </w:r>
          </w:p>
          <w:p w14:paraId="7367FBB7">
            <w:pPr>
              <w:ind w:firstLine="482" w:firstLineChars="200"/>
              <w:jc w:val="center"/>
              <w:rPr>
                <w:b/>
                <w:bCs/>
                <w:snapToGrid w:val="0"/>
                <w:kern w:val="0"/>
                <w:szCs w:val="24"/>
                <w:lang w:bidi="zh-CN"/>
              </w:rPr>
            </w:pPr>
            <w:r>
              <w:rPr>
                <w:b/>
                <w:bCs/>
                <w:snapToGrid w:val="0"/>
                <w:kern w:val="0"/>
                <w:szCs w:val="24"/>
                <w:lang w:bidi="zh-CN"/>
              </w:rPr>
              <w:t>表4-</w:t>
            </w:r>
            <w:r>
              <w:rPr>
                <w:rFonts w:hint="eastAsia"/>
                <w:b/>
                <w:bCs/>
                <w:snapToGrid w:val="0"/>
                <w:kern w:val="0"/>
                <w:szCs w:val="24"/>
                <w:lang w:bidi="zh-CN"/>
              </w:rPr>
              <w:t>14</w:t>
            </w:r>
            <w:r>
              <w:rPr>
                <w:b/>
                <w:bCs/>
                <w:snapToGrid w:val="0"/>
                <w:kern w:val="0"/>
                <w:szCs w:val="24"/>
                <w:lang w:bidi="zh-CN"/>
              </w:rPr>
              <w:t xml:space="preserve">  危险物质数量与临界量比值（Q）表</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082"/>
              <w:gridCol w:w="1695"/>
              <w:gridCol w:w="1661"/>
              <w:gridCol w:w="1754"/>
              <w:gridCol w:w="2290"/>
            </w:tblGrid>
            <w:tr w14:paraId="4D8081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638" w:type="pct"/>
                  <w:vAlign w:val="center"/>
                </w:tcPr>
                <w:p w14:paraId="7730A3EC">
                  <w:pPr>
                    <w:spacing w:line="240" w:lineRule="auto"/>
                    <w:jc w:val="center"/>
                    <w:rPr>
                      <w:b/>
                      <w:bCs/>
                      <w:snapToGrid w:val="0"/>
                      <w:sz w:val="21"/>
                      <w:szCs w:val="21"/>
                    </w:rPr>
                  </w:pPr>
                  <w:r>
                    <w:rPr>
                      <w:b/>
                      <w:bCs/>
                      <w:snapToGrid w:val="0"/>
                      <w:sz w:val="21"/>
                      <w:szCs w:val="21"/>
                    </w:rPr>
                    <w:t>序号</w:t>
                  </w:r>
                </w:p>
              </w:tc>
              <w:tc>
                <w:tcPr>
                  <w:tcW w:w="999" w:type="pct"/>
                  <w:vAlign w:val="center"/>
                </w:tcPr>
                <w:p w14:paraId="200D8C19">
                  <w:pPr>
                    <w:spacing w:line="240" w:lineRule="auto"/>
                    <w:jc w:val="center"/>
                    <w:rPr>
                      <w:b/>
                      <w:bCs/>
                      <w:snapToGrid w:val="0"/>
                      <w:sz w:val="21"/>
                      <w:szCs w:val="21"/>
                    </w:rPr>
                  </w:pPr>
                  <w:r>
                    <w:rPr>
                      <w:b/>
                      <w:bCs/>
                      <w:snapToGrid w:val="0"/>
                      <w:sz w:val="21"/>
                      <w:szCs w:val="21"/>
                    </w:rPr>
                    <w:t>危险物质名称</w:t>
                  </w:r>
                </w:p>
              </w:tc>
              <w:tc>
                <w:tcPr>
                  <w:tcW w:w="979" w:type="pct"/>
                  <w:vAlign w:val="center"/>
                </w:tcPr>
                <w:p w14:paraId="42C45C32">
                  <w:pPr>
                    <w:spacing w:line="240" w:lineRule="auto"/>
                    <w:jc w:val="center"/>
                    <w:rPr>
                      <w:b/>
                      <w:bCs/>
                      <w:snapToGrid w:val="0"/>
                      <w:sz w:val="21"/>
                      <w:szCs w:val="21"/>
                    </w:rPr>
                  </w:pPr>
                  <w:r>
                    <w:rPr>
                      <w:b/>
                      <w:bCs/>
                      <w:snapToGrid w:val="0"/>
                      <w:sz w:val="21"/>
                      <w:szCs w:val="21"/>
                    </w:rPr>
                    <w:t>最大存在总量/t</w:t>
                  </w:r>
                </w:p>
              </w:tc>
              <w:tc>
                <w:tcPr>
                  <w:tcW w:w="1034" w:type="pct"/>
                  <w:vAlign w:val="center"/>
                </w:tcPr>
                <w:p w14:paraId="0211BE16">
                  <w:pPr>
                    <w:spacing w:line="240" w:lineRule="auto"/>
                    <w:jc w:val="center"/>
                    <w:rPr>
                      <w:b/>
                      <w:bCs/>
                      <w:snapToGrid w:val="0"/>
                      <w:sz w:val="21"/>
                      <w:szCs w:val="21"/>
                    </w:rPr>
                  </w:pPr>
                  <w:r>
                    <w:rPr>
                      <w:b/>
                      <w:bCs/>
                      <w:snapToGrid w:val="0"/>
                      <w:sz w:val="21"/>
                      <w:szCs w:val="21"/>
                    </w:rPr>
                    <w:t>临界量Qn/t</w:t>
                  </w:r>
                </w:p>
              </w:tc>
              <w:tc>
                <w:tcPr>
                  <w:tcW w:w="1350" w:type="pct"/>
                  <w:vAlign w:val="center"/>
                </w:tcPr>
                <w:p w14:paraId="7DB61640">
                  <w:pPr>
                    <w:spacing w:line="240" w:lineRule="auto"/>
                    <w:jc w:val="center"/>
                    <w:rPr>
                      <w:b/>
                      <w:bCs/>
                      <w:snapToGrid w:val="0"/>
                      <w:sz w:val="21"/>
                      <w:szCs w:val="21"/>
                    </w:rPr>
                  </w:pPr>
                  <w:r>
                    <w:rPr>
                      <w:b/>
                      <w:bCs/>
                      <w:snapToGrid w:val="0"/>
                      <w:sz w:val="21"/>
                      <w:szCs w:val="21"/>
                    </w:rPr>
                    <w:t>该种危险物质Q值</w:t>
                  </w:r>
                </w:p>
              </w:tc>
            </w:tr>
            <w:tr w14:paraId="124E76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638" w:type="pct"/>
                  <w:vAlign w:val="center"/>
                </w:tcPr>
                <w:p w14:paraId="55ED2EAE">
                  <w:pPr>
                    <w:spacing w:line="240" w:lineRule="auto"/>
                    <w:jc w:val="center"/>
                    <w:rPr>
                      <w:snapToGrid w:val="0"/>
                      <w:sz w:val="21"/>
                      <w:szCs w:val="21"/>
                    </w:rPr>
                  </w:pPr>
                  <w:r>
                    <w:rPr>
                      <w:snapToGrid w:val="0"/>
                      <w:sz w:val="21"/>
                      <w:szCs w:val="21"/>
                    </w:rPr>
                    <w:t>1</w:t>
                  </w:r>
                </w:p>
              </w:tc>
              <w:tc>
                <w:tcPr>
                  <w:tcW w:w="999" w:type="pct"/>
                  <w:vAlign w:val="center"/>
                </w:tcPr>
                <w:p w14:paraId="07249C89">
                  <w:pPr>
                    <w:spacing w:line="240" w:lineRule="auto"/>
                    <w:jc w:val="center"/>
                    <w:rPr>
                      <w:snapToGrid w:val="0"/>
                      <w:sz w:val="21"/>
                      <w:szCs w:val="21"/>
                    </w:rPr>
                  </w:pPr>
                  <w:r>
                    <w:rPr>
                      <w:rFonts w:hint="eastAsia"/>
                      <w:snapToGrid w:val="0"/>
                      <w:sz w:val="21"/>
                      <w:szCs w:val="21"/>
                    </w:rPr>
                    <w:t>污水处理污泥</w:t>
                  </w:r>
                </w:p>
              </w:tc>
              <w:tc>
                <w:tcPr>
                  <w:tcW w:w="979" w:type="pct"/>
                  <w:vAlign w:val="center"/>
                </w:tcPr>
                <w:p w14:paraId="2295E6A6">
                  <w:pPr>
                    <w:spacing w:line="240" w:lineRule="auto"/>
                    <w:jc w:val="center"/>
                    <w:rPr>
                      <w:snapToGrid w:val="0"/>
                      <w:sz w:val="21"/>
                      <w:szCs w:val="21"/>
                    </w:rPr>
                  </w:pPr>
                  <w:r>
                    <w:rPr>
                      <w:snapToGrid w:val="0"/>
                      <w:sz w:val="21"/>
                      <w:szCs w:val="21"/>
                    </w:rPr>
                    <w:t>2</w:t>
                  </w:r>
                </w:p>
              </w:tc>
              <w:tc>
                <w:tcPr>
                  <w:tcW w:w="1034" w:type="pct"/>
                  <w:vAlign w:val="center"/>
                </w:tcPr>
                <w:p w14:paraId="6BBE2E97">
                  <w:pPr>
                    <w:spacing w:line="240" w:lineRule="auto"/>
                    <w:jc w:val="center"/>
                    <w:rPr>
                      <w:snapToGrid w:val="0"/>
                      <w:sz w:val="21"/>
                      <w:szCs w:val="21"/>
                    </w:rPr>
                  </w:pPr>
                  <w:r>
                    <w:rPr>
                      <w:snapToGrid w:val="0"/>
                      <w:sz w:val="21"/>
                      <w:szCs w:val="21"/>
                    </w:rPr>
                    <w:t>50</w:t>
                  </w:r>
                </w:p>
              </w:tc>
              <w:tc>
                <w:tcPr>
                  <w:tcW w:w="1350" w:type="pct"/>
                  <w:vAlign w:val="center"/>
                </w:tcPr>
                <w:p w14:paraId="7A0E5136">
                  <w:pPr>
                    <w:spacing w:line="240" w:lineRule="auto"/>
                    <w:jc w:val="center"/>
                    <w:rPr>
                      <w:snapToGrid w:val="0"/>
                      <w:sz w:val="21"/>
                      <w:szCs w:val="21"/>
                    </w:rPr>
                  </w:pPr>
                  <w:r>
                    <w:rPr>
                      <w:rFonts w:hint="eastAsia"/>
                      <w:snapToGrid w:val="0"/>
                      <w:sz w:val="21"/>
                      <w:szCs w:val="21"/>
                    </w:rPr>
                    <w:t>0</w:t>
                  </w:r>
                  <w:r>
                    <w:rPr>
                      <w:snapToGrid w:val="0"/>
                      <w:sz w:val="21"/>
                      <w:szCs w:val="21"/>
                    </w:rPr>
                    <w:t>.04</w:t>
                  </w:r>
                </w:p>
              </w:tc>
            </w:tr>
            <w:tr w14:paraId="1D2F45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638" w:type="pct"/>
                  <w:vAlign w:val="center"/>
                </w:tcPr>
                <w:p w14:paraId="671C971F">
                  <w:pPr>
                    <w:spacing w:line="240" w:lineRule="auto"/>
                    <w:jc w:val="center"/>
                    <w:rPr>
                      <w:snapToGrid w:val="0"/>
                      <w:sz w:val="21"/>
                      <w:szCs w:val="21"/>
                    </w:rPr>
                  </w:pPr>
                  <w:r>
                    <w:rPr>
                      <w:snapToGrid w:val="0"/>
                      <w:sz w:val="21"/>
                      <w:szCs w:val="21"/>
                    </w:rPr>
                    <w:t>2</w:t>
                  </w:r>
                </w:p>
              </w:tc>
              <w:tc>
                <w:tcPr>
                  <w:tcW w:w="999" w:type="pct"/>
                  <w:vAlign w:val="center"/>
                </w:tcPr>
                <w:p w14:paraId="4EDE80D7">
                  <w:pPr>
                    <w:spacing w:line="240" w:lineRule="auto"/>
                    <w:jc w:val="center"/>
                    <w:rPr>
                      <w:snapToGrid w:val="0"/>
                      <w:sz w:val="21"/>
                      <w:szCs w:val="21"/>
                    </w:rPr>
                  </w:pPr>
                  <w:r>
                    <w:rPr>
                      <w:snapToGrid w:val="0"/>
                      <w:sz w:val="21"/>
                      <w:szCs w:val="21"/>
                    </w:rPr>
                    <w:t>酒精</w:t>
                  </w:r>
                  <w:r>
                    <w:rPr>
                      <w:rFonts w:hint="eastAsia"/>
                      <w:snapToGrid w:val="0"/>
                      <w:sz w:val="21"/>
                      <w:szCs w:val="21"/>
                    </w:rPr>
                    <w:t>（乙醇）</w:t>
                  </w:r>
                </w:p>
              </w:tc>
              <w:tc>
                <w:tcPr>
                  <w:tcW w:w="979" w:type="pct"/>
                  <w:vAlign w:val="center"/>
                </w:tcPr>
                <w:p w14:paraId="49018641">
                  <w:pPr>
                    <w:spacing w:line="240" w:lineRule="auto"/>
                    <w:jc w:val="center"/>
                    <w:rPr>
                      <w:snapToGrid w:val="0"/>
                      <w:sz w:val="21"/>
                      <w:szCs w:val="21"/>
                    </w:rPr>
                  </w:pPr>
                  <w:r>
                    <w:rPr>
                      <w:snapToGrid w:val="0"/>
                      <w:sz w:val="21"/>
                      <w:szCs w:val="21"/>
                    </w:rPr>
                    <w:t>0.5</w:t>
                  </w:r>
                </w:p>
              </w:tc>
              <w:tc>
                <w:tcPr>
                  <w:tcW w:w="1034" w:type="pct"/>
                  <w:vAlign w:val="center"/>
                </w:tcPr>
                <w:p w14:paraId="5A8856C2">
                  <w:pPr>
                    <w:spacing w:line="240" w:lineRule="auto"/>
                    <w:jc w:val="center"/>
                    <w:rPr>
                      <w:snapToGrid w:val="0"/>
                      <w:sz w:val="21"/>
                      <w:szCs w:val="21"/>
                    </w:rPr>
                  </w:pPr>
                  <w:r>
                    <w:rPr>
                      <w:snapToGrid w:val="0"/>
                      <w:sz w:val="21"/>
                      <w:szCs w:val="21"/>
                    </w:rPr>
                    <w:t>500</w:t>
                  </w:r>
                </w:p>
              </w:tc>
              <w:tc>
                <w:tcPr>
                  <w:tcW w:w="1350" w:type="pct"/>
                  <w:vAlign w:val="center"/>
                </w:tcPr>
                <w:p w14:paraId="3B7546F0">
                  <w:pPr>
                    <w:spacing w:line="240" w:lineRule="auto"/>
                    <w:jc w:val="center"/>
                    <w:rPr>
                      <w:snapToGrid w:val="0"/>
                      <w:sz w:val="21"/>
                      <w:szCs w:val="21"/>
                    </w:rPr>
                  </w:pPr>
                  <w:r>
                    <w:rPr>
                      <w:rFonts w:hint="eastAsia"/>
                      <w:snapToGrid w:val="0"/>
                      <w:sz w:val="21"/>
                      <w:szCs w:val="21"/>
                    </w:rPr>
                    <w:t>0</w:t>
                  </w:r>
                  <w:r>
                    <w:rPr>
                      <w:snapToGrid w:val="0"/>
                      <w:sz w:val="21"/>
                      <w:szCs w:val="21"/>
                    </w:rPr>
                    <w:t>.001</w:t>
                  </w:r>
                </w:p>
              </w:tc>
            </w:tr>
            <w:tr w14:paraId="057FAD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638" w:type="pct"/>
                  <w:vAlign w:val="center"/>
                </w:tcPr>
                <w:p w14:paraId="399195B5">
                  <w:pPr>
                    <w:spacing w:line="240" w:lineRule="auto"/>
                    <w:jc w:val="center"/>
                    <w:rPr>
                      <w:snapToGrid w:val="0"/>
                      <w:sz w:val="21"/>
                      <w:szCs w:val="21"/>
                    </w:rPr>
                  </w:pPr>
                  <w:r>
                    <w:rPr>
                      <w:rFonts w:hint="eastAsia"/>
                      <w:snapToGrid w:val="0"/>
                      <w:sz w:val="21"/>
                      <w:szCs w:val="21"/>
                    </w:rPr>
                    <w:t>3</w:t>
                  </w:r>
                </w:p>
              </w:tc>
              <w:tc>
                <w:tcPr>
                  <w:tcW w:w="999" w:type="pct"/>
                  <w:vAlign w:val="center"/>
                </w:tcPr>
                <w:p w14:paraId="212904A4">
                  <w:pPr>
                    <w:spacing w:line="240" w:lineRule="auto"/>
                    <w:jc w:val="center"/>
                    <w:rPr>
                      <w:snapToGrid w:val="0"/>
                      <w:sz w:val="21"/>
                      <w:szCs w:val="21"/>
                    </w:rPr>
                  </w:pPr>
                  <w:r>
                    <w:rPr>
                      <w:rFonts w:hint="eastAsia"/>
                      <w:snapToGrid w:val="0"/>
                      <w:sz w:val="21"/>
                      <w:szCs w:val="21"/>
                    </w:rPr>
                    <w:t>医疗危废</w:t>
                  </w:r>
                </w:p>
              </w:tc>
              <w:tc>
                <w:tcPr>
                  <w:tcW w:w="979" w:type="pct"/>
                  <w:vAlign w:val="center"/>
                </w:tcPr>
                <w:p w14:paraId="3DA3D0C9">
                  <w:pPr>
                    <w:spacing w:line="240" w:lineRule="auto"/>
                    <w:jc w:val="center"/>
                    <w:rPr>
                      <w:snapToGrid w:val="0"/>
                      <w:sz w:val="21"/>
                      <w:szCs w:val="21"/>
                    </w:rPr>
                  </w:pPr>
                  <w:r>
                    <w:rPr>
                      <w:rFonts w:hint="eastAsia"/>
                      <w:snapToGrid w:val="0"/>
                      <w:sz w:val="21"/>
                      <w:szCs w:val="21"/>
                    </w:rPr>
                    <w:t>0</w:t>
                  </w:r>
                  <w:r>
                    <w:rPr>
                      <w:snapToGrid w:val="0"/>
                      <w:sz w:val="21"/>
                      <w:szCs w:val="21"/>
                    </w:rPr>
                    <w:t>.3</w:t>
                  </w:r>
                </w:p>
              </w:tc>
              <w:tc>
                <w:tcPr>
                  <w:tcW w:w="1034" w:type="pct"/>
                  <w:vAlign w:val="center"/>
                </w:tcPr>
                <w:p w14:paraId="508D7441">
                  <w:pPr>
                    <w:spacing w:line="240" w:lineRule="auto"/>
                    <w:jc w:val="center"/>
                    <w:rPr>
                      <w:snapToGrid w:val="0"/>
                      <w:sz w:val="21"/>
                      <w:szCs w:val="21"/>
                    </w:rPr>
                  </w:pPr>
                  <w:r>
                    <w:rPr>
                      <w:snapToGrid w:val="0"/>
                      <w:sz w:val="21"/>
                      <w:szCs w:val="21"/>
                    </w:rPr>
                    <w:t>50</w:t>
                  </w:r>
                </w:p>
              </w:tc>
              <w:tc>
                <w:tcPr>
                  <w:tcW w:w="1350" w:type="pct"/>
                  <w:vAlign w:val="center"/>
                </w:tcPr>
                <w:p w14:paraId="5DB1B528">
                  <w:pPr>
                    <w:spacing w:line="240" w:lineRule="auto"/>
                    <w:jc w:val="center"/>
                    <w:rPr>
                      <w:snapToGrid w:val="0"/>
                      <w:sz w:val="21"/>
                      <w:szCs w:val="21"/>
                    </w:rPr>
                  </w:pPr>
                  <w:r>
                    <w:rPr>
                      <w:rFonts w:hint="eastAsia"/>
                      <w:snapToGrid w:val="0"/>
                      <w:sz w:val="21"/>
                      <w:szCs w:val="21"/>
                    </w:rPr>
                    <w:t>0</w:t>
                  </w:r>
                  <w:r>
                    <w:rPr>
                      <w:snapToGrid w:val="0"/>
                      <w:sz w:val="21"/>
                      <w:szCs w:val="21"/>
                    </w:rPr>
                    <w:t>.006</w:t>
                  </w:r>
                </w:p>
              </w:tc>
            </w:tr>
            <w:tr w14:paraId="618D86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638" w:type="pct"/>
                  <w:vAlign w:val="center"/>
                </w:tcPr>
                <w:p w14:paraId="64433C2B">
                  <w:pPr>
                    <w:spacing w:line="240" w:lineRule="auto"/>
                    <w:jc w:val="center"/>
                    <w:rPr>
                      <w:rFonts w:hint="eastAsia"/>
                      <w:snapToGrid w:val="0"/>
                      <w:sz w:val="21"/>
                      <w:szCs w:val="21"/>
                    </w:rPr>
                  </w:pPr>
                  <w:r>
                    <w:rPr>
                      <w:rFonts w:hint="eastAsia"/>
                      <w:snapToGrid w:val="0"/>
                      <w:sz w:val="21"/>
                      <w:szCs w:val="21"/>
                    </w:rPr>
                    <w:t>4</w:t>
                  </w:r>
                </w:p>
              </w:tc>
              <w:tc>
                <w:tcPr>
                  <w:tcW w:w="999" w:type="pct"/>
                  <w:vAlign w:val="center"/>
                </w:tcPr>
                <w:p w14:paraId="026827E0">
                  <w:pPr>
                    <w:spacing w:line="240" w:lineRule="auto"/>
                    <w:jc w:val="center"/>
                    <w:rPr>
                      <w:rFonts w:hint="eastAsia"/>
                      <w:snapToGrid w:val="0"/>
                      <w:sz w:val="21"/>
                      <w:szCs w:val="21"/>
                    </w:rPr>
                  </w:pPr>
                  <w:r>
                    <w:rPr>
                      <w:rFonts w:hint="eastAsia"/>
                      <w:snapToGrid w:val="0"/>
                      <w:sz w:val="21"/>
                      <w:szCs w:val="21"/>
                    </w:rPr>
                    <w:t>二氧化氯消毒粉（AB剂）</w:t>
                  </w:r>
                </w:p>
              </w:tc>
              <w:tc>
                <w:tcPr>
                  <w:tcW w:w="979" w:type="pct"/>
                  <w:vAlign w:val="center"/>
                </w:tcPr>
                <w:p w14:paraId="70CE5F37">
                  <w:pPr>
                    <w:spacing w:line="240" w:lineRule="auto"/>
                    <w:jc w:val="center"/>
                    <w:rPr>
                      <w:rFonts w:hint="eastAsia"/>
                      <w:snapToGrid w:val="0"/>
                      <w:sz w:val="21"/>
                      <w:szCs w:val="21"/>
                    </w:rPr>
                  </w:pPr>
                  <w:r>
                    <w:rPr>
                      <w:rFonts w:hint="eastAsia"/>
                      <w:snapToGrid w:val="0"/>
                      <w:sz w:val="21"/>
                      <w:szCs w:val="21"/>
                    </w:rPr>
                    <w:t>0.05</w:t>
                  </w:r>
                </w:p>
              </w:tc>
              <w:tc>
                <w:tcPr>
                  <w:tcW w:w="1034" w:type="pct"/>
                  <w:vAlign w:val="center"/>
                </w:tcPr>
                <w:p w14:paraId="3827AC95">
                  <w:pPr>
                    <w:spacing w:line="240" w:lineRule="auto"/>
                    <w:jc w:val="center"/>
                    <w:rPr>
                      <w:rFonts w:hint="eastAsia"/>
                      <w:snapToGrid w:val="0"/>
                      <w:sz w:val="21"/>
                      <w:szCs w:val="21"/>
                    </w:rPr>
                  </w:pPr>
                  <w:r>
                    <w:rPr>
                      <w:rFonts w:hint="eastAsia"/>
                      <w:snapToGrid w:val="0"/>
                      <w:sz w:val="21"/>
                      <w:szCs w:val="21"/>
                    </w:rPr>
                    <w:t>100</w:t>
                  </w:r>
                </w:p>
              </w:tc>
              <w:tc>
                <w:tcPr>
                  <w:tcW w:w="1350" w:type="pct"/>
                  <w:vAlign w:val="center"/>
                </w:tcPr>
                <w:p w14:paraId="65149463">
                  <w:pPr>
                    <w:spacing w:line="240" w:lineRule="auto"/>
                    <w:jc w:val="center"/>
                    <w:rPr>
                      <w:rFonts w:hint="eastAsia"/>
                      <w:snapToGrid w:val="0"/>
                      <w:sz w:val="21"/>
                      <w:szCs w:val="21"/>
                    </w:rPr>
                  </w:pPr>
                  <w:r>
                    <w:rPr>
                      <w:rFonts w:hint="eastAsia"/>
                      <w:snapToGrid w:val="0"/>
                      <w:sz w:val="21"/>
                      <w:szCs w:val="21"/>
                    </w:rPr>
                    <w:t>0.0005</w:t>
                  </w:r>
                </w:p>
              </w:tc>
            </w:tr>
            <w:tr w14:paraId="7C9359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3650" w:type="pct"/>
                  <w:gridSpan w:val="4"/>
                  <w:vAlign w:val="center"/>
                </w:tcPr>
                <w:p w14:paraId="0E36A024">
                  <w:pPr>
                    <w:spacing w:line="240" w:lineRule="auto"/>
                    <w:jc w:val="center"/>
                    <w:rPr>
                      <w:snapToGrid w:val="0"/>
                      <w:sz w:val="21"/>
                      <w:szCs w:val="21"/>
                    </w:rPr>
                  </w:pPr>
                  <w:r>
                    <w:rPr>
                      <w:snapToGrid w:val="0"/>
                      <w:sz w:val="21"/>
                      <w:szCs w:val="21"/>
                    </w:rPr>
                    <w:t>合计</w:t>
                  </w:r>
                </w:p>
              </w:tc>
              <w:tc>
                <w:tcPr>
                  <w:tcW w:w="1350" w:type="pct"/>
                  <w:vAlign w:val="center"/>
                </w:tcPr>
                <w:p w14:paraId="60AA33D5">
                  <w:pPr>
                    <w:spacing w:line="240" w:lineRule="auto"/>
                    <w:jc w:val="center"/>
                    <w:rPr>
                      <w:rFonts w:hint="eastAsia"/>
                      <w:snapToGrid w:val="0"/>
                      <w:sz w:val="21"/>
                      <w:szCs w:val="21"/>
                    </w:rPr>
                  </w:pPr>
                  <w:r>
                    <w:rPr>
                      <w:rFonts w:hint="eastAsia"/>
                      <w:snapToGrid w:val="0"/>
                      <w:sz w:val="21"/>
                      <w:szCs w:val="21"/>
                    </w:rPr>
                    <w:t>0</w:t>
                  </w:r>
                  <w:r>
                    <w:rPr>
                      <w:snapToGrid w:val="0"/>
                      <w:sz w:val="21"/>
                      <w:szCs w:val="21"/>
                    </w:rPr>
                    <w:t>.047</w:t>
                  </w:r>
                  <w:r>
                    <w:rPr>
                      <w:rFonts w:hint="eastAsia"/>
                      <w:snapToGrid w:val="0"/>
                      <w:sz w:val="21"/>
                      <w:szCs w:val="21"/>
                    </w:rPr>
                    <w:t>5</w:t>
                  </w:r>
                </w:p>
              </w:tc>
            </w:tr>
          </w:tbl>
          <w:p w14:paraId="3BD9BB41">
            <w:pPr>
              <w:ind w:firstLine="480" w:firstLineChars="200"/>
              <w:jc w:val="both"/>
              <w:rPr>
                <w:snapToGrid w:val="0"/>
                <w:szCs w:val="24"/>
              </w:rPr>
            </w:pPr>
            <w:r>
              <w:rPr>
                <w:snapToGrid w:val="0"/>
                <w:szCs w:val="24"/>
              </w:rPr>
              <w:t>根据《建设项目环境风险评价导则》（HJ169-2018）附录C，判定项目危险物质数量与临界量比值Q=0.047</w:t>
            </w:r>
            <w:r>
              <w:rPr>
                <w:rFonts w:hint="eastAsia"/>
                <w:snapToGrid w:val="0"/>
                <w:szCs w:val="24"/>
              </w:rPr>
              <w:t>5</w:t>
            </w:r>
            <w:r>
              <w:rPr>
                <w:snapToGrid w:val="0"/>
                <w:szCs w:val="24"/>
              </w:rPr>
              <w:t>＜1，项目环境风险潜势为Ⅰ。</w:t>
            </w:r>
          </w:p>
          <w:p w14:paraId="46388D82">
            <w:pPr>
              <w:ind w:firstLine="482" w:firstLineChars="200"/>
              <w:jc w:val="both"/>
              <w:rPr>
                <w:b/>
                <w:bCs/>
                <w:snapToGrid w:val="0"/>
                <w:szCs w:val="24"/>
              </w:rPr>
            </w:pPr>
            <w:r>
              <w:rPr>
                <w:b/>
                <w:bCs/>
                <w:snapToGrid w:val="0"/>
                <w:szCs w:val="24"/>
              </w:rPr>
              <w:t>（3）评价等级</w:t>
            </w:r>
          </w:p>
          <w:p w14:paraId="02999FE7">
            <w:pPr>
              <w:ind w:firstLine="480" w:firstLineChars="200"/>
              <w:jc w:val="both"/>
              <w:rPr>
                <w:snapToGrid w:val="0"/>
                <w:szCs w:val="24"/>
              </w:rPr>
            </w:pPr>
            <w:r>
              <w:rPr>
                <w:snapToGrid w:val="0"/>
                <w:szCs w:val="24"/>
              </w:rPr>
              <w:t>项目环境风险评价工作等级划分见下表。</w:t>
            </w:r>
          </w:p>
          <w:p w14:paraId="5A981511">
            <w:pPr>
              <w:ind w:firstLine="482" w:firstLineChars="200"/>
              <w:jc w:val="center"/>
              <w:rPr>
                <w:b/>
                <w:bCs/>
                <w:snapToGrid w:val="0"/>
                <w:kern w:val="0"/>
                <w:szCs w:val="24"/>
                <w:lang w:bidi="zh-CN"/>
              </w:rPr>
            </w:pPr>
            <w:r>
              <w:rPr>
                <w:b/>
                <w:bCs/>
                <w:snapToGrid w:val="0"/>
                <w:kern w:val="0"/>
                <w:szCs w:val="24"/>
                <w:lang w:bidi="zh-CN"/>
              </w:rPr>
              <w:t>表4-15  环境风险评价工作等级划分</w:t>
            </w:r>
          </w:p>
          <w:tbl>
            <w:tblPr>
              <w:tblStyle w:val="6"/>
              <w:tblW w:w="811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590"/>
              <w:gridCol w:w="1677"/>
              <w:gridCol w:w="1575"/>
              <w:gridCol w:w="1427"/>
              <w:gridCol w:w="1845"/>
            </w:tblGrid>
            <w:tr w14:paraId="70551D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677" w:type="dxa"/>
                  <w:vAlign w:val="center"/>
                </w:tcPr>
                <w:p w14:paraId="176D1734">
                  <w:pPr>
                    <w:spacing w:line="240" w:lineRule="auto"/>
                    <w:jc w:val="center"/>
                    <w:rPr>
                      <w:b/>
                      <w:bCs/>
                      <w:snapToGrid w:val="0"/>
                      <w:sz w:val="21"/>
                      <w:szCs w:val="21"/>
                    </w:rPr>
                  </w:pPr>
                  <w:r>
                    <w:rPr>
                      <w:b/>
                      <w:bCs/>
                      <w:snapToGrid w:val="0"/>
                      <w:sz w:val="21"/>
                      <w:szCs w:val="21"/>
                    </w:rPr>
                    <w:t>环境风险潜势</w:t>
                  </w:r>
                </w:p>
              </w:tc>
              <w:tc>
                <w:tcPr>
                  <w:tcW w:w="1755" w:type="dxa"/>
                  <w:vAlign w:val="center"/>
                </w:tcPr>
                <w:p w14:paraId="4F1FF131">
                  <w:pPr>
                    <w:spacing w:line="240" w:lineRule="auto"/>
                    <w:jc w:val="center"/>
                    <w:rPr>
                      <w:b/>
                      <w:bCs/>
                      <w:snapToGrid w:val="0"/>
                      <w:sz w:val="21"/>
                      <w:szCs w:val="21"/>
                    </w:rPr>
                  </w:pPr>
                  <w:r>
                    <w:rPr>
                      <w:b/>
                      <w:bCs/>
                      <w:snapToGrid w:val="0"/>
                      <w:sz w:val="21"/>
                      <w:szCs w:val="21"/>
                    </w:rPr>
                    <w:t>Ⅳ、Ⅳ+</w:t>
                  </w:r>
                </w:p>
              </w:tc>
              <w:tc>
                <w:tcPr>
                  <w:tcW w:w="1661" w:type="dxa"/>
                  <w:vAlign w:val="center"/>
                </w:tcPr>
                <w:p w14:paraId="1774D3B3">
                  <w:pPr>
                    <w:spacing w:line="240" w:lineRule="auto"/>
                    <w:jc w:val="center"/>
                    <w:rPr>
                      <w:b/>
                      <w:bCs/>
                      <w:snapToGrid w:val="0"/>
                      <w:sz w:val="21"/>
                      <w:szCs w:val="21"/>
                    </w:rPr>
                  </w:pPr>
                  <w:r>
                    <w:rPr>
                      <w:b/>
                      <w:bCs/>
                      <w:snapToGrid w:val="0"/>
                      <w:sz w:val="21"/>
                      <w:szCs w:val="21"/>
                    </w:rPr>
                    <w:t>Ⅲ</w:t>
                  </w:r>
                </w:p>
              </w:tc>
              <w:tc>
                <w:tcPr>
                  <w:tcW w:w="1502" w:type="dxa"/>
                  <w:vAlign w:val="center"/>
                </w:tcPr>
                <w:p w14:paraId="77EA26E8">
                  <w:pPr>
                    <w:spacing w:line="240" w:lineRule="auto"/>
                    <w:jc w:val="center"/>
                    <w:rPr>
                      <w:b/>
                      <w:bCs/>
                      <w:snapToGrid w:val="0"/>
                      <w:sz w:val="21"/>
                      <w:szCs w:val="21"/>
                    </w:rPr>
                  </w:pPr>
                  <w:r>
                    <w:rPr>
                      <w:b/>
                      <w:bCs/>
                      <w:snapToGrid w:val="0"/>
                      <w:sz w:val="21"/>
                      <w:szCs w:val="21"/>
                    </w:rPr>
                    <w:t>Ⅱ</w:t>
                  </w:r>
                </w:p>
              </w:tc>
              <w:tc>
                <w:tcPr>
                  <w:tcW w:w="1951" w:type="dxa"/>
                  <w:vAlign w:val="center"/>
                </w:tcPr>
                <w:p w14:paraId="6CE38AEA">
                  <w:pPr>
                    <w:spacing w:line="240" w:lineRule="auto"/>
                    <w:jc w:val="center"/>
                    <w:rPr>
                      <w:b/>
                      <w:bCs/>
                      <w:snapToGrid w:val="0"/>
                      <w:sz w:val="21"/>
                      <w:szCs w:val="21"/>
                    </w:rPr>
                  </w:pPr>
                  <w:r>
                    <w:rPr>
                      <w:b/>
                      <w:bCs/>
                      <w:snapToGrid w:val="0"/>
                      <w:sz w:val="21"/>
                      <w:szCs w:val="21"/>
                    </w:rPr>
                    <w:t>Ⅰ</w:t>
                  </w:r>
                </w:p>
              </w:tc>
            </w:tr>
            <w:tr w14:paraId="44D0D6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677" w:type="dxa"/>
                  <w:vAlign w:val="center"/>
                </w:tcPr>
                <w:p w14:paraId="0C6A1519">
                  <w:pPr>
                    <w:spacing w:line="240" w:lineRule="auto"/>
                    <w:jc w:val="center"/>
                    <w:rPr>
                      <w:snapToGrid w:val="0"/>
                      <w:sz w:val="21"/>
                      <w:szCs w:val="21"/>
                    </w:rPr>
                  </w:pPr>
                  <w:r>
                    <w:rPr>
                      <w:snapToGrid w:val="0"/>
                      <w:sz w:val="21"/>
                      <w:szCs w:val="21"/>
                    </w:rPr>
                    <w:t>评价工作等级</w:t>
                  </w:r>
                </w:p>
              </w:tc>
              <w:tc>
                <w:tcPr>
                  <w:tcW w:w="1755" w:type="dxa"/>
                  <w:vAlign w:val="center"/>
                </w:tcPr>
                <w:p w14:paraId="5CB80745">
                  <w:pPr>
                    <w:spacing w:line="240" w:lineRule="auto"/>
                    <w:jc w:val="center"/>
                    <w:rPr>
                      <w:snapToGrid w:val="0"/>
                      <w:sz w:val="21"/>
                      <w:szCs w:val="21"/>
                    </w:rPr>
                  </w:pPr>
                  <w:r>
                    <w:rPr>
                      <w:snapToGrid w:val="0"/>
                      <w:sz w:val="21"/>
                      <w:szCs w:val="21"/>
                    </w:rPr>
                    <w:t>一</w:t>
                  </w:r>
                </w:p>
              </w:tc>
              <w:tc>
                <w:tcPr>
                  <w:tcW w:w="1661" w:type="dxa"/>
                  <w:vAlign w:val="center"/>
                </w:tcPr>
                <w:p w14:paraId="1AFBBBD5">
                  <w:pPr>
                    <w:spacing w:line="240" w:lineRule="auto"/>
                    <w:jc w:val="center"/>
                    <w:rPr>
                      <w:snapToGrid w:val="0"/>
                      <w:sz w:val="21"/>
                      <w:szCs w:val="21"/>
                    </w:rPr>
                  </w:pPr>
                  <w:r>
                    <w:rPr>
                      <w:snapToGrid w:val="0"/>
                      <w:sz w:val="21"/>
                      <w:szCs w:val="21"/>
                    </w:rPr>
                    <w:t>二</w:t>
                  </w:r>
                </w:p>
              </w:tc>
              <w:tc>
                <w:tcPr>
                  <w:tcW w:w="1502" w:type="dxa"/>
                  <w:vAlign w:val="center"/>
                </w:tcPr>
                <w:p w14:paraId="4661A515">
                  <w:pPr>
                    <w:spacing w:line="240" w:lineRule="auto"/>
                    <w:jc w:val="center"/>
                    <w:rPr>
                      <w:snapToGrid w:val="0"/>
                      <w:sz w:val="21"/>
                      <w:szCs w:val="21"/>
                    </w:rPr>
                  </w:pPr>
                  <w:r>
                    <w:rPr>
                      <w:snapToGrid w:val="0"/>
                      <w:sz w:val="21"/>
                      <w:szCs w:val="21"/>
                    </w:rPr>
                    <w:t>三</w:t>
                  </w:r>
                </w:p>
              </w:tc>
              <w:tc>
                <w:tcPr>
                  <w:tcW w:w="1951" w:type="dxa"/>
                  <w:vAlign w:val="center"/>
                </w:tcPr>
                <w:p w14:paraId="2B06F424">
                  <w:pPr>
                    <w:spacing w:line="240" w:lineRule="auto"/>
                    <w:jc w:val="center"/>
                    <w:rPr>
                      <w:snapToGrid w:val="0"/>
                      <w:sz w:val="21"/>
                      <w:szCs w:val="21"/>
                    </w:rPr>
                  </w:pPr>
                  <w:r>
                    <w:rPr>
                      <w:snapToGrid w:val="0"/>
                      <w:sz w:val="21"/>
                      <w:szCs w:val="21"/>
                    </w:rPr>
                    <w:t>简单分析</w:t>
                  </w:r>
                  <w:r>
                    <w:rPr>
                      <w:snapToGrid w:val="0"/>
                      <w:sz w:val="21"/>
                      <w:szCs w:val="21"/>
                      <w:vertAlign w:val="superscript"/>
                    </w:rPr>
                    <w:t>a</w:t>
                  </w:r>
                </w:p>
              </w:tc>
            </w:tr>
            <w:tr w14:paraId="0DB107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6" w:type="dxa"/>
                  <w:gridSpan w:val="5"/>
                  <w:vAlign w:val="center"/>
                </w:tcPr>
                <w:p w14:paraId="1AD237BD">
                  <w:pPr>
                    <w:spacing w:line="240" w:lineRule="auto"/>
                    <w:jc w:val="both"/>
                    <w:rPr>
                      <w:snapToGrid w:val="0"/>
                      <w:sz w:val="21"/>
                      <w:szCs w:val="21"/>
                    </w:rPr>
                  </w:pPr>
                  <w:r>
                    <w:rPr>
                      <w:snapToGrid w:val="0"/>
                      <w:sz w:val="21"/>
                      <w:szCs w:val="21"/>
                    </w:rPr>
                    <w:t>a是相对于详细评价工作内容而言，在描述危险物质、环境影响途径、环境危害后果、风险防范措施等方面给出定性的说明。</w:t>
                  </w:r>
                </w:p>
              </w:tc>
            </w:tr>
          </w:tbl>
          <w:p w14:paraId="5B8821BF">
            <w:pPr>
              <w:ind w:firstLine="480" w:firstLineChars="200"/>
              <w:jc w:val="both"/>
              <w:rPr>
                <w:snapToGrid w:val="0"/>
                <w:szCs w:val="24"/>
              </w:rPr>
            </w:pPr>
            <w:r>
              <w:rPr>
                <w:snapToGrid w:val="0"/>
                <w:szCs w:val="24"/>
              </w:rPr>
              <w:t>按照《建设项目环境风险评价导则》（HJ169-2018）中</w:t>
            </w:r>
            <w:r>
              <w:rPr>
                <w:rFonts w:ascii="宋体" w:hAnsi="宋体"/>
                <w:snapToGrid w:val="0"/>
                <w:szCs w:val="24"/>
              </w:rPr>
              <w:t>“</w:t>
            </w:r>
            <w:r>
              <w:rPr>
                <w:snapToGrid w:val="0"/>
                <w:szCs w:val="24"/>
              </w:rPr>
              <w:t>4.3评价工作等级划分</w:t>
            </w:r>
            <w:r>
              <w:rPr>
                <w:rFonts w:ascii="宋体" w:hAnsi="宋体"/>
                <w:snapToGrid w:val="0"/>
                <w:szCs w:val="24"/>
              </w:rPr>
              <w:t>”</w:t>
            </w:r>
            <w:r>
              <w:rPr>
                <w:snapToGrid w:val="0"/>
                <w:szCs w:val="24"/>
              </w:rPr>
              <w:t>，确定本项目环境风险评价工作等级为简单分析。</w:t>
            </w:r>
          </w:p>
          <w:p w14:paraId="610429C0">
            <w:pPr>
              <w:ind w:firstLine="482" w:firstLineChars="200"/>
              <w:jc w:val="both"/>
              <w:rPr>
                <w:b/>
                <w:bCs/>
                <w:snapToGrid w:val="0"/>
                <w:szCs w:val="24"/>
                <w:u w:val="single"/>
              </w:rPr>
            </w:pPr>
            <w:r>
              <w:rPr>
                <w:b/>
                <w:bCs/>
                <w:snapToGrid w:val="0"/>
                <w:szCs w:val="24"/>
                <w:u w:val="single"/>
              </w:rPr>
              <w:t>（4）风险影响分析及防范措施</w:t>
            </w:r>
          </w:p>
          <w:p w14:paraId="77C29DFD">
            <w:pPr>
              <w:ind w:firstLine="480" w:firstLineChars="200"/>
              <w:jc w:val="both"/>
              <w:rPr>
                <w:snapToGrid w:val="0"/>
                <w:szCs w:val="24"/>
                <w:u w:val="single"/>
              </w:rPr>
            </w:pPr>
            <w:r>
              <w:rPr>
                <w:snapToGrid w:val="0"/>
                <w:szCs w:val="24"/>
                <w:u w:val="single"/>
              </w:rPr>
              <w:t>1）酒精泄露风险影响分析及防范措施</w:t>
            </w:r>
          </w:p>
          <w:p w14:paraId="0033DAB1">
            <w:pPr>
              <w:ind w:firstLine="480" w:firstLineChars="200"/>
              <w:jc w:val="both"/>
              <w:rPr>
                <w:snapToGrid w:val="0"/>
                <w:szCs w:val="24"/>
                <w:u w:val="single"/>
              </w:rPr>
            </w:pPr>
            <w:r>
              <w:rPr>
                <w:snapToGrid w:val="0"/>
                <w:szCs w:val="24"/>
                <w:u w:val="single"/>
              </w:rPr>
              <w:t>本项目酒精储存为玻璃瓶储存，事故风险类型主要为酒精储存瓶在遭受不可预见外力或瓶体质量问题，会造成倾倒或者破裂，导致泄漏。本项目酒精储存区地面进行了硬化，且储存量较少，如发生泄漏</w:t>
            </w:r>
            <w:r>
              <w:rPr>
                <w:rFonts w:hint="eastAsia"/>
                <w:snapToGrid w:val="0"/>
                <w:szCs w:val="24"/>
                <w:u w:val="single"/>
              </w:rPr>
              <w:t>将</w:t>
            </w:r>
            <w:r>
              <w:rPr>
                <w:snapToGrid w:val="0"/>
                <w:szCs w:val="24"/>
                <w:u w:val="single"/>
              </w:rPr>
              <w:t>影响储存区，由于酒精易挥发和可燃，因此，建议采取以下措施：</w:t>
            </w:r>
          </w:p>
          <w:p w14:paraId="60595B71">
            <w:pPr>
              <w:ind w:firstLine="480" w:firstLineChars="200"/>
              <w:jc w:val="both"/>
              <w:rPr>
                <w:snapToGrid w:val="0"/>
                <w:szCs w:val="24"/>
                <w:u w:val="single"/>
              </w:rPr>
            </w:pPr>
            <w:r>
              <w:rPr>
                <w:rFonts w:hint="eastAsia"/>
                <w:snapToGrid w:val="0"/>
                <w:szCs w:val="24"/>
                <w:u w:val="single"/>
              </w:rPr>
              <w:t>①</w:t>
            </w:r>
            <w:r>
              <w:rPr>
                <w:snapToGrid w:val="0"/>
                <w:szCs w:val="24"/>
                <w:u w:val="single"/>
              </w:rPr>
              <w:t>酒精储存区禁止明火，设置标识标牌，设置通风口。</w:t>
            </w:r>
          </w:p>
          <w:p w14:paraId="5F15DF28">
            <w:pPr>
              <w:ind w:firstLine="480" w:firstLineChars="200"/>
              <w:jc w:val="both"/>
              <w:rPr>
                <w:snapToGrid w:val="0"/>
                <w:szCs w:val="24"/>
                <w:u w:val="single"/>
              </w:rPr>
            </w:pPr>
            <w:r>
              <w:rPr>
                <w:rFonts w:hint="eastAsia"/>
                <w:snapToGrid w:val="0"/>
                <w:szCs w:val="24"/>
                <w:u w:val="single"/>
              </w:rPr>
              <w:t>②</w:t>
            </w:r>
            <w:r>
              <w:rPr>
                <w:snapToGrid w:val="0"/>
                <w:szCs w:val="24"/>
                <w:u w:val="single"/>
              </w:rPr>
              <w:t>建立专人生产责任制度。明确责任，针对厂区化学品贮存、使用区域加强巡视。</w:t>
            </w:r>
          </w:p>
          <w:p w14:paraId="651EF957">
            <w:pPr>
              <w:ind w:left="420"/>
              <w:jc w:val="both"/>
              <w:rPr>
                <w:snapToGrid w:val="0"/>
                <w:szCs w:val="24"/>
                <w:u w:val="single"/>
              </w:rPr>
            </w:pPr>
            <w:r>
              <w:rPr>
                <w:rFonts w:hint="eastAsia"/>
                <w:snapToGrid w:val="0"/>
                <w:szCs w:val="24"/>
                <w:u w:val="single"/>
              </w:rPr>
              <w:t>2）</w:t>
            </w:r>
            <w:r>
              <w:rPr>
                <w:snapToGrid w:val="0"/>
                <w:szCs w:val="24"/>
                <w:u w:val="single"/>
              </w:rPr>
              <w:t>危险废物泄露风险影响分析及防范措施</w:t>
            </w:r>
          </w:p>
          <w:p w14:paraId="70506973">
            <w:pPr>
              <w:ind w:firstLine="480" w:firstLineChars="200"/>
              <w:jc w:val="both"/>
              <w:rPr>
                <w:snapToGrid w:val="0"/>
                <w:szCs w:val="24"/>
                <w:u w:val="single"/>
              </w:rPr>
            </w:pPr>
            <w:r>
              <w:rPr>
                <w:snapToGrid w:val="0"/>
                <w:szCs w:val="24"/>
                <w:u w:val="single"/>
              </w:rPr>
              <w:t>本项目在运营过程中会产生危险废物（主要为医疗废物、检验</w:t>
            </w:r>
            <w:r>
              <w:rPr>
                <w:rFonts w:hint="eastAsia"/>
                <w:snapToGrid w:val="0"/>
                <w:szCs w:val="24"/>
                <w:u w:val="single"/>
              </w:rPr>
              <w:t>科</w:t>
            </w:r>
            <w:r>
              <w:rPr>
                <w:snapToGrid w:val="0"/>
                <w:szCs w:val="24"/>
                <w:u w:val="single"/>
              </w:rPr>
              <w:t>废试剂及废液），危险废物均分别存放于</w:t>
            </w:r>
            <w:r>
              <w:rPr>
                <w:rFonts w:hint="eastAsia"/>
                <w:snapToGrid w:val="0"/>
                <w:szCs w:val="24"/>
                <w:u w:val="single"/>
              </w:rPr>
              <w:t>专门</w:t>
            </w:r>
            <w:r>
              <w:rPr>
                <w:snapToGrid w:val="0"/>
                <w:szCs w:val="24"/>
                <w:u w:val="single"/>
              </w:rPr>
              <w:t>容器内，事故风险类型主要危险废物容器在遭受不可预见外力或质量问题，会造成倾倒或者破裂，导致泄漏。项目危险废物储存间进行了防风、防雨、防流失、防渗等措施，但如不及时处理，将对周边环境造成严重影响，建议采取以下措施：</w:t>
            </w:r>
          </w:p>
          <w:p w14:paraId="57EA61BA">
            <w:pPr>
              <w:ind w:firstLine="480" w:firstLineChars="200"/>
              <w:jc w:val="both"/>
              <w:rPr>
                <w:snapToGrid w:val="0"/>
                <w:szCs w:val="24"/>
                <w:u w:val="single"/>
              </w:rPr>
            </w:pPr>
            <w:r>
              <w:rPr>
                <w:rFonts w:hint="eastAsia"/>
                <w:snapToGrid w:val="0"/>
                <w:szCs w:val="24"/>
                <w:u w:val="single"/>
              </w:rPr>
              <w:t>医疗废物</w:t>
            </w:r>
            <w:r>
              <w:rPr>
                <w:snapToGrid w:val="0"/>
                <w:szCs w:val="24"/>
                <w:u w:val="single"/>
              </w:rPr>
              <w:t>储存间需设置标识标牌，建立危废管理制度并上墙。建立专人生产责任制度。明确责任，加强巡视。定期清理危险废物，设置台账。</w:t>
            </w:r>
          </w:p>
          <w:p w14:paraId="55B40DA3">
            <w:pPr>
              <w:ind w:firstLine="480" w:firstLineChars="200"/>
              <w:jc w:val="both"/>
              <w:rPr>
                <w:snapToGrid w:val="0"/>
                <w:szCs w:val="24"/>
                <w:u w:val="single"/>
              </w:rPr>
            </w:pPr>
            <w:r>
              <w:rPr>
                <w:snapToGrid w:val="0"/>
                <w:szCs w:val="24"/>
                <w:u w:val="single"/>
              </w:rPr>
              <w:t>3）污水事故排放风险影响及防范措施</w:t>
            </w:r>
          </w:p>
          <w:p w14:paraId="777C03B9">
            <w:pPr>
              <w:ind w:firstLine="480" w:firstLineChars="200"/>
              <w:jc w:val="both"/>
              <w:rPr>
                <w:snapToGrid w:val="0"/>
                <w:szCs w:val="24"/>
                <w:u w:val="single"/>
              </w:rPr>
            </w:pPr>
            <w:r>
              <w:rPr>
                <w:snapToGrid w:val="0"/>
                <w:szCs w:val="24"/>
                <w:u w:val="single"/>
              </w:rPr>
              <w:t>厂区污水处理</w:t>
            </w:r>
            <w:r>
              <w:rPr>
                <w:rFonts w:hint="eastAsia"/>
                <w:snapToGrid w:val="0"/>
                <w:szCs w:val="24"/>
                <w:u w:val="single"/>
              </w:rPr>
              <w:t>设施</w:t>
            </w:r>
            <w:r>
              <w:rPr>
                <w:snapToGrid w:val="0"/>
                <w:szCs w:val="24"/>
                <w:u w:val="single"/>
              </w:rPr>
              <w:t>发生故障</w:t>
            </w:r>
            <w:r>
              <w:rPr>
                <w:rFonts w:hint="eastAsia"/>
                <w:snapToGrid w:val="0"/>
                <w:szCs w:val="24"/>
                <w:u w:val="single"/>
              </w:rPr>
              <w:t>，</w:t>
            </w:r>
            <w:r>
              <w:rPr>
                <w:snapToGrid w:val="0"/>
                <w:szCs w:val="24"/>
                <w:u w:val="single"/>
              </w:rPr>
              <w:t>使污水处理能力降低，出水水质指标不能达到设计要求；或者废水水量急剧增加，污水处理设备超负荷运行，或无法处理导致污水直接排放。污水事故排放会对周边污水处理厂造成影响，因此建议按照以下几方面采取措施预防事故发生：</w:t>
            </w:r>
          </w:p>
          <w:p w14:paraId="6BA7C46B">
            <w:pPr>
              <w:ind w:firstLine="480" w:firstLineChars="200"/>
              <w:jc w:val="both"/>
              <w:rPr>
                <w:snapToGrid w:val="0"/>
                <w:szCs w:val="24"/>
                <w:u w:val="single"/>
              </w:rPr>
            </w:pPr>
            <w:r>
              <w:rPr>
                <w:rFonts w:hint="eastAsia"/>
                <w:snapToGrid w:val="0"/>
                <w:szCs w:val="24"/>
                <w:u w:val="single"/>
              </w:rPr>
              <w:t>①</w:t>
            </w:r>
            <w:r>
              <w:rPr>
                <w:snapToGrid w:val="0"/>
                <w:szCs w:val="24"/>
                <w:u w:val="single"/>
              </w:rPr>
              <w:t>加强设备管理，认真做好设备，管道，阀门的检查工作，对存在安全隐患的设备、管道、阀门应及时进行修理或更换。</w:t>
            </w:r>
          </w:p>
          <w:p w14:paraId="1E273296">
            <w:pPr>
              <w:ind w:firstLine="480" w:firstLineChars="200"/>
              <w:jc w:val="both"/>
              <w:rPr>
                <w:snapToGrid w:val="0"/>
                <w:szCs w:val="24"/>
                <w:u w:val="single"/>
              </w:rPr>
            </w:pPr>
            <w:r>
              <w:rPr>
                <w:rFonts w:hint="eastAsia"/>
                <w:snapToGrid w:val="0"/>
                <w:szCs w:val="24"/>
                <w:u w:val="single"/>
              </w:rPr>
              <w:t>②</w:t>
            </w:r>
            <w:r>
              <w:rPr>
                <w:snapToGrid w:val="0"/>
                <w:szCs w:val="24"/>
                <w:u w:val="single"/>
              </w:rPr>
              <w:t>在项目建设过程加上选用优质设备，对污水处理</w:t>
            </w:r>
            <w:r>
              <w:rPr>
                <w:rFonts w:hint="eastAsia"/>
                <w:snapToGrid w:val="0"/>
                <w:szCs w:val="24"/>
                <w:u w:val="single"/>
              </w:rPr>
              <w:t>系统</w:t>
            </w:r>
            <w:r>
              <w:rPr>
                <w:snapToGrid w:val="0"/>
                <w:szCs w:val="24"/>
                <w:u w:val="single"/>
              </w:rPr>
              <w:t>各种机械电器、仪表等设备，必须选择质量优良、事故率低、便于维修的产品。对于水泵、污泥泵等关键设备一用一备，易损部件要有备用件，在出现事故时能及时更换。加强设施的维护和管理，提高设备的完好率，关键设备要配备足够的备件，一旦事故发生能够及时处理。</w:t>
            </w:r>
          </w:p>
          <w:p w14:paraId="60CC65C1">
            <w:pPr>
              <w:ind w:firstLine="480" w:firstLineChars="200"/>
              <w:jc w:val="both"/>
              <w:rPr>
                <w:snapToGrid w:val="0"/>
                <w:szCs w:val="24"/>
                <w:u w:val="single"/>
              </w:rPr>
            </w:pPr>
            <w:r>
              <w:rPr>
                <w:rFonts w:hint="eastAsia"/>
                <w:snapToGrid w:val="0"/>
                <w:szCs w:val="24"/>
                <w:u w:val="single"/>
              </w:rPr>
              <w:t>③</w:t>
            </w:r>
            <w:r>
              <w:rPr>
                <w:kern w:val="0"/>
                <w:szCs w:val="24"/>
                <w:u w:val="single"/>
              </w:rPr>
              <w:t>项目污水处理站应设有事故应急池。根据《医院污水处理工程技术规范》（HJ2029-2013），</w:t>
            </w:r>
            <w:bookmarkStart w:id="70" w:name="OLE_LINK10"/>
            <w:r>
              <w:rPr>
                <w:kern w:val="0"/>
                <w:szCs w:val="24"/>
                <w:u w:val="single"/>
              </w:rPr>
              <w:t>传染医院污水处理工程应急池不小于日排放量的100%，非传染医院污水处理工程应急池不小于日排放量的30%，</w:t>
            </w:r>
            <w:bookmarkEnd w:id="70"/>
            <w:r>
              <w:rPr>
                <w:kern w:val="0"/>
                <w:szCs w:val="24"/>
                <w:u w:val="single"/>
              </w:rPr>
              <w:t>项目</w:t>
            </w:r>
            <w:r>
              <w:rPr>
                <w:szCs w:val="24"/>
                <w:u w:val="single"/>
                <w:lang w:val="zh-CN"/>
              </w:rPr>
              <w:t>医疗废水产生量为</w:t>
            </w:r>
            <w:r>
              <w:rPr>
                <w:color w:val="FF0000"/>
                <w:szCs w:val="24"/>
                <w:u w:val="single"/>
              </w:rPr>
              <w:t>8.5</w:t>
            </w:r>
            <w:r>
              <w:rPr>
                <w:color w:val="FF0000"/>
                <w:szCs w:val="24"/>
                <w:u w:val="single"/>
                <w:lang w:val="zh-CN"/>
              </w:rPr>
              <w:t>m³/</w:t>
            </w:r>
            <w:r>
              <w:rPr>
                <w:color w:val="FF0000"/>
                <w:szCs w:val="24"/>
                <w:u w:val="single"/>
              </w:rPr>
              <w:t>d</w:t>
            </w:r>
            <w:r>
              <w:rPr>
                <w:szCs w:val="24"/>
                <w:u w:val="single"/>
              </w:rPr>
              <w:t>，</w:t>
            </w:r>
            <w:r>
              <w:rPr>
                <w:rFonts w:hint="eastAsia"/>
                <w:szCs w:val="24"/>
                <w:u w:val="single"/>
              </w:rPr>
              <w:t>本次改扩建卫生院在污水处理系统排口处设置一个5</w:t>
            </w:r>
            <w:r>
              <w:rPr>
                <w:szCs w:val="24"/>
                <w:u w:val="single"/>
              </w:rPr>
              <w:t>m</w:t>
            </w:r>
            <w:r>
              <w:rPr>
                <w:szCs w:val="24"/>
                <w:u w:val="single"/>
                <w:vertAlign w:val="superscript"/>
              </w:rPr>
              <w:t>3</w:t>
            </w:r>
            <w:r>
              <w:rPr>
                <w:rFonts w:hint="eastAsia"/>
                <w:szCs w:val="24"/>
                <w:u w:val="single"/>
              </w:rPr>
              <w:t>事故应急池，根据计算，事故应急池</w:t>
            </w:r>
            <w:r>
              <w:rPr>
                <w:rFonts w:hint="eastAsia"/>
                <w:kern w:val="0"/>
                <w:szCs w:val="24"/>
                <w:u w:val="single"/>
              </w:rPr>
              <w:t>满足</w:t>
            </w:r>
            <w:r>
              <w:rPr>
                <w:kern w:val="0"/>
                <w:szCs w:val="24"/>
                <w:u w:val="single"/>
              </w:rPr>
              <w:t>《</w:t>
            </w:r>
            <w:r>
              <w:rPr>
                <w:rFonts w:hint="eastAsia"/>
                <w:szCs w:val="24"/>
                <w:u w:val="single"/>
              </w:rPr>
              <w:t>医院污水处理工程技术规范》（HJ2029-2013）中非传染医院污水处理工程应急池不小于日排放量的30%要求。项目营运期应加强污水处理站的日常管理及监测，如果在运行过程中发现污水处理站出水水质超标，应立即将污水排入事故池中，并对污水处理设备进行维修，待污水处理站回复运行后，再将事故池的污水泵入污水处理站进行处理。</w:t>
            </w:r>
          </w:p>
          <w:p w14:paraId="0B5722CA">
            <w:pPr>
              <w:ind w:firstLine="480" w:firstLineChars="200"/>
              <w:jc w:val="both"/>
              <w:rPr>
                <w:szCs w:val="21"/>
                <w:u w:val="single"/>
              </w:rPr>
            </w:pPr>
            <w:r>
              <w:rPr>
                <w:rFonts w:hint="eastAsia"/>
                <w:szCs w:val="21"/>
                <w:u w:val="single"/>
              </w:rPr>
              <w:t>④经过查询，二氧化氯消毒粉具有高效杀菌能力，能够杀灭多种细菌、病毒和原生动物，有效去除水中的病原微生物。其次，二氧化氯消毒粉在处理过程中不会产生二次污染，且残余量低，对环境友好。但是当消毒粉AB剂同时混合在一起容易发生爆照，故污水处理站消毒粉AB剂严格执行分区暂存，严格执行分别将A剂和B剂溶于水后静置10分钟再混合在一起的要求。</w:t>
            </w:r>
          </w:p>
          <w:p w14:paraId="7D5FFCBC">
            <w:pPr>
              <w:ind w:firstLine="482" w:firstLineChars="200"/>
              <w:jc w:val="both"/>
              <w:rPr>
                <w:b/>
                <w:bCs/>
                <w:snapToGrid w:val="0"/>
                <w:szCs w:val="24"/>
              </w:rPr>
            </w:pPr>
            <w:r>
              <w:rPr>
                <w:b/>
                <w:bCs/>
                <w:snapToGrid w:val="0"/>
                <w:szCs w:val="24"/>
              </w:rPr>
              <w:t>（5）应急预案</w:t>
            </w:r>
          </w:p>
          <w:p w14:paraId="666FBFB1">
            <w:pPr>
              <w:pStyle w:val="14"/>
              <w:ind w:firstLine="480"/>
            </w:pPr>
            <w:r>
              <w:rPr>
                <w:rFonts w:hint="eastAsia"/>
              </w:rPr>
              <w:t>根据《企业突发环境事件风险分级方法》（HJ 941-2018）中规定对卫生院Q、M、E值进行判定，具体结果如下：</w:t>
            </w:r>
          </w:p>
          <w:p w14:paraId="6819CBD4">
            <w:pPr>
              <w:jc w:val="center"/>
              <w:rPr>
                <w:b/>
                <w:bCs/>
              </w:rPr>
            </w:pPr>
            <w:r>
              <w:rPr>
                <w:rFonts w:hint="eastAsia"/>
                <w:b/>
                <w:bCs/>
              </w:rPr>
              <w:t>表4</w:t>
            </w:r>
            <w:r>
              <w:rPr>
                <w:b/>
                <w:bCs/>
              </w:rPr>
              <w:t xml:space="preserve">-16 </w:t>
            </w:r>
            <w:r>
              <w:rPr>
                <w:rFonts w:hint="eastAsia"/>
                <w:b/>
                <w:bCs/>
              </w:rPr>
              <w:t>卫生院突发环境事件等级一览表</w:t>
            </w:r>
          </w:p>
          <w:tbl>
            <w:tblPr>
              <w:tblStyle w:val="6"/>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24"/>
              <w:gridCol w:w="3287"/>
              <w:gridCol w:w="2944"/>
            </w:tblGrid>
            <w:tr w14:paraId="5241B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315" w:type="pct"/>
                  <w:tcBorders>
                    <w:tl2br w:val="nil"/>
                    <w:tr2bl w:val="nil"/>
                  </w:tcBorders>
                  <w:vAlign w:val="center"/>
                </w:tcPr>
                <w:p w14:paraId="40AD7EC0">
                  <w:pPr>
                    <w:adjustRightInd w:val="0"/>
                    <w:snapToGrid w:val="0"/>
                    <w:spacing w:line="240" w:lineRule="auto"/>
                    <w:contextualSpacing/>
                    <w:jc w:val="center"/>
                    <w:rPr>
                      <w:b/>
                      <w:iCs/>
                      <w:color w:val="000000"/>
                      <w:sz w:val="21"/>
                      <w:lang w:eastAsia="en-US" w:bidi="en-US"/>
                    </w:rPr>
                  </w:pPr>
                  <w:r>
                    <w:rPr>
                      <w:b/>
                      <w:iCs/>
                      <w:color w:val="000000"/>
                      <w:sz w:val="21"/>
                      <w:lang w:eastAsia="en-US" w:bidi="en-US"/>
                    </w:rPr>
                    <w:t>类别</w:t>
                  </w:r>
                </w:p>
              </w:tc>
              <w:tc>
                <w:tcPr>
                  <w:tcW w:w="1944" w:type="pct"/>
                  <w:tcBorders>
                    <w:tl2br w:val="nil"/>
                    <w:tr2bl w:val="nil"/>
                  </w:tcBorders>
                  <w:vAlign w:val="center"/>
                </w:tcPr>
                <w:p w14:paraId="5AE45374">
                  <w:pPr>
                    <w:adjustRightInd w:val="0"/>
                    <w:snapToGrid w:val="0"/>
                    <w:spacing w:line="240" w:lineRule="auto"/>
                    <w:contextualSpacing/>
                    <w:jc w:val="center"/>
                    <w:rPr>
                      <w:b/>
                      <w:iCs/>
                      <w:color w:val="000000"/>
                      <w:sz w:val="21"/>
                      <w:lang w:bidi="en-US"/>
                    </w:rPr>
                  </w:pPr>
                  <w:r>
                    <w:rPr>
                      <w:b/>
                      <w:iCs/>
                      <w:color w:val="000000"/>
                      <w:sz w:val="21"/>
                      <w:lang w:bidi="en-US"/>
                    </w:rPr>
                    <w:t>突发大气环境风险等级判定</w:t>
                  </w:r>
                </w:p>
              </w:tc>
              <w:tc>
                <w:tcPr>
                  <w:tcW w:w="1741" w:type="pct"/>
                  <w:tcBorders>
                    <w:tl2br w:val="nil"/>
                    <w:tr2bl w:val="nil"/>
                  </w:tcBorders>
                  <w:vAlign w:val="center"/>
                </w:tcPr>
                <w:p w14:paraId="046282D4">
                  <w:pPr>
                    <w:adjustRightInd w:val="0"/>
                    <w:snapToGrid w:val="0"/>
                    <w:spacing w:line="240" w:lineRule="auto"/>
                    <w:contextualSpacing/>
                    <w:jc w:val="center"/>
                    <w:rPr>
                      <w:b/>
                      <w:iCs/>
                      <w:color w:val="000000"/>
                      <w:sz w:val="21"/>
                      <w:lang w:bidi="en-US"/>
                    </w:rPr>
                  </w:pPr>
                  <w:r>
                    <w:rPr>
                      <w:b/>
                      <w:iCs/>
                      <w:color w:val="000000"/>
                      <w:sz w:val="21"/>
                      <w:lang w:bidi="en-US"/>
                    </w:rPr>
                    <w:t>突发水环境风险等级判定</w:t>
                  </w:r>
                </w:p>
              </w:tc>
            </w:tr>
            <w:tr w14:paraId="6080F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5" w:type="pct"/>
                  <w:tcBorders>
                    <w:tl2br w:val="nil"/>
                    <w:tr2bl w:val="nil"/>
                  </w:tcBorders>
                  <w:vAlign w:val="center"/>
                </w:tcPr>
                <w:p w14:paraId="3D525E7B">
                  <w:pPr>
                    <w:spacing w:line="240" w:lineRule="auto"/>
                    <w:jc w:val="center"/>
                    <w:rPr>
                      <w:sz w:val="21"/>
                      <w:lang w:eastAsia="en-US" w:bidi="en-US"/>
                    </w:rPr>
                  </w:pPr>
                  <w:r>
                    <w:rPr>
                      <w:sz w:val="21"/>
                      <w:lang w:eastAsia="en-US" w:bidi="en-US"/>
                    </w:rPr>
                    <w:t>Q值</w:t>
                  </w:r>
                </w:p>
              </w:tc>
              <w:tc>
                <w:tcPr>
                  <w:tcW w:w="1944" w:type="pct"/>
                  <w:tcBorders>
                    <w:tl2br w:val="nil"/>
                    <w:tr2bl w:val="nil"/>
                  </w:tcBorders>
                  <w:vAlign w:val="center"/>
                </w:tcPr>
                <w:p w14:paraId="1BFF68AE">
                  <w:pPr>
                    <w:spacing w:line="240" w:lineRule="auto"/>
                    <w:jc w:val="center"/>
                    <w:rPr>
                      <w:sz w:val="21"/>
                      <w:lang w:bidi="en-US"/>
                    </w:rPr>
                  </w:pPr>
                  <w:r>
                    <w:rPr>
                      <w:sz w:val="21"/>
                      <w:lang w:eastAsia="en-US" w:bidi="en-US"/>
                    </w:rPr>
                    <w:t>Q=</w:t>
                  </w:r>
                  <w:r>
                    <w:rPr>
                      <w:sz w:val="21"/>
                      <w:lang w:bidi="en-US"/>
                    </w:rPr>
                    <w:t>0</w:t>
                  </w:r>
                  <w:r>
                    <w:rPr>
                      <w:rFonts w:hint="eastAsia"/>
                      <w:sz w:val="21"/>
                      <w:lang w:bidi="en-US"/>
                    </w:rPr>
                    <w:t>，</w:t>
                  </w:r>
                  <w:r>
                    <w:rPr>
                      <w:sz w:val="21"/>
                      <w:lang w:eastAsia="en-US" w:bidi="en-US"/>
                    </w:rPr>
                    <w:t>判定为Q</w:t>
                  </w:r>
                  <w:r>
                    <w:rPr>
                      <w:sz w:val="21"/>
                      <w:lang w:bidi="en-US"/>
                    </w:rPr>
                    <w:t>0</w:t>
                  </w:r>
                </w:p>
              </w:tc>
              <w:tc>
                <w:tcPr>
                  <w:tcW w:w="1741" w:type="pct"/>
                  <w:tcBorders>
                    <w:tl2br w:val="nil"/>
                    <w:tr2bl w:val="nil"/>
                  </w:tcBorders>
                  <w:vAlign w:val="center"/>
                </w:tcPr>
                <w:p w14:paraId="305FA671">
                  <w:pPr>
                    <w:spacing w:line="240" w:lineRule="auto"/>
                    <w:jc w:val="center"/>
                    <w:rPr>
                      <w:sz w:val="21"/>
                      <w:lang w:bidi="en-US"/>
                    </w:rPr>
                  </w:pPr>
                  <w:r>
                    <w:rPr>
                      <w:sz w:val="21"/>
                      <w:lang w:eastAsia="en-US" w:bidi="en-US"/>
                    </w:rPr>
                    <w:t>Q=0.047</w:t>
                  </w:r>
                  <w:r>
                    <w:rPr>
                      <w:rFonts w:hint="eastAsia"/>
                      <w:sz w:val="21"/>
                      <w:lang w:bidi="en-US"/>
                    </w:rPr>
                    <w:t>，</w:t>
                  </w:r>
                  <w:r>
                    <w:rPr>
                      <w:sz w:val="21"/>
                      <w:lang w:eastAsia="en-US" w:bidi="en-US"/>
                    </w:rPr>
                    <w:t>判定为Q</w:t>
                  </w:r>
                  <w:r>
                    <w:rPr>
                      <w:sz w:val="21"/>
                      <w:lang w:bidi="en-US"/>
                    </w:rPr>
                    <w:t>0</w:t>
                  </w:r>
                </w:p>
              </w:tc>
            </w:tr>
            <w:tr w14:paraId="24DD2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5" w:type="pct"/>
                  <w:tcBorders>
                    <w:tl2br w:val="nil"/>
                    <w:tr2bl w:val="nil"/>
                  </w:tcBorders>
                  <w:vAlign w:val="center"/>
                </w:tcPr>
                <w:p w14:paraId="4FB4A467">
                  <w:pPr>
                    <w:spacing w:line="240" w:lineRule="auto"/>
                    <w:jc w:val="center"/>
                    <w:rPr>
                      <w:sz w:val="21"/>
                      <w:lang w:eastAsia="en-US" w:bidi="en-US"/>
                    </w:rPr>
                  </w:pPr>
                  <w:r>
                    <w:rPr>
                      <w:sz w:val="21"/>
                      <w:lang w:eastAsia="en-US" w:bidi="en-US"/>
                    </w:rPr>
                    <w:t>M值</w:t>
                  </w:r>
                </w:p>
              </w:tc>
              <w:tc>
                <w:tcPr>
                  <w:tcW w:w="1944" w:type="pct"/>
                  <w:tcBorders>
                    <w:tl2br w:val="nil"/>
                    <w:tr2bl w:val="nil"/>
                  </w:tcBorders>
                  <w:vAlign w:val="center"/>
                </w:tcPr>
                <w:p w14:paraId="6013D550">
                  <w:pPr>
                    <w:spacing w:line="240" w:lineRule="auto"/>
                    <w:jc w:val="center"/>
                    <w:rPr>
                      <w:sz w:val="21"/>
                      <w:lang w:bidi="en-US"/>
                    </w:rPr>
                  </w:pPr>
                  <w:r>
                    <w:rPr>
                      <w:sz w:val="21"/>
                      <w:lang w:eastAsia="en-US" w:bidi="en-US"/>
                    </w:rPr>
                    <w:t>M=</w:t>
                  </w:r>
                  <w:r>
                    <w:rPr>
                      <w:sz w:val="21"/>
                      <w:lang w:bidi="en-US"/>
                    </w:rPr>
                    <w:t>0</w:t>
                  </w:r>
                  <w:r>
                    <w:rPr>
                      <w:rFonts w:hint="eastAsia"/>
                      <w:sz w:val="21"/>
                      <w:lang w:bidi="en-US"/>
                    </w:rPr>
                    <w:t>，</w:t>
                  </w:r>
                  <w:r>
                    <w:rPr>
                      <w:sz w:val="21"/>
                      <w:lang w:eastAsia="en-US" w:bidi="en-US"/>
                    </w:rPr>
                    <w:t>判定为M</w:t>
                  </w:r>
                  <w:r>
                    <w:rPr>
                      <w:sz w:val="21"/>
                      <w:lang w:bidi="en-US"/>
                    </w:rPr>
                    <w:t>1</w:t>
                  </w:r>
                </w:p>
              </w:tc>
              <w:tc>
                <w:tcPr>
                  <w:tcW w:w="1741" w:type="pct"/>
                  <w:tcBorders>
                    <w:tl2br w:val="nil"/>
                    <w:tr2bl w:val="nil"/>
                  </w:tcBorders>
                  <w:vAlign w:val="center"/>
                </w:tcPr>
                <w:p w14:paraId="73EB4C5B">
                  <w:pPr>
                    <w:spacing w:line="240" w:lineRule="auto"/>
                    <w:jc w:val="center"/>
                    <w:rPr>
                      <w:sz w:val="21"/>
                      <w:lang w:bidi="en-US"/>
                    </w:rPr>
                  </w:pPr>
                  <w:r>
                    <w:rPr>
                      <w:sz w:val="21"/>
                      <w:lang w:eastAsia="en-US" w:bidi="en-US"/>
                    </w:rPr>
                    <w:t>M=</w:t>
                  </w:r>
                  <w:r>
                    <w:rPr>
                      <w:sz w:val="21"/>
                      <w:lang w:bidi="en-US"/>
                    </w:rPr>
                    <w:t>14</w:t>
                  </w:r>
                  <w:r>
                    <w:rPr>
                      <w:sz w:val="21"/>
                      <w:lang w:eastAsia="en-US" w:bidi="en-US"/>
                    </w:rPr>
                    <w:t>，判定为M</w:t>
                  </w:r>
                  <w:r>
                    <w:rPr>
                      <w:sz w:val="21"/>
                      <w:lang w:bidi="en-US"/>
                    </w:rPr>
                    <w:t>1</w:t>
                  </w:r>
                </w:p>
              </w:tc>
            </w:tr>
            <w:tr w14:paraId="49880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5" w:type="pct"/>
                  <w:tcBorders>
                    <w:tl2br w:val="nil"/>
                    <w:tr2bl w:val="nil"/>
                  </w:tcBorders>
                  <w:vAlign w:val="center"/>
                </w:tcPr>
                <w:p w14:paraId="5338E878">
                  <w:pPr>
                    <w:spacing w:line="240" w:lineRule="auto"/>
                    <w:jc w:val="center"/>
                    <w:rPr>
                      <w:sz w:val="21"/>
                      <w:lang w:eastAsia="en-US" w:bidi="en-US"/>
                    </w:rPr>
                  </w:pPr>
                  <w:r>
                    <w:rPr>
                      <w:sz w:val="21"/>
                      <w:lang w:eastAsia="en-US" w:bidi="en-US"/>
                    </w:rPr>
                    <w:t>E值</w:t>
                  </w:r>
                </w:p>
              </w:tc>
              <w:tc>
                <w:tcPr>
                  <w:tcW w:w="1944" w:type="pct"/>
                  <w:tcBorders>
                    <w:tl2br w:val="nil"/>
                    <w:tr2bl w:val="nil"/>
                  </w:tcBorders>
                  <w:vAlign w:val="center"/>
                </w:tcPr>
                <w:p w14:paraId="493B3256">
                  <w:pPr>
                    <w:spacing w:line="240" w:lineRule="auto"/>
                    <w:jc w:val="center"/>
                    <w:rPr>
                      <w:sz w:val="21"/>
                      <w:lang w:bidi="en-US"/>
                    </w:rPr>
                  </w:pPr>
                  <w:r>
                    <w:rPr>
                      <w:rFonts w:hint="eastAsia"/>
                      <w:sz w:val="21"/>
                      <w:lang w:bidi="en-US"/>
                    </w:rPr>
                    <w:t>E</w:t>
                  </w:r>
                  <w:r>
                    <w:rPr>
                      <w:sz w:val="21"/>
                      <w:lang w:bidi="en-US"/>
                    </w:rPr>
                    <w:t>2</w:t>
                  </w:r>
                </w:p>
              </w:tc>
              <w:tc>
                <w:tcPr>
                  <w:tcW w:w="1741" w:type="pct"/>
                  <w:tcBorders>
                    <w:tl2br w:val="nil"/>
                    <w:tr2bl w:val="nil"/>
                  </w:tcBorders>
                  <w:vAlign w:val="center"/>
                </w:tcPr>
                <w:p w14:paraId="7F06F8E9">
                  <w:pPr>
                    <w:spacing w:line="240" w:lineRule="auto"/>
                    <w:jc w:val="center"/>
                    <w:rPr>
                      <w:sz w:val="21"/>
                      <w:lang w:bidi="en-US"/>
                    </w:rPr>
                  </w:pPr>
                  <w:r>
                    <w:rPr>
                      <w:rFonts w:hint="eastAsia"/>
                      <w:sz w:val="21"/>
                      <w:lang w:bidi="en-US"/>
                    </w:rPr>
                    <w:t>E</w:t>
                  </w:r>
                  <w:r>
                    <w:rPr>
                      <w:sz w:val="21"/>
                      <w:lang w:bidi="en-US"/>
                    </w:rPr>
                    <w:t>2</w:t>
                  </w:r>
                </w:p>
              </w:tc>
            </w:tr>
            <w:tr w14:paraId="3CCB9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5" w:type="pct"/>
                  <w:tcBorders>
                    <w:tl2br w:val="nil"/>
                    <w:tr2bl w:val="nil"/>
                  </w:tcBorders>
                  <w:vAlign w:val="center"/>
                </w:tcPr>
                <w:p w14:paraId="01FBEF58">
                  <w:pPr>
                    <w:spacing w:line="240" w:lineRule="auto"/>
                    <w:jc w:val="center"/>
                    <w:rPr>
                      <w:sz w:val="21"/>
                      <w:lang w:eastAsia="en-US" w:bidi="en-US"/>
                    </w:rPr>
                  </w:pPr>
                  <w:r>
                    <w:rPr>
                      <w:sz w:val="21"/>
                      <w:lang w:eastAsia="en-US" w:bidi="en-US"/>
                    </w:rPr>
                    <w:t>风险级别描述</w:t>
                  </w:r>
                </w:p>
              </w:tc>
              <w:tc>
                <w:tcPr>
                  <w:tcW w:w="1944" w:type="pct"/>
                  <w:tcBorders>
                    <w:tl2br w:val="nil"/>
                    <w:tr2bl w:val="nil"/>
                  </w:tcBorders>
                  <w:vAlign w:val="center"/>
                </w:tcPr>
                <w:p w14:paraId="3919B745">
                  <w:pPr>
                    <w:spacing w:line="240" w:lineRule="auto"/>
                    <w:jc w:val="center"/>
                    <w:rPr>
                      <w:sz w:val="21"/>
                      <w:lang w:eastAsia="en-US" w:bidi="en-US"/>
                    </w:rPr>
                  </w:pPr>
                  <w:r>
                    <w:rPr>
                      <w:rFonts w:hint="eastAsia" w:ascii="宋体" w:hAnsi="宋体" w:cs="宋体"/>
                      <w:kern w:val="0"/>
                      <w:sz w:val="21"/>
                    </w:rPr>
                    <w:t>一般</w:t>
                  </w:r>
                  <w:r>
                    <w:rPr>
                      <w:rFonts w:cs="宋体"/>
                      <w:kern w:val="0"/>
                      <w:sz w:val="21"/>
                    </w:rPr>
                    <w:t>-</w:t>
                  </w:r>
                  <w:r>
                    <w:rPr>
                      <w:rFonts w:hint="eastAsia" w:ascii="宋体" w:hAnsi="宋体" w:cs="宋体"/>
                      <w:kern w:val="0"/>
                      <w:sz w:val="21"/>
                    </w:rPr>
                    <w:t>气</w:t>
                  </w:r>
                  <w:r>
                    <w:rPr>
                      <w:rFonts w:ascii="宋体" w:hAnsi="宋体" w:cs="宋体"/>
                      <w:kern w:val="0"/>
                      <w:sz w:val="21"/>
                    </w:rPr>
                    <w:t>（</w:t>
                  </w:r>
                  <w:r>
                    <w:rPr>
                      <w:rFonts w:cs="宋体"/>
                      <w:kern w:val="0"/>
                      <w:sz w:val="21"/>
                    </w:rPr>
                    <w:t>Q0</w:t>
                  </w:r>
                  <w:r>
                    <w:rPr>
                      <w:rFonts w:ascii="宋体" w:hAnsi="宋体" w:cs="宋体"/>
                      <w:kern w:val="0"/>
                      <w:sz w:val="21"/>
                    </w:rPr>
                    <w:t>）</w:t>
                  </w:r>
                </w:p>
              </w:tc>
              <w:tc>
                <w:tcPr>
                  <w:tcW w:w="1741" w:type="pct"/>
                  <w:tcBorders>
                    <w:tl2br w:val="nil"/>
                    <w:tr2bl w:val="nil"/>
                  </w:tcBorders>
                  <w:vAlign w:val="center"/>
                </w:tcPr>
                <w:p w14:paraId="2A98A3AB">
                  <w:pPr>
                    <w:spacing w:line="240" w:lineRule="auto"/>
                    <w:jc w:val="center"/>
                    <w:rPr>
                      <w:sz w:val="21"/>
                      <w:lang w:bidi="en-US"/>
                    </w:rPr>
                  </w:pPr>
                  <w:r>
                    <w:rPr>
                      <w:rFonts w:hint="eastAsia" w:ascii="宋体" w:hAnsi="宋体" w:cs="宋体"/>
                      <w:kern w:val="0"/>
                      <w:sz w:val="21"/>
                    </w:rPr>
                    <w:t>一般</w:t>
                  </w:r>
                  <w:r>
                    <w:rPr>
                      <w:rFonts w:cs="宋体"/>
                      <w:kern w:val="0"/>
                      <w:sz w:val="21"/>
                    </w:rPr>
                    <w:t>-</w:t>
                  </w:r>
                  <w:r>
                    <w:rPr>
                      <w:rFonts w:hint="eastAsia" w:cs="宋体"/>
                      <w:kern w:val="0"/>
                      <w:sz w:val="21"/>
                    </w:rPr>
                    <w:t>水</w:t>
                  </w:r>
                  <w:r>
                    <w:rPr>
                      <w:rFonts w:hint="eastAsia" w:ascii="宋体" w:hAnsi="宋体" w:cs="宋体"/>
                      <w:kern w:val="0"/>
                      <w:sz w:val="21"/>
                    </w:rPr>
                    <w:t>（</w:t>
                  </w:r>
                  <w:r>
                    <w:rPr>
                      <w:kern w:val="0"/>
                      <w:sz w:val="21"/>
                    </w:rPr>
                    <w:t>Q0</w:t>
                  </w:r>
                  <w:r>
                    <w:rPr>
                      <w:rFonts w:hint="eastAsia" w:ascii="宋体" w:hAnsi="宋体" w:cs="宋体"/>
                      <w:kern w:val="0"/>
                      <w:sz w:val="21"/>
                    </w:rPr>
                    <w:t>）</w:t>
                  </w:r>
                </w:p>
              </w:tc>
            </w:tr>
            <w:tr w14:paraId="208AA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5" w:type="pct"/>
                  <w:tcBorders>
                    <w:tl2br w:val="nil"/>
                    <w:tr2bl w:val="nil"/>
                  </w:tcBorders>
                  <w:vAlign w:val="center"/>
                </w:tcPr>
                <w:p w14:paraId="69E6C65A">
                  <w:pPr>
                    <w:spacing w:line="240" w:lineRule="auto"/>
                    <w:jc w:val="center"/>
                    <w:rPr>
                      <w:sz w:val="21"/>
                      <w:lang w:eastAsia="en-US" w:bidi="en-US"/>
                    </w:rPr>
                  </w:pPr>
                  <w:r>
                    <w:rPr>
                      <w:sz w:val="21"/>
                      <w:lang w:eastAsia="en-US" w:bidi="en-US"/>
                    </w:rPr>
                    <w:t>综合判定风险等级</w:t>
                  </w:r>
                </w:p>
              </w:tc>
              <w:tc>
                <w:tcPr>
                  <w:tcW w:w="3685" w:type="pct"/>
                  <w:gridSpan w:val="2"/>
                  <w:tcBorders>
                    <w:tl2br w:val="nil"/>
                    <w:tr2bl w:val="nil"/>
                  </w:tcBorders>
                  <w:vAlign w:val="center"/>
                </w:tcPr>
                <w:p w14:paraId="55545D42">
                  <w:pPr>
                    <w:spacing w:line="240" w:lineRule="auto"/>
                    <w:jc w:val="center"/>
                    <w:rPr>
                      <w:sz w:val="21"/>
                      <w:lang w:bidi="en-US"/>
                    </w:rPr>
                  </w:pPr>
                  <w:r>
                    <w:rPr>
                      <w:rFonts w:hint="eastAsia"/>
                      <w:color w:val="000000"/>
                      <w:sz w:val="21"/>
                    </w:rPr>
                    <w:t>一般</w:t>
                  </w:r>
                  <w:r>
                    <w:rPr>
                      <w:rFonts w:hint="eastAsia" w:ascii="宋体" w:hAnsi="宋体"/>
                      <w:color w:val="000000"/>
                      <w:sz w:val="21"/>
                    </w:rPr>
                    <w:t>〔</w:t>
                  </w:r>
                  <w:r>
                    <w:rPr>
                      <w:rFonts w:hint="eastAsia"/>
                      <w:color w:val="000000"/>
                      <w:sz w:val="21"/>
                    </w:rPr>
                    <w:t>一般-气（Q</w:t>
                  </w:r>
                  <w:r>
                    <w:rPr>
                      <w:color w:val="000000"/>
                      <w:sz w:val="21"/>
                      <w:vertAlign w:val="subscript"/>
                    </w:rPr>
                    <w:t xml:space="preserve">0 </w:t>
                  </w:r>
                  <w:r>
                    <w:rPr>
                      <w:rFonts w:hint="eastAsia"/>
                      <w:color w:val="000000"/>
                      <w:sz w:val="21"/>
                    </w:rPr>
                    <w:t>）+一般-水（Q</w:t>
                  </w:r>
                  <w:r>
                    <w:rPr>
                      <w:color w:val="000000"/>
                      <w:sz w:val="21"/>
                      <w:vertAlign w:val="subscript"/>
                    </w:rPr>
                    <w:t>0</w:t>
                  </w:r>
                  <w:r>
                    <w:rPr>
                      <w:rFonts w:hint="eastAsia"/>
                      <w:color w:val="000000"/>
                      <w:sz w:val="21"/>
                    </w:rPr>
                    <w:t>）</w:t>
                  </w:r>
                  <w:r>
                    <w:rPr>
                      <w:rFonts w:hint="eastAsia" w:ascii="宋体" w:hAnsi="宋体"/>
                      <w:color w:val="000000"/>
                      <w:sz w:val="21"/>
                    </w:rPr>
                    <w:t>〕</w:t>
                  </w:r>
                </w:p>
              </w:tc>
            </w:tr>
          </w:tbl>
          <w:p w14:paraId="0193015D">
            <w:pPr>
              <w:pStyle w:val="14"/>
              <w:ind w:firstLine="480"/>
            </w:pPr>
            <w:r>
              <w:rPr>
                <w:rFonts w:hint="eastAsia"/>
              </w:rPr>
              <w:t>根据《湖南省突发环境事件应急预案管理办法（修订版）》（湘环发〔2</w:t>
            </w:r>
            <w:r>
              <w:t>024</w:t>
            </w:r>
            <w:r>
              <w:rPr>
                <w:rFonts w:hint="eastAsia"/>
              </w:rPr>
              <w:t>〕4</w:t>
            </w:r>
            <w:r>
              <w:t>9号</w:t>
            </w:r>
            <w:r>
              <w:rPr>
                <w:rFonts w:hint="eastAsia"/>
              </w:rPr>
              <w:t>）中附件1判定卫生院属于豁免管理，卫生院无需编制突发环境事件应急预案，仅需向属永州市生态环境局双牌分局提供环境应急预案豁免管理申请表即可</w:t>
            </w:r>
            <w:r>
              <w:t>。</w:t>
            </w:r>
          </w:p>
          <w:p w14:paraId="7FA7FD2F">
            <w:pPr>
              <w:ind w:firstLine="482" w:firstLineChars="200"/>
              <w:rPr>
                <w:b/>
                <w:bCs/>
              </w:rPr>
            </w:pPr>
            <w:r>
              <w:rPr>
                <w:rFonts w:hint="eastAsia"/>
                <w:b/>
                <w:bCs/>
              </w:rPr>
              <w:t>（6）环境风险结论</w:t>
            </w:r>
          </w:p>
          <w:p w14:paraId="6AA90150">
            <w:pPr>
              <w:ind w:firstLine="480" w:firstLineChars="200"/>
            </w:pPr>
            <w:r>
              <w:rPr>
                <w:rFonts w:hint="eastAsia"/>
              </w:rPr>
              <w:t>本项目环境风险潜势为Ⅰ，仅需要做简单分析。正常生产情况下，建设单位按照本环评要求加强管理和设备的维护，并设立完善的预防措施和预警系统，并配备必要的设备设施，制定严格的安全操作规程和维修维护措施，本项目的环境风险在可接受范围内。一旦发生事故，因为防护措施得力并反应迅速，可把事故造成的影响降到最小。所以本项目在环境风险方面来说是可接受的。</w:t>
            </w:r>
          </w:p>
          <w:p w14:paraId="70A44E93">
            <w:pPr>
              <w:ind w:firstLine="482" w:firstLineChars="200"/>
              <w:rPr>
                <w:b/>
                <w:bCs/>
              </w:rPr>
            </w:pPr>
            <w:r>
              <w:rPr>
                <w:rFonts w:hint="eastAsia"/>
                <w:b/>
                <w:bCs/>
              </w:rPr>
              <w:t xml:space="preserve">9、电磁辐射 </w:t>
            </w:r>
          </w:p>
          <w:p w14:paraId="6A67488C">
            <w:pPr>
              <w:ind w:firstLine="480" w:firstLineChars="200"/>
            </w:pPr>
            <w:r>
              <w:rPr>
                <w:rFonts w:hint="eastAsia"/>
              </w:rPr>
              <w:t>由建设单位另行委托专业单位承担，不在本次评价范围内。</w:t>
            </w:r>
          </w:p>
          <w:p w14:paraId="17571979">
            <w:pPr>
              <w:ind w:firstLine="482" w:firstLineChars="200"/>
              <w:rPr>
                <w:b/>
                <w:bCs/>
              </w:rPr>
            </w:pPr>
            <w:r>
              <w:rPr>
                <w:rFonts w:hint="eastAsia"/>
                <w:b/>
                <w:bCs/>
              </w:rPr>
              <w:t>10、项目建设对外环境的相互影响</w:t>
            </w:r>
          </w:p>
          <w:p w14:paraId="0378FF0B">
            <w:pPr>
              <w:ind w:firstLine="480" w:firstLineChars="200"/>
            </w:pPr>
            <w:r>
              <w:rPr>
                <w:rFonts w:hint="eastAsia"/>
              </w:rPr>
              <w:t xml:space="preserve">（1）项目建设对周围环境的影响分析 </w:t>
            </w:r>
          </w:p>
          <w:p w14:paraId="53DCF26E">
            <w:pPr>
              <w:ind w:firstLine="480" w:firstLineChars="200"/>
            </w:pPr>
            <w:r>
              <w:rPr>
                <w:rFonts w:hint="eastAsia"/>
              </w:rPr>
              <w:t>本项目位于永州市双牌县茶林镇大河江村，项目周边主要为于永州市双牌县茶林镇大河江村居民。，项目营运期各类污染物均可做到达标排放，对周边环境的影响可以接受。</w:t>
            </w:r>
          </w:p>
          <w:p w14:paraId="5E4D50F5">
            <w:pPr>
              <w:ind w:firstLine="480" w:firstLineChars="200"/>
            </w:pPr>
            <w:r>
              <w:rPr>
                <w:rFonts w:hint="eastAsia"/>
              </w:rPr>
              <w:t>（2）外环境对本项目的影响分析</w:t>
            </w:r>
          </w:p>
          <w:p w14:paraId="5727AF87">
            <w:pPr>
              <w:ind w:firstLine="480" w:firstLineChars="200"/>
            </w:pPr>
            <w:r>
              <w:rPr>
                <w:rFonts w:hint="eastAsia"/>
              </w:rPr>
              <w:t>项目周边无工业企业，对项目的影响主要来源于污水处理站和水泵噪声。因此本项目外部噪声对工程区域内的影响较小，不会对医院人群正常休养、工作等产生明显的不利影响。</w:t>
            </w:r>
          </w:p>
          <w:p w14:paraId="2885B6CB">
            <w:pPr>
              <w:ind w:firstLine="482" w:firstLineChars="200"/>
              <w:rPr>
                <w:b/>
                <w:bCs/>
              </w:rPr>
            </w:pPr>
            <w:r>
              <w:rPr>
                <w:rFonts w:hint="eastAsia"/>
                <w:b/>
                <w:bCs/>
              </w:rPr>
              <w:t>1</w:t>
            </w:r>
            <w:r>
              <w:rPr>
                <w:b/>
                <w:bCs/>
              </w:rPr>
              <w:t>1</w:t>
            </w:r>
            <w:r>
              <w:rPr>
                <w:rFonts w:hint="eastAsia"/>
                <w:b/>
                <w:bCs/>
              </w:rPr>
              <w:t>、三本账</w:t>
            </w:r>
          </w:p>
          <w:p w14:paraId="2CC2610A">
            <w:pPr>
              <w:ind w:firstLine="480" w:firstLineChars="200"/>
            </w:pPr>
            <w:r>
              <w:rPr>
                <w:rFonts w:hint="eastAsia"/>
              </w:rPr>
              <w:t>结合前文对卫生院现有污染物排放计算分析，以及本次改扩建后公司污染物排放变化情况，本次改扩建三本账一览表如下所示：</w:t>
            </w:r>
          </w:p>
          <w:p w14:paraId="38118790">
            <w:pPr>
              <w:jc w:val="center"/>
              <w:rPr>
                <w:b/>
                <w:bCs/>
              </w:rPr>
            </w:pPr>
            <w:r>
              <w:rPr>
                <w:rFonts w:hint="eastAsia"/>
                <w:b/>
                <w:bCs/>
              </w:rPr>
              <w:t>表4</w:t>
            </w:r>
            <w:r>
              <w:rPr>
                <w:b/>
                <w:bCs/>
              </w:rPr>
              <w:t>-16</w:t>
            </w:r>
            <w:r>
              <w:rPr>
                <w:rFonts w:hint="eastAsia"/>
                <w:b/>
                <w:bCs/>
              </w:rPr>
              <w:t>本项目污染物排放“三本帐”一览表（t/a）</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554"/>
              <w:gridCol w:w="1906"/>
              <w:gridCol w:w="1586"/>
              <w:gridCol w:w="1833"/>
            </w:tblGrid>
            <w:tr w14:paraId="5B88A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Align w:val="center"/>
                </w:tcPr>
                <w:p w14:paraId="138A6B5E">
                  <w:pPr>
                    <w:spacing w:line="240" w:lineRule="auto"/>
                    <w:jc w:val="center"/>
                    <w:rPr>
                      <w:sz w:val="21"/>
                    </w:rPr>
                  </w:pPr>
                  <w:r>
                    <w:rPr>
                      <w:sz w:val="21"/>
                    </w:rPr>
                    <w:t>类别</w:t>
                  </w:r>
                </w:p>
              </w:tc>
              <w:tc>
                <w:tcPr>
                  <w:tcW w:w="918" w:type="pct"/>
                  <w:vAlign w:val="center"/>
                </w:tcPr>
                <w:p w14:paraId="4045B6A3">
                  <w:pPr>
                    <w:spacing w:line="240" w:lineRule="auto"/>
                    <w:jc w:val="center"/>
                    <w:rPr>
                      <w:sz w:val="21"/>
                    </w:rPr>
                  </w:pPr>
                  <w:r>
                    <w:rPr>
                      <w:sz w:val="21"/>
                    </w:rPr>
                    <w:t>污染物</w:t>
                  </w:r>
                </w:p>
              </w:tc>
              <w:tc>
                <w:tcPr>
                  <w:tcW w:w="1126" w:type="pct"/>
                  <w:vAlign w:val="center"/>
                </w:tcPr>
                <w:p w14:paraId="4D7C5B9D">
                  <w:pPr>
                    <w:spacing w:line="240" w:lineRule="auto"/>
                    <w:jc w:val="center"/>
                    <w:rPr>
                      <w:sz w:val="21"/>
                    </w:rPr>
                  </w:pPr>
                  <w:r>
                    <w:rPr>
                      <w:rFonts w:hint="eastAsia"/>
                      <w:sz w:val="21"/>
                    </w:rPr>
                    <w:t>原有项目排放量/产生量</w:t>
                  </w:r>
                  <w:r>
                    <w:rPr>
                      <w:sz w:val="21"/>
                    </w:rPr>
                    <w:t>（t/a）</w:t>
                  </w:r>
                </w:p>
              </w:tc>
              <w:tc>
                <w:tcPr>
                  <w:tcW w:w="937" w:type="pct"/>
                  <w:vAlign w:val="center"/>
                </w:tcPr>
                <w:p w14:paraId="36D36C0E">
                  <w:pPr>
                    <w:spacing w:line="240" w:lineRule="auto"/>
                    <w:rPr>
                      <w:sz w:val="21"/>
                    </w:rPr>
                  </w:pPr>
                  <w:r>
                    <w:rPr>
                      <w:rFonts w:hint="eastAsia"/>
                      <w:sz w:val="21"/>
                    </w:rPr>
                    <w:t>新增</w:t>
                  </w:r>
                  <w:r>
                    <w:rPr>
                      <w:sz w:val="21"/>
                    </w:rPr>
                    <w:t>排放量</w:t>
                  </w:r>
                  <w:r>
                    <w:rPr>
                      <w:rFonts w:hint="eastAsia"/>
                      <w:sz w:val="21"/>
                    </w:rPr>
                    <w:t>/产生量</w:t>
                  </w:r>
                  <w:r>
                    <w:rPr>
                      <w:sz w:val="21"/>
                    </w:rPr>
                    <w:t>（t/a）</w:t>
                  </w:r>
                </w:p>
              </w:tc>
              <w:tc>
                <w:tcPr>
                  <w:tcW w:w="1083" w:type="pct"/>
                  <w:vAlign w:val="center"/>
                </w:tcPr>
                <w:p w14:paraId="67E51CA4">
                  <w:pPr>
                    <w:spacing w:line="240" w:lineRule="auto"/>
                    <w:jc w:val="center"/>
                    <w:rPr>
                      <w:sz w:val="21"/>
                    </w:rPr>
                  </w:pPr>
                  <w:r>
                    <w:rPr>
                      <w:rFonts w:hint="eastAsia"/>
                      <w:sz w:val="21"/>
                    </w:rPr>
                    <w:t>扩建后企业排放量/产生量</w:t>
                  </w:r>
                  <w:r>
                    <w:rPr>
                      <w:sz w:val="21"/>
                    </w:rPr>
                    <w:t>（t/a）</w:t>
                  </w:r>
                </w:p>
              </w:tc>
            </w:tr>
            <w:tr w14:paraId="79C75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restart"/>
                  <w:vAlign w:val="center"/>
                </w:tcPr>
                <w:p w14:paraId="252170A3">
                  <w:pPr>
                    <w:spacing w:line="240" w:lineRule="auto"/>
                    <w:jc w:val="center"/>
                    <w:rPr>
                      <w:sz w:val="21"/>
                    </w:rPr>
                  </w:pPr>
                  <w:r>
                    <w:rPr>
                      <w:rFonts w:hint="eastAsia"/>
                      <w:sz w:val="21"/>
                    </w:rPr>
                    <w:t>医疗废水</w:t>
                  </w:r>
                </w:p>
              </w:tc>
              <w:tc>
                <w:tcPr>
                  <w:tcW w:w="918" w:type="pct"/>
                  <w:vAlign w:val="center"/>
                </w:tcPr>
                <w:p w14:paraId="0EEADCC2">
                  <w:pPr>
                    <w:spacing w:line="240" w:lineRule="auto"/>
                    <w:jc w:val="center"/>
                    <w:rPr>
                      <w:sz w:val="21"/>
                    </w:rPr>
                  </w:pPr>
                  <w:r>
                    <w:rPr>
                      <w:rFonts w:hint="eastAsia"/>
                      <w:sz w:val="21"/>
                    </w:rPr>
                    <w:t>废水量</w:t>
                  </w:r>
                </w:p>
              </w:tc>
              <w:tc>
                <w:tcPr>
                  <w:tcW w:w="1126" w:type="pct"/>
                  <w:vAlign w:val="center"/>
                </w:tcPr>
                <w:p w14:paraId="6323B326">
                  <w:pPr>
                    <w:spacing w:line="240" w:lineRule="auto"/>
                    <w:jc w:val="center"/>
                    <w:rPr>
                      <w:sz w:val="21"/>
                    </w:rPr>
                  </w:pPr>
                  <w:r>
                    <w:rPr>
                      <w:snapToGrid w:val="0"/>
                      <w:kern w:val="0"/>
                      <w:sz w:val="21"/>
                      <w:szCs w:val="21"/>
                      <w:lang w:bidi="zh-CN"/>
                    </w:rPr>
                    <w:t>1642.5</w:t>
                  </w:r>
                </w:p>
              </w:tc>
              <w:tc>
                <w:tcPr>
                  <w:tcW w:w="937" w:type="pct"/>
                  <w:vAlign w:val="bottom"/>
                </w:tcPr>
                <w:p w14:paraId="6B9CAD3E">
                  <w:pPr>
                    <w:spacing w:line="240" w:lineRule="auto"/>
                    <w:jc w:val="center"/>
                    <w:rPr>
                      <w:snapToGrid w:val="0"/>
                      <w:kern w:val="0"/>
                      <w:sz w:val="21"/>
                      <w:szCs w:val="21"/>
                      <w:lang w:bidi="zh-CN"/>
                    </w:rPr>
                  </w:pPr>
                  <w:r>
                    <w:rPr>
                      <w:rFonts w:hint="eastAsia"/>
                      <w:snapToGrid w:val="0"/>
                      <w:kern w:val="0"/>
                      <w:sz w:val="21"/>
                      <w:szCs w:val="21"/>
                      <w:lang w:bidi="zh-CN"/>
                    </w:rPr>
                    <w:t>1460</w:t>
                  </w:r>
                </w:p>
              </w:tc>
              <w:tc>
                <w:tcPr>
                  <w:tcW w:w="1083" w:type="pct"/>
                  <w:vAlign w:val="center"/>
                </w:tcPr>
                <w:p w14:paraId="74AF07B3">
                  <w:pPr>
                    <w:spacing w:line="240" w:lineRule="auto"/>
                    <w:jc w:val="center"/>
                    <w:rPr>
                      <w:sz w:val="21"/>
                    </w:rPr>
                  </w:pPr>
                  <w:r>
                    <w:rPr>
                      <w:snapToGrid w:val="0"/>
                      <w:kern w:val="0"/>
                      <w:sz w:val="21"/>
                      <w:szCs w:val="21"/>
                      <w:lang w:bidi="zh-CN"/>
                    </w:rPr>
                    <w:t>3102.5</w:t>
                  </w:r>
                </w:p>
              </w:tc>
            </w:tr>
            <w:tr w14:paraId="43D60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continue"/>
                  <w:vAlign w:val="center"/>
                </w:tcPr>
                <w:p w14:paraId="6FA218BF">
                  <w:pPr>
                    <w:spacing w:line="240" w:lineRule="auto"/>
                    <w:jc w:val="center"/>
                    <w:rPr>
                      <w:sz w:val="21"/>
                    </w:rPr>
                  </w:pPr>
                </w:p>
              </w:tc>
              <w:tc>
                <w:tcPr>
                  <w:tcW w:w="918" w:type="pct"/>
                </w:tcPr>
                <w:p w14:paraId="389C5C3C">
                  <w:pPr>
                    <w:spacing w:line="240" w:lineRule="auto"/>
                    <w:jc w:val="center"/>
                    <w:rPr>
                      <w:sz w:val="21"/>
                    </w:rPr>
                  </w:pPr>
                  <w:r>
                    <w:rPr>
                      <w:rFonts w:hint="eastAsia"/>
                      <w:snapToGrid w:val="0"/>
                      <w:kern w:val="0"/>
                      <w:sz w:val="21"/>
                      <w:szCs w:val="21"/>
                      <w:lang w:bidi="zh-CN"/>
                    </w:rPr>
                    <w:t>C</w:t>
                  </w:r>
                  <w:r>
                    <w:rPr>
                      <w:snapToGrid w:val="0"/>
                      <w:kern w:val="0"/>
                      <w:sz w:val="21"/>
                      <w:szCs w:val="21"/>
                      <w:lang w:bidi="zh-CN"/>
                    </w:rPr>
                    <w:t>OD</w:t>
                  </w:r>
                </w:p>
              </w:tc>
              <w:tc>
                <w:tcPr>
                  <w:tcW w:w="1126" w:type="pct"/>
                </w:tcPr>
                <w:p w14:paraId="618B4595">
                  <w:pPr>
                    <w:spacing w:line="240" w:lineRule="auto"/>
                    <w:jc w:val="center"/>
                    <w:rPr>
                      <w:sz w:val="21"/>
                    </w:rPr>
                  </w:pPr>
                  <w:r>
                    <w:rPr>
                      <w:rFonts w:hint="eastAsia" w:eastAsia="等线"/>
                      <w:color w:val="000000"/>
                      <w:kern w:val="0"/>
                      <w:sz w:val="21"/>
                      <w:szCs w:val="21"/>
                    </w:rPr>
                    <w:t>0.082</w:t>
                  </w:r>
                </w:p>
              </w:tc>
              <w:tc>
                <w:tcPr>
                  <w:tcW w:w="937" w:type="pct"/>
                  <w:vAlign w:val="bottom"/>
                </w:tcPr>
                <w:p w14:paraId="36F95286">
                  <w:pPr>
                    <w:spacing w:line="240" w:lineRule="auto"/>
                    <w:jc w:val="center"/>
                    <w:rPr>
                      <w:snapToGrid w:val="0"/>
                      <w:kern w:val="0"/>
                      <w:sz w:val="21"/>
                      <w:szCs w:val="21"/>
                      <w:lang w:bidi="zh-CN"/>
                    </w:rPr>
                  </w:pPr>
                  <w:r>
                    <w:rPr>
                      <w:rFonts w:hint="eastAsia"/>
                      <w:snapToGrid w:val="0"/>
                      <w:kern w:val="0"/>
                      <w:sz w:val="21"/>
                      <w:szCs w:val="21"/>
                      <w:lang w:bidi="zh-CN"/>
                    </w:rPr>
                    <w:t>0.073</w:t>
                  </w:r>
                </w:p>
              </w:tc>
              <w:tc>
                <w:tcPr>
                  <w:tcW w:w="1083" w:type="pct"/>
                  <w:vAlign w:val="center"/>
                </w:tcPr>
                <w:p w14:paraId="15DFC004">
                  <w:pPr>
                    <w:spacing w:line="240" w:lineRule="auto"/>
                    <w:jc w:val="center"/>
                    <w:rPr>
                      <w:sz w:val="21"/>
                    </w:rPr>
                  </w:pPr>
                  <w:r>
                    <w:rPr>
                      <w:rFonts w:hint="eastAsia" w:eastAsia="等线"/>
                      <w:color w:val="000000"/>
                      <w:kern w:val="0"/>
                      <w:sz w:val="21"/>
                      <w:szCs w:val="21"/>
                    </w:rPr>
                    <w:t>0.155</w:t>
                  </w:r>
                </w:p>
              </w:tc>
            </w:tr>
            <w:tr w14:paraId="10DAE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continue"/>
                  <w:vAlign w:val="center"/>
                </w:tcPr>
                <w:p w14:paraId="0572FB5F">
                  <w:pPr>
                    <w:spacing w:line="240" w:lineRule="auto"/>
                    <w:jc w:val="center"/>
                    <w:rPr>
                      <w:sz w:val="21"/>
                    </w:rPr>
                  </w:pPr>
                </w:p>
              </w:tc>
              <w:tc>
                <w:tcPr>
                  <w:tcW w:w="918" w:type="pct"/>
                </w:tcPr>
                <w:p w14:paraId="2722127A">
                  <w:pPr>
                    <w:spacing w:line="240" w:lineRule="auto"/>
                    <w:jc w:val="center"/>
                    <w:rPr>
                      <w:sz w:val="21"/>
                    </w:rPr>
                  </w:pPr>
                  <w:r>
                    <w:rPr>
                      <w:rFonts w:hint="eastAsia"/>
                      <w:snapToGrid w:val="0"/>
                      <w:kern w:val="0"/>
                      <w:sz w:val="21"/>
                      <w:szCs w:val="21"/>
                      <w:lang w:bidi="zh-CN"/>
                    </w:rPr>
                    <w:t>BOD</w:t>
                  </w:r>
                  <w:r>
                    <w:rPr>
                      <w:snapToGrid w:val="0"/>
                      <w:kern w:val="0"/>
                      <w:sz w:val="21"/>
                      <w:szCs w:val="21"/>
                      <w:vertAlign w:val="subscript"/>
                      <w:lang w:bidi="zh-CN"/>
                    </w:rPr>
                    <w:t>5</w:t>
                  </w:r>
                </w:p>
              </w:tc>
              <w:tc>
                <w:tcPr>
                  <w:tcW w:w="1126" w:type="pct"/>
                </w:tcPr>
                <w:p w14:paraId="612B972D">
                  <w:pPr>
                    <w:spacing w:line="240" w:lineRule="auto"/>
                    <w:jc w:val="center"/>
                    <w:rPr>
                      <w:sz w:val="21"/>
                    </w:rPr>
                  </w:pPr>
                  <w:r>
                    <w:rPr>
                      <w:rFonts w:hint="eastAsia" w:eastAsia="等线"/>
                      <w:color w:val="000000"/>
                      <w:kern w:val="0"/>
                      <w:sz w:val="21"/>
                      <w:szCs w:val="21"/>
                    </w:rPr>
                    <w:t>0.016</w:t>
                  </w:r>
                </w:p>
              </w:tc>
              <w:tc>
                <w:tcPr>
                  <w:tcW w:w="937" w:type="pct"/>
                  <w:vAlign w:val="bottom"/>
                </w:tcPr>
                <w:p w14:paraId="605396C7">
                  <w:pPr>
                    <w:spacing w:line="240" w:lineRule="auto"/>
                    <w:jc w:val="center"/>
                    <w:rPr>
                      <w:snapToGrid w:val="0"/>
                      <w:kern w:val="0"/>
                      <w:sz w:val="21"/>
                      <w:szCs w:val="21"/>
                      <w:lang w:bidi="zh-CN"/>
                    </w:rPr>
                  </w:pPr>
                  <w:r>
                    <w:rPr>
                      <w:rFonts w:hint="eastAsia"/>
                      <w:snapToGrid w:val="0"/>
                      <w:kern w:val="0"/>
                      <w:sz w:val="21"/>
                      <w:szCs w:val="21"/>
                      <w:lang w:bidi="zh-CN"/>
                    </w:rPr>
                    <w:t>0.015</w:t>
                  </w:r>
                </w:p>
              </w:tc>
              <w:tc>
                <w:tcPr>
                  <w:tcW w:w="1083" w:type="pct"/>
                  <w:vAlign w:val="center"/>
                </w:tcPr>
                <w:p w14:paraId="01CC2CAF">
                  <w:pPr>
                    <w:spacing w:line="240" w:lineRule="auto"/>
                    <w:jc w:val="center"/>
                    <w:rPr>
                      <w:sz w:val="21"/>
                    </w:rPr>
                  </w:pPr>
                  <w:r>
                    <w:rPr>
                      <w:rFonts w:hint="eastAsia" w:eastAsia="等线"/>
                      <w:color w:val="000000"/>
                      <w:kern w:val="0"/>
                      <w:sz w:val="21"/>
                      <w:szCs w:val="21"/>
                    </w:rPr>
                    <w:t>0.031</w:t>
                  </w:r>
                </w:p>
              </w:tc>
            </w:tr>
            <w:tr w14:paraId="6EA7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continue"/>
                  <w:vAlign w:val="center"/>
                </w:tcPr>
                <w:p w14:paraId="38F4CBDB">
                  <w:pPr>
                    <w:spacing w:line="240" w:lineRule="auto"/>
                    <w:jc w:val="center"/>
                    <w:rPr>
                      <w:sz w:val="21"/>
                    </w:rPr>
                  </w:pPr>
                </w:p>
              </w:tc>
              <w:tc>
                <w:tcPr>
                  <w:tcW w:w="918" w:type="pct"/>
                </w:tcPr>
                <w:p w14:paraId="223D5C2A">
                  <w:pPr>
                    <w:spacing w:line="240" w:lineRule="auto"/>
                    <w:jc w:val="center"/>
                    <w:rPr>
                      <w:sz w:val="21"/>
                    </w:rPr>
                  </w:pPr>
                  <w:r>
                    <w:rPr>
                      <w:snapToGrid w:val="0"/>
                      <w:kern w:val="0"/>
                      <w:sz w:val="21"/>
                      <w:szCs w:val="21"/>
                      <w:lang w:bidi="zh-CN"/>
                    </w:rPr>
                    <w:t>SS</w:t>
                  </w:r>
                </w:p>
              </w:tc>
              <w:tc>
                <w:tcPr>
                  <w:tcW w:w="1126" w:type="pct"/>
                </w:tcPr>
                <w:p w14:paraId="2705754D">
                  <w:pPr>
                    <w:spacing w:line="240" w:lineRule="auto"/>
                    <w:jc w:val="center"/>
                    <w:rPr>
                      <w:sz w:val="21"/>
                    </w:rPr>
                  </w:pPr>
                  <w:r>
                    <w:rPr>
                      <w:rFonts w:hint="eastAsia" w:eastAsia="等线"/>
                      <w:color w:val="000000"/>
                      <w:kern w:val="0"/>
                      <w:sz w:val="21"/>
                      <w:szCs w:val="21"/>
                    </w:rPr>
                    <w:t>0.016</w:t>
                  </w:r>
                </w:p>
              </w:tc>
              <w:tc>
                <w:tcPr>
                  <w:tcW w:w="937" w:type="pct"/>
                  <w:vAlign w:val="bottom"/>
                </w:tcPr>
                <w:p w14:paraId="1771CDBD">
                  <w:pPr>
                    <w:spacing w:line="240" w:lineRule="auto"/>
                    <w:jc w:val="center"/>
                    <w:rPr>
                      <w:snapToGrid w:val="0"/>
                      <w:kern w:val="0"/>
                      <w:sz w:val="21"/>
                      <w:szCs w:val="21"/>
                      <w:lang w:bidi="zh-CN"/>
                    </w:rPr>
                  </w:pPr>
                  <w:r>
                    <w:rPr>
                      <w:rFonts w:hint="eastAsia"/>
                      <w:snapToGrid w:val="0"/>
                      <w:kern w:val="0"/>
                      <w:sz w:val="21"/>
                      <w:szCs w:val="21"/>
                      <w:lang w:bidi="zh-CN"/>
                    </w:rPr>
                    <w:t>0.015</w:t>
                  </w:r>
                </w:p>
              </w:tc>
              <w:tc>
                <w:tcPr>
                  <w:tcW w:w="1083" w:type="pct"/>
                  <w:vAlign w:val="center"/>
                </w:tcPr>
                <w:p w14:paraId="03EE7912">
                  <w:pPr>
                    <w:spacing w:line="240" w:lineRule="auto"/>
                    <w:jc w:val="center"/>
                    <w:rPr>
                      <w:sz w:val="21"/>
                    </w:rPr>
                  </w:pPr>
                  <w:r>
                    <w:rPr>
                      <w:rFonts w:hint="eastAsia" w:eastAsia="等线"/>
                      <w:color w:val="000000"/>
                      <w:kern w:val="0"/>
                      <w:sz w:val="21"/>
                      <w:szCs w:val="21"/>
                    </w:rPr>
                    <w:t>0.031</w:t>
                  </w:r>
                </w:p>
              </w:tc>
            </w:tr>
            <w:tr w14:paraId="32499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continue"/>
                  <w:vAlign w:val="center"/>
                </w:tcPr>
                <w:p w14:paraId="25C8B536">
                  <w:pPr>
                    <w:spacing w:line="240" w:lineRule="auto"/>
                    <w:jc w:val="center"/>
                    <w:rPr>
                      <w:sz w:val="21"/>
                    </w:rPr>
                  </w:pPr>
                </w:p>
              </w:tc>
              <w:tc>
                <w:tcPr>
                  <w:tcW w:w="918" w:type="pct"/>
                </w:tcPr>
                <w:p w14:paraId="1FDCAEDD">
                  <w:pPr>
                    <w:spacing w:line="240" w:lineRule="auto"/>
                    <w:jc w:val="center"/>
                    <w:rPr>
                      <w:sz w:val="21"/>
                    </w:rPr>
                  </w:pPr>
                  <w:r>
                    <w:rPr>
                      <w:rFonts w:hint="eastAsia"/>
                      <w:snapToGrid w:val="0"/>
                      <w:kern w:val="0"/>
                      <w:sz w:val="21"/>
                      <w:szCs w:val="21"/>
                      <w:lang w:bidi="zh-CN"/>
                    </w:rPr>
                    <w:t>NH</w:t>
                  </w:r>
                  <w:r>
                    <w:rPr>
                      <w:rFonts w:hint="eastAsia"/>
                      <w:snapToGrid w:val="0"/>
                      <w:kern w:val="0"/>
                      <w:sz w:val="21"/>
                      <w:szCs w:val="21"/>
                      <w:vertAlign w:val="subscript"/>
                      <w:lang w:bidi="zh-CN"/>
                    </w:rPr>
                    <w:t>3</w:t>
                  </w:r>
                  <w:r>
                    <w:rPr>
                      <w:rFonts w:hint="eastAsia"/>
                      <w:snapToGrid w:val="0"/>
                      <w:kern w:val="0"/>
                      <w:sz w:val="21"/>
                      <w:szCs w:val="21"/>
                      <w:lang w:bidi="zh-CN"/>
                    </w:rPr>
                    <w:t>-N</w:t>
                  </w:r>
                </w:p>
              </w:tc>
              <w:tc>
                <w:tcPr>
                  <w:tcW w:w="1126" w:type="pct"/>
                </w:tcPr>
                <w:p w14:paraId="702D0A61">
                  <w:pPr>
                    <w:spacing w:line="240" w:lineRule="auto"/>
                    <w:jc w:val="center"/>
                    <w:rPr>
                      <w:sz w:val="21"/>
                    </w:rPr>
                  </w:pPr>
                  <w:r>
                    <w:rPr>
                      <w:snapToGrid w:val="0"/>
                      <w:kern w:val="0"/>
                      <w:sz w:val="21"/>
                      <w:szCs w:val="21"/>
                      <w:lang w:bidi="zh-CN"/>
                    </w:rPr>
                    <w:t>0.008</w:t>
                  </w:r>
                </w:p>
              </w:tc>
              <w:tc>
                <w:tcPr>
                  <w:tcW w:w="937" w:type="pct"/>
                  <w:vAlign w:val="bottom"/>
                </w:tcPr>
                <w:p w14:paraId="0AF430FD">
                  <w:pPr>
                    <w:spacing w:line="240" w:lineRule="auto"/>
                    <w:jc w:val="center"/>
                    <w:rPr>
                      <w:snapToGrid w:val="0"/>
                      <w:kern w:val="0"/>
                      <w:sz w:val="21"/>
                      <w:szCs w:val="21"/>
                      <w:lang w:bidi="zh-CN"/>
                    </w:rPr>
                  </w:pPr>
                  <w:r>
                    <w:rPr>
                      <w:rFonts w:hint="eastAsia"/>
                      <w:snapToGrid w:val="0"/>
                      <w:kern w:val="0"/>
                      <w:sz w:val="21"/>
                      <w:szCs w:val="21"/>
                      <w:lang w:bidi="zh-CN"/>
                    </w:rPr>
                    <w:t>0.008</w:t>
                  </w:r>
                </w:p>
              </w:tc>
              <w:tc>
                <w:tcPr>
                  <w:tcW w:w="1083" w:type="pct"/>
                  <w:vAlign w:val="center"/>
                </w:tcPr>
                <w:p w14:paraId="5508163A">
                  <w:pPr>
                    <w:spacing w:line="240" w:lineRule="auto"/>
                    <w:jc w:val="center"/>
                    <w:rPr>
                      <w:sz w:val="21"/>
                    </w:rPr>
                  </w:pPr>
                  <w:r>
                    <w:rPr>
                      <w:rFonts w:hint="eastAsia" w:eastAsia="等线"/>
                      <w:color w:val="000000"/>
                      <w:kern w:val="0"/>
                      <w:sz w:val="21"/>
                      <w:szCs w:val="21"/>
                    </w:rPr>
                    <w:t>0.016</w:t>
                  </w:r>
                </w:p>
              </w:tc>
            </w:tr>
            <w:tr w14:paraId="63BDD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restart"/>
                  <w:vAlign w:val="center"/>
                </w:tcPr>
                <w:p w14:paraId="4B5AF5B4">
                  <w:pPr>
                    <w:spacing w:line="240" w:lineRule="auto"/>
                    <w:jc w:val="center"/>
                    <w:rPr>
                      <w:sz w:val="21"/>
                    </w:rPr>
                  </w:pPr>
                  <w:r>
                    <w:rPr>
                      <w:rFonts w:hint="eastAsia"/>
                      <w:sz w:val="21"/>
                      <w:szCs w:val="21"/>
                    </w:rPr>
                    <w:t>固废（产生量）</w:t>
                  </w:r>
                </w:p>
              </w:tc>
              <w:tc>
                <w:tcPr>
                  <w:tcW w:w="918" w:type="pct"/>
                </w:tcPr>
                <w:p w14:paraId="7B90CE75">
                  <w:pPr>
                    <w:spacing w:line="240" w:lineRule="auto"/>
                    <w:jc w:val="center"/>
                    <w:rPr>
                      <w:sz w:val="21"/>
                    </w:rPr>
                  </w:pPr>
                  <w:r>
                    <w:rPr>
                      <w:rFonts w:hint="eastAsia"/>
                      <w:snapToGrid w:val="0"/>
                      <w:kern w:val="0"/>
                      <w:sz w:val="21"/>
                      <w:szCs w:val="21"/>
                      <w:lang w:bidi="zh-CN"/>
                    </w:rPr>
                    <w:t>生活垃圾</w:t>
                  </w:r>
                </w:p>
              </w:tc>
              <w:tc>
                <w:tcPr>
                  <w:tcW w:w="1126" w:type="pct"/>
                </w:tcPr>
                <w:p w14:paraId="7D4D570F">
                  <w:pPr>
                    <w:spacing w:line="240" w:lineRule="auto"/>
                    <w:jc w:val="center"/>
                    <w:rPr>
                      <w:sz w:val="21"/>
                    </w:rPr>
                  </w:pPr>
                  <w:r>
                    <w:rPr>
                      <w:snapToGrid w:val="0"/>
                      <w:kern w:val="0"/>
                      <w:sz w:val="21"/>
                      <w:szCs w:val="21"/>
                      <w:lang w:bidi="zh-CN"/>
                    </w:rPr>
                    <w:t>5.475</w:t>
                  </w:r>
                </w:p>
              </w:tc>
              <w:tc>
                <w:tcPr>
                  <w:tcW w:w="937" w:type="pct"/>
                  <w:vAlign w:val="bottom"/>
                </w:tcPr>
                <w:p w14:paraId="1B11E4B2">
                  <w:pPr>
                    <w:spacing w:line="240" w:lineRule="auto"/>
                    <w:jc w:val="center"/>
                    <w:rPr>
                      <w:snapToGrid w:val="0"/>
                      <w:kern w:val="0"/>
                      <w:sz w:val="21"/>
                      <w:szCs w:val="21"/>
                      <w:lang w:bidi="zh-CN"/>
                    </w:rPr>
                  </w:pPr>
                  <w:r>
                    <w:rPr>
                      <w:rFonts w:hint="eastAsia"/>
                      <w:snapToGrid w:val="0"/>
                      <w:kern w:val="0"/>
                      <w:sz w:val="21"/>
                      <w:szCs w:val="21"/>
                      <w:lang w:bidi="zh-CN"/>
                    </w:rPr>
                    <w:t>3.65</w:t>
                  </w:r>
                </w:p>
              </w:tc>
              <w:tc>
                <w:tcPr>
                  <w:tcW w:w="1083" w:type="pct"/>
                  <w:vAlign w:val="center"/>
                </w:tcPr>
                <w:p w14:paraId="187F3916">
                  <w:pPr>
                    <w:spacing w:line="240" w:lineRule="auto"/>
                    <w:jc w:val="center"/>
                    <w:rPr>
                      <w:sz w:val="21"/>
                    </w:rPr>
                  </w:pPr>
                  <w:r>
                    <w:rPr>
                      <w:bCs/>
                      <w:snapToGrid w:val="0"/>
                      <w:kern w:val="0"/>
                      <w:sz w:val="21"/>
                      <w:szCs w:val="21"/>
                    </w:rPr>
                    <w:t>9.125</w:t>
                  </w:r>
                </w:p>
              </w:tc>
            </w:tr>
            <w:tr w14:paraId="4D812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continue"/>
                  <w:vAlign w:val="center"/>
                </w:tcPr>
                <w:p w14:paraId="04365DED">
                  <w:pPr>
                    <w:spacing w:line="240" w:lineRule="auto"/>
                    <w:jc w:val="center"/>
                    <w:rPr>
                      <w:sz w:val="21"/>
                    </w:rPr>
                  </w:pPr>
                </w:p>
              </w:tc>
              <w:tc>
                <w:tcPr>
                  <w:tcW w:w="918" w:type="pct"/>
                </w:tcPr>
                <w:p w14:paraId="34BE0DB0">
                  <w:pPr>
                    <w:spacing w:line="240" w:lineRule="auto"/>
                    <w:jc w:val="center"/>
                    <w:rPr>
                      <w:sz w:val="21"/>
                    </w:rPr>
                  </w:pPr>
                  <w:r>
                    <w:rPr>
                      <w:rFonts w:hint="eastAsia"/>
                      <w:snapToGrid w:val="0"/>
                      <w:kern w:val="0"/>
                      <w:sz w:val="21"/>
                      <w:szCs w:val="21"/>
                      <w:lang w:bidi="zh-CN"/>
                    </w:rPr>
                    <w:t>医疗废物</w:t>
                  </w:r>
                </w:p>
              </w:tc>
              <w:tc>
                <w:tcPr>
                  <w:tcW w:w="1126" w:type="pct"/>
                </w:tcPr>
                <w:p w14:paraId="7A1FE270">
                  <w:pPr>
                    <w:spacing w:line="240" w:lineRule="auto"/>
                    <w:jc w:val="center"/>
                    <w:rPr>
                      <w:sz w:val="21"/>
                    </w:rPr>
                  </w:pPr>
                  <w:r>
                    <w:rPr>
                      <w:rFonts w:hint="eastAsia"/>
                      <w:kern w:val="0"/>
                      <w:sz w:val="21"/>
                      <w:szCs w:val="21"/>
                      <w:u w:val="single"/>
                    </w:rPr>
                    <w:t>0.767</w:t>
                  </w:r>
                </w:p>
              </w:tc>
              <w:tc>
                <w:tcPr>
                  <w:tcW w:w="937" w:type="pct"/>
                  <w:vAlign w:val="bottom"/>
                </w:tcPr>
                <w:p w14:paraId="343EEA29">
                  <w:pPr>
                    <w:spacing w:line="240" w:lineRule="auto"/>
                    <w:jc w:val="center"/>
                    <w:rPr>
                      <w:rFonts w:hint="eastAsia"/>
                      <w:snapToGrid w:val="0"/>
                      <w:kern w:val="0"/>
                      <w:sz w:val="21"/>
                      <w:szCs w:val="21"/>
                      <w:lang w:bidi="zh-CN"/>
                    </w:rPr>
                  </w:pPr>
                  <w:r>
                    <w:rPr>
                      <w:rFonts w:hint="eastAsia"/>
                      <w:snapToGrid w:val="0"/>
                      <w:kern w:val="0"/>
                      <w:sz w:val="21"/>
                      <w:szCs w:val="21"/>
                      <w:lang w:bidi="zh-CN"/>
                    </w:rPr>
                    <w:t>3.066</w:t>
                  </w:r>
                </w:p>
              </w:tc>
              <w:tc>
                <w:tcPr>
                  <w:tcW w:w="1083" w:type="pct"/>
                  <w:vAlign w:val="center"/>
                </w:tcPr>
                <w:p w14:paraId="6CA9E9F4">
                  <w:pPr>
                    <w:spacing w:line="240" w:lineRule="auto"/>
                    <w:jc w:val="center"/>
                    <w:rPr>
                      <w:sz w:val="21"/>
                    </w:rPr>
                  </w:pPr>
                  <w:r>
                    <w:rPr>
                      <w:rFonts w:hint="eastAsia"/>
                      <w:bCs/>
                      <w:snapToGrid w:val="0"/>
                      <w:kern w:val="0"/>
                      <w:sz w:val="21"/>
                      <w:szCs w:val="21"/>
                      <w:u w:val="single"/>
                    </w:rPr>
                    <w:t>3.833</w:t>
                  </w:r>
                </w:p>
              </w:tc>
            </w:tr>
            <w:tr w14:paraId="28E40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vMerge w:val="continue"/>
                  <w:vAlign w:val="center"/>
                </w:tcPr>
                <w:p w14:paraId="6E802DDE">
                  <w:pPr>
                    <w:spacing w:line="240" w:lineRule="auto"/>
                    <w:jc w:val="center"/>
                    <w:rPr>
                      <w:sz w:val="21"/>
                    </w:rPr>
                  </w:pPr>
                </w:p>
              </w:tc>
              <w:tc>
                <w:tcPr>
                  <w:tcW w:w="918" w:type="pct"/>
                </w:tcPr>
                <w:p w14:paraId="466CA15F">
                  <w:pPr>
                    <w:spacing w:line="240" w:lineRule="auto"/>
                    <w:jc w:val="center"/>
                    <w:rPr>
                      <w:sz w:val="21"/>
                    </w:rPr>
                  </w:pPr>
                  <w:r>
                    <w:rPr>
                      <w:rFonts w:hint="eastAsia"/>
                      <w:snapToGrid w:val="0"/>
                      <w:kern w:val="0"/>
                      <w:sz w:val="21"/>
                      <w:szCs w:val="21"/>
                      <w:lang w:bidi="zh-CN"/>
                    </w:rPr>
                    <w:t>污水处理污泥</w:t>
                  </w:r>
                </w:p>
              </w:tc>
              <w:tc>
                <w:tcPr>
                  <w:tcW w:w="1126" w:type="pct"/>
                </w:tcPr>
                <w:p w14:paraId="50779FF0">
                  <w:pPr>
                    <w:spacing w:line="240" w:lineRule="auto"/>
                    <w:jc w:val="center"/>
                    <w:rPr>
                      <w:sz w:val="21"/>
                    </w:rPr>
                  </w:pPr>
                  <w:r>
                    <w:rPr>
                      <w:kern w:val="0"/>
                      <w:sz w:val="21"/>
                      <w:szCs w:val="21"/>
                      <w:u w:val="single"/>
                    </w:rPr>
                    <w:t>2.562</w:t>
                  </w:r>
                </w:p>
              </w:tc>
              <w:tc>
                <w:tcPr>
                  <w:tcW w:w="937" w:type="pct"/>
                  <w:vAlign w:val="bottom"/>
                </w:tcPr>
                <w:p w14:paraId="183F9FA5">
                  <w:pPr>
                    <w:spacing w:line="240" w:lineRule="auto"/>
                    <w:jc w:val="center"/>
                    <w:rPr>
                      <w:rFonts w:hint="eastAsia"/>
                      <w:snapToGrid w:val="0"/>
                      <w:kern w:val="0"/>
                      <w:sz w:val="21"/>
                      <w:szCs w:val="21"/>
                      <w:lang w:bidi="zh-CN"/>
                    </w:rPr>
                  </w:pPr>
                  <w:r>
                    <w:rPr>
                      <w:rFonts w:hint="eastAsia"/>
                      <w:snapToGrid w:val="0"/>
                      <w:kern w:val="0"/>
                      <w:sz w:val="21"/>
                      <w:szCs w:val="21"/>
                      <w:lang w:bidi="zh-CN"/>
                    </w:rPr>
                    <w:t>0.395</w:t>
                  </w:r>
                </w:p>
              </w:tc>
              <w:tc>
                <w:tcPr>
                  <w:tcW w:w="1083" w:type="pct"/>
                  <w:vAlign w:val="center"/>
                </w:tcPr>
                <w:p w14:paraId="5BDC2E2B">
                  <w:pPr>
                    <w:spacing w:line="240" w:lineRule="auto"/>
                    <w:jc w:val="center"/>
                    <w:rPr>
                      <w:sz w:val="21"/>
                    </w:rPr>
                  </w:pPr>
                  <w:r>
                    <w:rPr>
                      <w:rFonts w:hint="eastAsia"/>
                      <w:bCs/>
                      <w:snapToGrid w:val="0"/>
                      <w:kern w:val="0"/>
                      <w:sz w:val="21"/>
                      <w:szCs w:val="21"/>
                      <w:u w:val="single"/>
                    </w:rPr>
                    <w:t>2.957</w:t>
                  </w:r>
                </w:p>
              </w:tc>
            </w:tr>
          </w:tbl>
          <w:p w14:paraId="500A272A">
            <w:pPr>
              <w:ind w:firstLine="482" w:firstLineChars="200"/>
              <w:jc w:val="both"/>
              <w:rPr>
                <w:b/>
                <w:bCs/>
                <w:szCs w:val="21"/>
              </w:rPr>
            </w:pPr>
            <w:r>
              <w:rPr>
                <w:rFonts w:hint="eastAsia"/>
                <w:b/>
                <w:bCs/>
                <w:szCs w:val="21"/>
              </w:rPr>
              <w:t>1</w:t>
            </w:r>
            <w:r>
              <w:rPr>
                <w:b/>
                <w:bCs/>
                <w:szCs w:val="21"/>
              </w:rPr>
              <w:t>2</w:t>
            </w:r>
            <w:r>
              <w:rPr>
                <w:rFonts w:hint="eastAsia"/>
                <w:b/>
                <w:bCs/>
                <w:szCs w:val="21"/>
              </w:rPr>
              <w:t>、环境管理</w:t>
            </w:r>
          </w:p>
          <w:p w14:paraId="308D5F9C">
            <w:pPr>
              <w:ind w:firstLine="480" w:firstLineChars="200"/>
              <w:jc w:val="both"/>
              <w:rPr>
                <w:bCs/>
                <w:szCs w:val="24"/>
                <w:u w:val="single"/>
              </w:rPr>
            </w:pPr>
            <w:bookmarkStart w:id="71" w:name="_Toc23931"/>
            <w:bookmarkStart w:id="72" w:name="_Toc18523"/>
            <w:bookmarkStart w:id="73" w:name="_Toc17050"/>
            <w:bookmarkStart w:id="74" w:name="_Toc18342"/>
            <w:r>
              <w:rPr>
                <w:bCs/>
                <w:szCs w:val="24"/>
                <w:u w:val="single"/>
              </w:rPr>
              <w:t>1）营运期环境管理</w:t>
            </w:r>
            <w:bookmarkEnd w:id="71"/>
            <w:bookmarkEnd w:id="72"/>
            <w:bookmarkEnd w:id="73"/>
            <w:bookmarkEnd w:id="74"/>
          </w:p>
          <w:p w14:paraId="3A99A5FC">
            <w:pPr>
              <w:ind w:firstLine="480" w:firstLineChars="200"/>
              <w:jc w:val="both"/>
              <w:rPr>
                <w:bCs/>
                <w:szCs w:val="24"/>
                <w:u w:val="single"/>
              </w:rPr>
            </w:pPr>
            <w:r>
              <w:rPr>
                <w:bCs/>
                <w:szCs w:val="24"/>
                <w:u w:val="single"/>
              </w:rPr>
              <w:t>项目必须贯彻执行国家有关方针、政策、法律和法规，必须配备专管环保的工作人员，特别注意对污水、废气和工业固废的监督管理，保证达标排放和符合环保要求。统一安排，积极贯彻“预防为主、防治结合”的方针，形成环境管理经常化、制度化；对运行中产生的问题需即时制定相应对策，加强与环境保护部门的联系与配合，结合环境监测的结果，及时掌握环境质量的变化状况，采取有效措施把污染控制在国家标准允许的范围内。一旦发生环保污染事故、人身健康危害，要速与当地环保、环卫、市政、公安、医疗等部门密切结合，及时消除影响，防治环境污染，保证人员的安全。环境污染要及时做出应急处理。以下几项具体工作应特别注意抓好。</w:t>
            </w:r>
          </w:p>
          <w:p w14:paraId="338184DF">
            <w:pPr>
              <w:ind w:firstLine="480" w:firstLineChars="200"/>
              <w:jc w:val="both"/>
              <w:rPr>
                <w:bCs/>
                <w:szCs w:val="24"/>
                <w:u w:val="single"/>
              </w:rPr>
            </w:pPr>
            <w:r>
              <w:rPr>
                <w:bCs/>
                <w:szCs w:val="24"/>
                <w:u w:val="single"/>
              </w:rPr>
              <w:t>（1）根据国家环保政策、标准及环境监测要求，制定该项目运营期环保管理规章制度、各种污染物排放控制指标；</w:t>
            </w:r>
          </w:p>
          <w:p w14:paraId="0AD32E11">
            <w:pPr>
              <w:ind w:firstLine="480" w:firstLineChars="200"/>
              <w:jc w:val="both"/>
              <w:rPr>
                <w:bCs/>
                <w:szCs w:val="24"/>
                <w:u w:val="single"/>
              </w:rPr>
            </w:pPr>
            <w:r>
              <w:rPr>
                <w:bCs/>
                <w:szCs w:val="24"/>
                <w:u w:val="single"/>
              </w:rPr>
              <w:t>（2）负责该项目内所有环保设施的日常运行管理，保障各环保设施的正常运行，制定污染治理操作规程，设专人管理环保设施运行，记录污染治理设施运行及检修情况，确保治理设施常年正常运行，分别记录每日进水水量、出水水量、主要污染物排放浓度、药剂名称及 使用量等；污染治理设施运维记录，包括设施是否正常运行、故障原因、维护过程、检查人、检查日期及班次；</w:t>
            </w:r>
          </w:p>
          <w:p w14:paraId="629AE77D">
            <w:pPr>
              <w:ind w:firstLine="480" w:firstLineChars="200"/>
              <w:jc w:val="both"/>
              <w:rPr>
                <w:bCs/>
                <w:szCs w:val="24"/>
                <w:u w:val="single"/>
              </w:rPr>
            </w:pPr>
            <w:r>
              <w:rPr>
                <w:bCs/>
                <w:szCs w:val="24"/>
                <w:u w:val="single"/>
              </w:rPr>
              <w:t>（3）负责该项目运营期环境监测工作，及时掌握该项目污染状况，整理监测数据，建立污染源档案；</w:t>
            </w:r>
          </w:p>
          <w:p w14:paraId="6BAF91C8">
            <w:pPr>
              <w:ind w:firstLine="480" w:firstLineChars="200"/>
              <w:jc w:val="both"/>
              <w:rPr>
                <w:bCs/>
                <w:szCs w:val="24"/>
                <w:u w:val="single"/>
              </w:rPr>
            </w:pPr>
            <w:r>
              <w:rPr>
                <w:bCs/>
                <w:szCs w:val="24"/>
                <w:u w:val="single"/>
              </w:rPr>
              <w:t>（4）负责对该医院职工进行环保宣传教育工作，以及检查、监督各科室环保制度的执行情况；</w:t>
            </w:r>
          </w:p>
          <w:p w14:paraId="49788AA9">
            <w:pPr>
              <w:ind w:firstLine="480" w:firstLineChars="200"/>
              <w:jc w:val="both"/>
              <w:rPr>
                <w:bCs/>
                <w:szCs w:val="24"/>
                <w:u w:val="single"/>
              </w:rPr>
            </w:pPr>
            <w:r>
              <w:rPr>
                <w:bCs/>
                <w:szCs w:val="24"/>
                <w:u w:val="single"/>
              </w:rPr>
              <w:t>（6）在现有规章制度的基础上，建立健全环境档案管理与保密制度、污染防治设施设计技术改进及运行资料、污染源调查技术档案、环境管理及评价资料、项目平面图和给排水管网图等。</w:t>
            </w:r>
          </w:p>
          <w:p w14:paraId="306C498A">
            <w:pPr>
              <w:ind w:firstLine="480" w:firstLineChars="200"/>
              <w:jc w:val="both"/>
              <w:rPr>
                <w:bCs/>
                <w:szCs w:val="24"/>
                <w:u w:val="single"/>
              </w:rPr>
            </w:pPr>
            <w:r>
              <w:rPr>
                <w:bCs/>
                <w:szCs w:val="24"/>
                <w:u w:val="single"/>
              </w:rPr>
              <w:t>（7）企业在日常危险废物管理的过程中，须结合自身实际情况，做好危险废物台账的建立、记录以及管理工作，危险废物存放间设置台账，记录危险废物的名称、来源、数量、特性和包装容器的类别、入库日期、存放库位、出库日期及接受单位名称和运输人员等信息，台账保存期限不少于5年。</w:t>
            </w:r>
          </w:p>
          <w:p w14:paraId="5F989B6B">
            <w:pPr>
              <w:ind w:firstLine="480" w:firstLineChars="200"/>
              <w:jc w:val="both"/>
              <w:rPr>
                <w:rFonts w:hint="eastAsia"/>
                <w:bCs/>
                <w:szCs w:val="24"/>
                <w:u w:val="single"/>
              </w:rPr>
            </w:pPr>
            <w:r>
              <w:rPr>
                <w:rFonts w:hint="eastAsia"/>
                <w:bCs/>
                <w:szCs w:val="24"/>
                <w:u w:val="single"/>
              </w:rPr>
              <w:t>（8</w:t>
            </w:r>
            <w:r>
              <w:rPr>
                <w:bCs/>
                <w:szCs w:val="24"/>
                <w:u w:val="single"/>
              </w:rPr>
              <w:t>）污水处理站运行要设立规范台账，同时定期对污水处理站进行巡检，要保留巡检记录。</w:t>
            </w:r>
          </w:p>
          <w:p w14:paraId="454E0C4C">
            <w:pPr>
              <w:ind w:firstLine="480" w:firstLineChars="200"/>
              <w:jc w:val="both"/>
              <w:rPr>
                <w:bCs/>
                <w:szCs w:val="24"/>
                <w:u w:val="single"/>
              </w:rPr>
            </w:pPr>
            <w:r>
              <w:rPr>
                <w:u w:val="single"/>
              </w:rPr>
              <w:t>（</w:t>
            </w:r>
            <w:r>
              <w:rPr>
                <w:rFonts w:hint="eastAsia"/>
                <w:u w:val="single"/>
              </w:rPr>
              <w:t>9</w:t>
            </w:r>
            <w:r>
              <w:rPr>
                <w:u w:val="single"/>
              </w:rPr>
              <w:t>）强化管理，申报排污许可证，自主开展环境保护验收，建立环保设施运行卡，定期检查、维护，并报相应主管部门备案</w:t>
            </w:r>
            <w:r>
              <w:rPr>
                <w:bCs/>
                <w:szCs w:val="24"/>
                <w:u w:val="single"/>
              </w:rPr>
              <w:t>；</w:t>
            </w:r>
          </w:p>
          <w:p w14:paraId="5E3A9F4B">
            <w:pPr>
              <w:ind w:firstLine="480" w:firstLineChars="200"/>
              <w:jc w:val="both"/>
              <w:rPr>
                <w:bCs/>
                <w:szCs w:val="24"/>
                <w:u w:val="single"/>
              </w:rPr>
            </w:pPr>
            <w:r>
              <w:rPr>
                <w:bCs/>
                <w:szCs w:val="24"/>
                <w:u w:val="single"/>
              </w:rPr>
              <w:t>（2）排污口规范化管理</w:t>
            </w:r>
          </w:p>
          <w:p w14:paraId="09FDD85E">
            <w:pPr>
              <w:ind w:firstLine="480" w:firstLineChars="200"/>
              <w:jc w:val="both"/>
              <w:rPr>
                <w:bCs/>
                <w:szCs w:val="24"/>
                <w:u w:val="single"/>
              </w:rPr>
            </w:pPr>
            <w:r>
              <w:rPr>
                <w:bCs/>
                <w:szCs w:val="24"/>
                <w:u w:val="single"/>
              </w:rPr>
              <w:t>1）项目排污口设置要求</w:t>
            </w:r>
          </w:p>
          <w:p w14:paraId="6A6232A3">
            <w:pPr>
              <w:ind w:firstLine="480" w:firstLineChars="200"/>
              <w:jc w:val="both"/>
              <w:rPr>
                <w:u w:val="single"/>
              </w:rPr>
            </w:pPr>
            <w:r>
              <w:rPr>
                <w:u w:val="single"/>
                <w:lang w:val="zh-CN"/>
              </w:rPr>
              <w:t>建设项目应完成排污口规范建设，其投资应纳入正常生产设备之中，合理确定污水排放口位置，按照《污染源监测技术规范》设置采样点，同时各污染源排放口应设置专项图标，图形符号分为提示图形和警告图形符号两种，分别按GB15562.1-1995、 GB15562.2-1995执行。</w:t>
            </w:r>
          </w:p>
          <w:p w14:paraId="543D82A9">
            <w:pPr>
              <w:ind w:firstLine="480" w:firstLineChars="200"/>
              <w:jc w:val="both"/>
              <w:rPr>
                <w:bCs/>
                <w:szCs w:val="24"/>
                <w:u w:val="single"/>
              </w:rPr>
            </w:pPr>
            <w:r>
              <w:rPr>
                <w:bCs/>
                <w:szCs w:val="24"/>
                <w:u w:val="single"/>
              </w:rPr>
              <w:t>2）排污口管理</w:t>
            </w:r>
          </w:p>
          <w:p w14:paraId="56CA795D">
            <w:pPr>
              <w:ind w:firstLine="480" w:firstLineChars="200"/>
              <w:jc w:val="both"/>
              <w:rPr>
                <w:bCs/>
                <w:szCs w:val="24"/>
                <w:u w:val="single"/>
                <w:lang w:val="zh-CN"/>
              </w:rPr>
            </w:pPr>
            <w:r>
              <w:rPr>
                <w:bCs/>
                <w:szCs w:val="24"/>
                <w:u w:val="single"/>
                <w:lang w:val="zh-CN"/>
              </w:rPr>
              <w:t>建设单位应在各个排污口处树立标志牌，并如实填写《中华人民共和国规范化排污口标记登记证》，由相关部门签发，相关部门和建设单位可分别按以下内容建立排污口管理的专门档案，排污口性质和编号，位置，排放主要污染物种类、数量、浓度，排放去向，达标情况，治理设施运行情况及整改意见。</w:t>
            </w:r>
          </w:p>
          <w:p w14:paraId="25AE6DCB">
            <w:pPr>
              <w:ind w:firstLine="482" w:firstLineChars="200"/>
              <w:jc w:val="both"/>
              <w:rPr>
                <w:b/>
                <w:szCs w:val="24"/>
                <w:lang w:val="zh-CN"/>
              </w:rPr>
            </w:pPr>
            <w:r>
              <w:rPr>
                <w:rFonts w:hint="eastAsia"/>
                <w:b/>
                <w:szCs w:val="24"/>
                <w:lang w:val="zh-CN"/>
              </w:rPr>
              <w:t>1</w:t>
            </w:r>
            <w:r>
              <w:rPr>
                <w:b/>
                <w:szCs w:val="24"/>
                <w:lang w:val="zh-CN"/>
              </w:rPr>
              <w:t>3</w:t>
            </w:r>
            <w:r>
              <w:rPr>
                <w:rFonts w:hint="eastAsia"/>
                <w:b/>
                <w:szCs w:val="24"/>
                <w:lang w:val="zh-CN"/>
              </w:rPr>
              <w:t>、环保投资</w:t>
            </w:r>
          </w:p>
          <w:p w14:paraId="2FB6DA77">
            <w:pPr>
              <w:ind w:firstLine="480" w:firstLineChars="200"/>
              <w:jc w:val="both"/>
              <w:rPr>
                <w:bCs/>
                <w:szCs w:val="24"/>
                <w:u w:val="single"/>
                <w:lang w:val="zh-CN"/>
              </w:rPr>
            </w:pPr>
            <w:r>
              <w:rPr>
                <w:rFonts w:hint="eastAsia"/>
                <w:bCs/>
                <w:szCs w:val="24"/>
                <w:u w:val="single"/>
                <w:lang w:val="zh-CN"/>
              </w:rPr>
              <w:t>项目总投资4</w:t>
            </w:r>
            <w:r>
              <w:rPr>
                <w:bCs/>
                <w:szCs w:val="24"/>
                <w:u w:val="single"/>
                <w:lang w:val="zh-CN"/>
              </w:rPr>
              <w:t>00</w:t>
            </w:r>
            <w:r>
              <w:rPr>
                <w:rFonts w:hint="eastAsia"/>
                <w:bCs/>
                <w:szCs w:val="24"/>
                <w:u w:val="single"/>
                <w:lang w:val="zh-CN"/>
              </w:rPr>
              <w:t>万，其中环保投资2</w:t>
            </w:r>
            <w:r>
              <w:rPr>
                <w:bCs/>
                <w:szCs w:val="24"/>
                <w:u w:val="single"/>
                <w:lang w:val="zh-CN"/>
              </w:rPr>
              <w:t>0</w:t>
            </w:r>
            <w:r>
              <w:rPr>
                <w:rFonts w:hint="eastAsia"/>
                <w:bCs/>
                <w:szCs w:val="24"/>
                <w:u w:val="single"/>
                <w:lang w:val="zh-CN"/>
              </w:rPr>
              <w:t>万，环保投资占总投资的5</w:t>
            </w:r>
            <w:r>
              <w:rPr>
                <w:bCs/>
                <w:szCs w:val="24"/>
                <w:u w:val="single"/>
                <w:lang w:val="zh-CN"/>
              </w:rPr>
              <w:t>%</w:t>
            </w:r>
            <w:r>
              <w:rPr>
                <w:rFonts w:hint="eastAsia"/>
                <w:bCs/>
                <w:szCs w:val="24"/>
                <w:u w:val="single"/>
                <w:lang w:val="zh-CN"/>
              </w:rPr>
              <w:t>。项目环保投资估算表如下：</w:t>
            </w:r>
          </w:p>
          <w:p w14:paraId="14E7D948">
            <w:pPr>
              <w:jc w:val="center"/>
              <w:rPr>
                <w:b/>
                <w:bCs/>
                <w:szCs w:val="21"/>
                <w:u w:val="single"/>
              </w:rPr>
            </w:pPr>
            <w:r>
              <w:rPr>
                <w:rFonts w:hint="eastAsia"/>
                <w:b/>
                <w:bCs/>
                <w:szCs w:val="21"/>
                <w:u w:val="single"/>
              </w:rPr>
              <w:t>表4</w:t>
            </w:r>
            <w:r>
              <w:rPr>
                <w:b/>
                <w:bCs/>
                <w:szCs w:val="21"/>
                <w:u w:val="single"/>
              </w:rPr>
              <w:t xml:space="preserve">-17 </w:t>
            </w:r>
            <w:r>
              <w:rPr>
                <w:rFonts w:hint="eastAsia"/>
                <w:b/>
                <w:bCs/>
                <w:szCs w:val="21"/>
                <w:u w:val="single"/>
              </w:rPr>
              <w:t>项目环保投资一览表 单位：万元</w:t>
            </w:r>
          </w:p>
          <w:tbl>
            <w:tblPr>
              <w:tblStyle w:val="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973"/>
              <w:gridCol w:w="1772"/>
              <w:gridCol w:w="3556"/>
              <w:gridCol w:w="1181"/>
            </w:tblGrid>
            <w:tr w14:paraId="63429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54" w:type="pct"/>
                  <w:gridSpan w:val="2"/>
                  <w:tcBorders>
                    <w:top w:val="single" w:color="auto" w:sz="6" w:space="0"/>
                    <w:left w:val="single" w:color="auto" w:sz="6" w:space="0"/>
                    <w:bottom w:val="single" w:color="auto" w:sz="6" w:space="0"/>
                    <w:right w:val="single" w:color="auto" w:sz="6" w:space="0"/>
                  </w:tcBorders>
                  <w:vAlign w:val="center"/>
                </w:tcPr>
                <w:p w14:paraId="1D874EAA">
                  <w:pPr>
                    <w:spacing w:line="240" w:lineRule="auto"/>
                    <w:jc w:val="center"/>
                    <w:rPr>
                      <w:b/>
                      <w:bCs/>
                      <w:sz w:val="21"/>
                      <w:szCs w:val="21"/>
                      <w:u w:val="single"/>
                    </w:rPr>
                  </w:pPr>
                  <w:r>
                    <w:rPr>
                      <w:b/>
                      <w:bCs/>
                      <w:sz w:val="21"/>
                      <w:szCs w:val="21"/>
                      <w:u w:val="single"/>
                    </w:rPr>
                    <w:t>污染源</w:t>
                  </w:r>
                </w:p>
              </w:tc>
              <w:tc>
                <w:tcPr>
                  <w:tcW w:w="1047" w:type="pct"/>
                  <w:tcBorders>
                    <w:top w:val="single" w:color="auto" w:sz="6" w:space="0"/>
                    <w:left w:val="single" w:color="auto" w:sz="6" w:space="0"/>
                    <w:bottom w:val="single" w:color="auto" w:sz="6" w:space="0"/>
                    <w:right w:val="single" w:color="auto" w:sz="6" w:space="0"/>
                  </w:tcBorders>
                  <w:vAlign w:val="center"/>
                </w:tcPr>
                <w:p w14:paraId="6AE18960">
                  <w:pPr>
                    <w:spacing w:line="240" w:lineRule="auto"/>
                    <w:jc w:val="center"/>
                    <w:rPr>
                      <w:b/>
                      <w:bCs/>
                      <w:sz w:val="21"/>
                      <w:szCs w:val="21"/>
                      <w:u w:val="single"/>
                    </w:rPr>
                  </w:pPr>
                  <w:r>
                    <w:rPr>
                      <w:b/>
                      <w:bCs/>
                      <w:sz w:val="21"/>
                      <w:szCs w:val="21"/>
                      <w:u w:val="single"/>
                    </w:rPr>
                    <w:t>治理项目</w:t>
                  </w:r>
                </w:p>
              </w:tc>
              <w:tc>
                <w:tcPr>
                  <w:tcW w:w="2101" w:type="pct"/>
                  <w:tcBorders>
                    <w:top w:val="single" w:color="auto" w:sz="6" w:space="0"/>
                    <w:left w:val="single" w:color="auto" w:sz="6" w:space="0"/>
                    <w:bottom w:val="single" w:color="auto" w:sz="6" w:space="0"/>
                    <w:right w:val="single" w:color="auto" w:sz="6" w:space="0"/>
                  </w:tcBorders>
                  <w:vAlign w:val="center"/>
                </w:tcPr>
                <w:p w14:paraId="69601BDD">
                  <w:pPr>
                    <w:spacing w:line="240" w:lineRule="auto"/>
                    <w:jc w:val="center"/>
                    <w:rPr>
                      <w:b/>
                      <w:bCs/>
                      <w:sz w:val="21"/>
                      <w:szCs w:val="21"/>
                      <w:u w:val="single"/>
                    </w:rPr>
                  </w:pPr>
                  <w:r>
                    <w:rPr>
                      <w:b/>
                      <w:bCs/>
                      <w:sz w:val="21"/>
                      <w:szCs w:val="21"/>
                      <w:u w:val="single"/>
                    </w:rPr>
                    <w:t>环保治理措施</w:t>
                  </w:r>
                </w:p>
              </w:tc>
              <w:tc>
                <w:tcPr>
                  <w:tcW w:w="698" w:type="pct"/>
                  <w:tcBorders>
                    <w:top w:val="single" w:color="auto" w:sz="6" w:space="0"/>
                    <w:left w:val="single" w:color="auto" w:sz="6" w:space="0"/>
                    <w:bottom w:val="single" w:color="auto" w:sz="6" w:space="0"/>
                    <w:right w:val="single" w:color="auto" w:sz="6" w:space="0"/>
                  </w:tcBorders>
                  <w:vAlign w:val="center"/>
                </w:tcPr>
                <w:p w14:paraId="2719CE05">
                  <w:pPr>
                    <w:spacing w:line="240" w:lineRule="auto"/>
                    <w:jc w:val="center"/>
                    <w:rPr>
                      <w:b/>
                      <w:bCs/>
                      <w:sz w:val="21"/>
                      <w:szCs w:val="21"/>
                      <w:u w:val="single"/>
                    </w:rPr>
                  </w:pPr>
                  <w:r>
                    <w:rPr>
                      <w:b/>
                      <w:bCs/>
                      <w:sz w:val="21"/>
                      <w:szCs w:val="21"/>
                      <w:u w:val="single"/>
                    </w:rPr>
                    <w:t>资金</w:t>
                  </w:r>
                </w:p>
                <w:p w14:paraId="24015C67">
                  <w:pPr>
                    <w:spacing w:line="240" w:lineRule="auto"/>
                    <w:jc w:val="center"/>
                    <w:rPr>
                      <w:b/>
                      <w:bCs/>
                      <w:sz w:val="21"/>
                      <w:szCs w:val="21"/>
                      <w:u w:val="single"/>
                    </w:rPr>
                  </w:pPr>
                  <w:r>
                    <w:rPr>
                      <w:b/>
                      <w:bCs/>
                      <w:sz w:val="21"/>
                      <w:szCs w:val="21"/>
                      <w:u w:val="single"/>
                    </w:rPr>
                    <w:t>（万元）</w:t>
                  </w:r>
                </w:p>
              </w:tc>
            </w:tr>
            <w:tr w14:paraId="20C97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9" w:type="pct"/>
                  <w:vMerge w:val="restart"/>
                  <w:tcBorders>
                    <w:top w:val="single" w:color="auto" w:sz="6" w:space="0"/>
                    <w:left w:val="single" w:color="auto" w:sz="6" w:space="0"/>
                    <w:right w:val="single" w:color="auto" w:sz="6" w:space="0"/>
                  </w:tcBorders>
                  <w:vAlign w:val="center"/>
                </w:tcPr>
                <w:p w14:paraId="0C0BF1E2">
                  <w:pPr>
                    <w:pStyle w:val="15"/>
                    <w:snapToGrid/>
                    <w:spacing w:line="240" w:lineRule="auto"/>
                    <w:rPr>
                      <w:u w:val="single"/>
                    </w:rPr>
                  </w:pPr>
                  <w:r>
                    <w:rPr>
                      <w:u w:val="single"/>
                    </w:rPr>
                    <w:t>营运期</w:t>
                  </w:r>
                </w:p>
              </w:tc>
              <w:tc>
                <w:tcPr>
                  <w:tcW w:w="575" w:type="pct"/>
                  <w:tcBorders>
                    <w:top w:val="single" w:color="auto" w:sz="6" w:space="0"/>
                    <w:left w:val="single" w:color="auto" w:sz="6" w:space="0"/>
                    <w:bottom w:val="single" w:color="auto" w:sz="6" w:space="0"/>
                    <w:right w:val="single" w:color="auto" w:sz="6" w:space="0"/>
                  </w:tcBorders>
                  <w:vAlign w:val="center"/>
                </w:tcPr>
                <w:p w14:paraId="414B25C5">
                  <w:pPr>
                    <w:spacing w:line="240" w:lineRule="auto"/>
                    <w:jc w:val="center"/>
                    <w:rPr>
                      <w:sz w:val="21"/>
                      <w:szCs w:val="21"/>
                      <w:u w:val="single"/>
                    </w:rPr>
                  </w:pPr>
                  <w:r>
                    <w:rPr>
                      <w:rFonts w:hint="eastAsia"/>
                      <w:sz w:val="21"/>
                      <w:szCs w:val="21"/>
                      <w:u w:val="single"/>
                    </w:rPr>
                    <w:t>废水</w:t>
                  </w:r>
                </w:p>
              </w:tc>
              <w:tc>
                <w:tcPr>
                  <w:tcW w:w="1047" w:type="pct"/>
                  <w:tcBorders>
                    <w:top w:val="single" w:color="auto" w:sz="6" w:space="0"/>
                    <w:left w:val="single" w:color="auto" w:sz="6" w:space="0"/>
                    <w:bottom w:val="single" w:color="auto" w:sz="6" w:space="0"/>
                    <w:right w:val="single" w:color="auto" w:sz="6" w:space="0"/>
                  </w:tcBorders>
                  <w:vAlign w:val="center"/>
                </w:tcPr>
                <w:p w14:paraId="7AF4D905">
                  <w:pPr>
                    <w:spacing w:line="240" w:lineRule="auto"/>
                    <w:jc w:val="center"/>
                    <w:rPr>
                      <w:sz w:val="21"/>
                      <w:szCs w:val="21"/>
                      <w:u w:val="single"/>
                    </w:rPr>
                  </w:pPr>
                  <w:r>
                    <w:rPr>
                      <w:rFonts w:hint="eastAsia"/>
                      <w:sz w:val="21"/>
                      <w:szCs w:val="21"/>
                      <w:u w:val="single"/>
                    </w:rPr>
                    <w:t>医疗废水</w:t>
                  </w:r>
                </w:p>
              </w:tc>
              <w:tc>
                <w:tcPr>
                  <w:tcW w:w="2101" w:type="pct"/>
                  <w:tcBorders>
                    <w:top w:val="single" w:color="auto" w:sz="6" w:space="0"/>
                    <w:left w:val="single" w:color="auto" w:sz="6" w:space="0"/>
                    <w:bottom w:val="single" w:color="auto" w:sz="6" w:space="0"/>
                    <w:right w:val="single" w:color="auto" w:sz="6" w:space="0"/>
                  </w:tcBorders>
                  <w:vAlign w:val="center"/>
                </w:tcPr>
                <w:p w14:paraId="1E368895">
                  <w:pPr>
                    <w:spacing w:line="240" w:lineRule="auto"/>
                    <w:jc w:val="center"/>
                    <w:rPr>
                      <w:sz w:val="21"/>
                      <w:szCs w:val="21"/>
                      <w:u w:val="single"/>
                    </w:rPr>
                  </w:pPr>
                  <w:r>
                    <w:rPr>
                      <w:rFonts w:hint="eastAsia"/>
                      <w:sz w:val="21"/>
                      <w:szCs w:val="21"/>
                      <w:u w:val="single"/>
                    </w:rPr>
                    <w:t>自建污水系统（隔油池+化粪池+沉淀+消毒工艺），处理规模15</w:t>
                  </w:r>
                  <w:r>
                    <w:rPr>
                      <w:sz w:val="21"/>
                      <w:szCs w:val="21"/>
                      <w:u w:val="single"/>
                    </w:rPr>
                    <w:t>m</w:t>
                  </w:r>
                  <w:r>
                    <w:rPr>
                      <w:sz w:val="21"/>
                      <w:szCs w:val="21"/>
                      <w:u w:val="single"/>
                      <w:vertAlign w:val="superscript"/>
                    </w:rPr>
                    <w:t>3</w:t>
                  </w:r>
                  <w:r>
                    <w:rPr>
                      <w:rFonts w:hint="eastAsia"/>
                      <w:sz w:val="21"/>
                      <w:szCs w:val="21"/>
                      <w:u w:val="single"/>
                    </w:rPr>
                    <w:t>/</w:t>
                  </w:r>
                  <w:r>
                    <w:rPr>
                      <w:sz w:val="21"/>
                      <w:szCs w:val="21"/>
                      <w:u w:val="single"/>
                    </w:rPr>
                    <w:t>d</w:t>
                  </w:r>
                </w:p>
              </w:tc>
              <w:tc>
                <w:tcPr>
                  <w:tcW w:w="698" w:type="pct"/>
                  <w:tcBorders>
                    <w:top w:val="single" w:color="auto" w:sz="6" w:space="0"/>
                    <w:left w:val="single" w:color="auto" w:sz="6" w:space="0"/>
                    <w:bottom w:val="single" w:color="auto" w:sz="6" w:space="0"/>
                    <w:right w:val="single" w:color="auto" w:sz="6" w:space="0"/>
                  </w:tcBorders>
                  <w:vAlign w:val="center"/>
                </w:tcPr>
                <w:p w14:paraId="2D228808">
                  <w:pPr>
                    <w:spacing w:line="240" w:lineRule="auto"/>
                    <w:jc w:val="center"/>
                    <w:rPr>
                      <w:sz w:val="21"/>
                      <w:szCs w:val="21"/>
                      <w:u w:val="single"/>
                    </w:rPr>
                  </w:pPr>
                  <w:r>
                    <w:rPr>
                      <w:sz w:val="21"/>
                      <w:szCs w:val="21"/>
                      <w:u w:val="single"/>
                    </w:rPr>
                    <w:t>16</w:t>
                  </w:r>
                </w:p>
              </w:tc>
            </w:tr>
            <w:tr w14:paraId="275E6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9" w:type="pct"/>
                  <w:vMerge w:val="continue"/>
                  <w:tcBorders>
                    <w:left w:val="single" w:color="auto" w:sz="6" w:space="0"/>
                    <w:right w:val="single" w:color="auto" w:sz="6" w:space="0"/>
                  </w:tcBorders>
                  <w:vAlign w:val="center"/>
                </w:tcPr>
                <w:p w14:paraId="6B9374ED">
                  <w:pPr>
                    <w:pStyle w:val="15"/>
                    <w:snapToGrid/>
                    <w:spacing w:line="240" w:lineRule="auto"/>
                    <w:rPr>
                      <w:u w:val="single"/>
                    </w:rPr>
                  </w:pPr>
                </w:p>
              </w:tc>
              <w:tc>
                <w:tcPr>
                  <w:tcW w:w="1622" w:type="pct"/>
                  <w:gridSpan w:val="2"/>
                  <w:tcBorders>
                    <w:top w:val="single" w:color="auto" w:sz="6" w:space="0"/>
                    <w:left w:val="single" w:color="auto" w:sz="6" w:space="0"/>
                    <w:bottom w:val="single" w:color="auto" w:sz="6" w:space="0"/>
                    <w:right w:val="single" w:color="auto" w:sz="6" w:space="0"/>
                  </w:tcBorders>
                  <w:vAlign w:val="center"/>
                </w:tcPr>
                <w:p w14:paraId="12F9A3BC">
                  <w:pPr>
                    <w:spacing w:line="240" w:lineRule="auto"/>
                    <w:jc w:val="center"/>
                    <w:rPr>
                      <w:sz w:val="21"/>
                      <w:szCs w:val="21"/>
                      <w:u w:val="single"/>
                    </w:rPr>
                  </w:pPr>
                  <w:r>
                    <w:rPr>
                      <w:rFonts w:hint="eastAsia"/>
                      <w:sz w:val="21"/>
                      <w:szCs w:val="21"/>
                      <w:u w:val="single"/>
                    </w:rPr>
                    <w:t>环境风险防范措施</w:t>
                  </w:r>
                </w:p>
              </w:tc>
              <w:tc>
                <w:tcPr>
                  <w:tcW w:w="2101" w:type="pct"/>
                  <w:tcBorders>
                    <w:top w:val="single" w:color="auto" w:sz="6" w:space="0"/>
                    <w:left w:val="single" w:color="auto" w:sz="6" w:space="0"/>
                    <w:bottom w:val="single" w:color="auto" w:sz="6" w:space="0"/>
                    <w:right w:val="single" w:color="auto" w:sz="6" w:space="0"/>
                  </w:tcBorders>
                  <w:vAlign w:val="center"/>
                </w:tcPr>
                <w:p w14:paraId="0E0B0BB0">
                  <w:pPr>
                    <w:spacing w:line="240" w:lineRule="auto"/>
                    <w:jc w:val="center"/>
                    <w:rPr>
                      <w:sz w:val="21"/>
                      <w:szCs w:val="21"/>
                      <w:u w:val="single"/>
                    </w:rPr>
                  </w:pPr>
                  <w:r>
                    <w:rPr>
                      <w:rFonts w:hint="eastAsia"/>
                      <w:sz w:val="21"/>
                      <w:szCs w:val="21"/>
                      <w:u w:val="single"/>
                    </w:rPr>
                    <w:t>新建一大小5</w:t>
                  </w:r>
                  <w:r>
                    <w:rPr>
                      <w:sz w:val="21"/>
                      <w:szCs w:val="21"/>
                      <w:u w:val="single"/>
                    </w:rPr>
                    <w:t>m</w:t>
                  </w:r>
                  <w:r>
                    <w:rPr>
                      <w:sz w:val="21"/>
                      <w:szCs w:val="21"/>
                      <w:u w:val="single"/>
                      <w:vertAlign w:val="superscript"/>
                    </w:rPr>
                    <w:t>3</w:t>
                  </w:r>
                  <w:r>
                    <w:rPr>
                      <w:rFonts w:hint="eastAsia"/>
                      <w:sz w:val="21"/>
                      <w:szCs w:val="21"/>
                      <w:u w:val="single"/>
                    </w:rPr>
                    <w:t>的事故应急池，应急池加盖，正常情况下为空池状态</w:t>
                  </w:r>
                </w:p>
              </w:tc>
              <w:tc>
                <w:tcPr>
                  <w:tcW w:w="698" w:type="pct"/>
                  <w:tcBorders>
                    <w:top w:val="single" w:color="auto" w:sz="6" w:space="0"/>
                    <w:left w:val="single" w:color="auto" w:sz="6" w:space="0"/>
                    <w:bottom w:val="single" w:color="auto" w:sz="6" w:space="0"/>
                    <w:right w:val="single" w:color="auto" w:sz="6" w:space="0"/>
                  </w:tcBorders>
                  <w:vAlign w:val="center"/>
                </w:tcPr>
                <w:p w14:paraId="58CC0EBE">
                  <w:pPr>
                    <w:spacing w:line="240" w:lineRule="auto"/>
                    <w:jc w:val="center"/>
                    <w:rPr>
                      <w:sz w:val="21"/>
                      <w:szCs w:val="21"/>
                      <w:u w:val="single"/>
                    </w:rPr>
                  </w:pPr>
                  <w:r>
                    <w:rPr>
                      <w:rFonts w:hint="eastAsia"/>
                      <w:sz w:val="21"/>
                      <w:szCs w:val="21"/>
                      <w:u w:val="single"/>
                    </w:rPr>
                    <w:t>4</w:t>
                  </w:r>
                </w:p>
              </w:tc>
            </w:tr>
            <w:tr w14:paraId="67CEC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02" w:type="pct"/>
                  <w:gridSpan w:val="4"/>
                  <w:tcBorders>
                    <w:left w:val="single" w:color="auto" w:sz="6" w:space="0"/>
                    <w:bottom w:val="single" w:color="auto" w:sz="6" w:space="0"/>
                    <w:right w:val="single" w:color="auto" w:sz="6" w:space="0"/>
                  </w:tcBorders>
                  <w:vAlign w:val="center"/>
                </w:tcPr>
                <w:p w14:paraId="6B42FF75">
                  <w:pPr>
                    <w:spacing w:line="240" w:lineRule="auto"/>
                    <w:jc w:val="center"/>
                    <w:rPr>
                      <w:sz w:val="21"/>
                      <w:szCs w:val="21"/>
                      <w:u w:val="single"/>
                    </w:rPr>
                  </w:pPr>
                  <w:r>
                    <w:rPr>
                      <w:rFonts w:hint="eastAsia"/>
                      <w:sz w:val="21"/>
                      <w:szCs w:val="21"/>
                      <w:u w:val="single"/>
                    </w:rPr>
                    <w:t>总计</w:t>
                  </w:r>
                </w:p>
              </w:tc>
              <w:tc>
                <w:tcPr>
                  <w:tcW w:w="698" w:type="pct"/>
                  <w:tcBorders>
                    <w:top w:val="single" w:color="auto" w:sz="6" w:space="0"/>
                    <w:left w:val="single" w:color="auto" w:sz="6" w:space="0"/>
                    <w:bottom w:val="single" w:color="auto" w:sz="6" w:space="0"/>
                    <w:right w:val="single" w:color="auto" w:sz="6" w:space="0"/>
                  </w:tcBorders>
                  <w:vAlign w:val="center"/>
                </w:tcPr>
                <w:p w14:paraId="044F0DBD">
                  <w:pPr>
                    <w:spacing w:line="240" w:lineRule="auto"/>
                    <w:jc w:val="center"/>
                    <w:rPr>
                      <w:sz w:val="21"/>
                      <w:szCs w:val="21"/>
                      <w:u w:val="single"/>
                    </w:rPr>
                  </w:pPr>
                  <w:r>
                    <w:rPr>
                      <w:rFonts w:hint="eastAsia"/>
                      <w:sz w:val="21"/>
                      <w:szCs w:val="21"/>
                      <w:u w:val="single"/>
                    </w:rPr>
                    <w:t>2</w:t>
                  </w:r>
                  <w:r>
                    <w:rPr>
                      <w:sz w:val="21"/>
                      <w:szCs w:val="21"/>
                      <w:u w:val="single"/>
                    </w:rPr>
                    <w:t>0</w:t>
                  </w:r>
                </w:p>
              </w:tc>
            </w:tr>
          </w:tbl>
          <w:p w14:paraId="343871BE">
            <w:pPr>
              <w:jc w:val="both"/>
              <w:rPr>
                <w:rFonts w:hint="eastAsia"/>
                <w:szCs w:val="21"/>
              </w:rPr>
            </w:pPr>
          </w:p>
        </w:tc>
      </w:tr>
    </w:tbl>
    <w:p w14:paraId="3FA9CD48">
      <w:pPr>
        <w:sectPr>
          <w:pgSz w:w="11906" w:h="16838"/>
          <w:pgMar w:top="1440" w:right="1440" w:bottom="1440" w:left="1440" w:header="851" w:footer="992" w:gutter="0"/>
          <w:pgNumType w:fmt="numberInDash"/>
          <w:cols w:space="425" w:num="1"/>
          <w:docGrid w:type="lines" w:linePitch="312" w:charSpace="0"/>
        </w:sectPr>
      </w:pPr>
    </w:p>
    <w:p w14:paraId="7C253F74">
      <w:pPr>
        <w:tabs>
          <w:tab w:val="left" w:pos="993"/>
        </w:tabs>
        <w:jc w:val="center"/>
        <w:outlineLvl w:val="0"/>
        <w:rPr>
          <w:b/>
          <w:bCs/>
          <w:color w:val="000000"/>
          <w:kern w:val="44"/>
          <w:sz w:val="30"/>
          <w:szCs w:val="30"/>
        </w:rPr>
      </w:pPr>
      <w:bookmarkStart w:id="75" w:name="_Toc199260721"/>
      <w:bookmarkStart w:id="76" w:name="_Toc194068220"/>
      <w:bookmarkStart w:id="77" w:name="_Toc147539449"/>
      <w:bookmarkStart w:id="78" w:name="_Toc153736108"/>
      <w:bookmarkStart w:id="79" w:name="_Toc153731596"/>
      <w:bookmarkStart w:id="80" w:name="_Toc188001855"/>
      <w:bookmarkStart w:id="81" w:name="_Toc141772425"/>
      <w:r>
        <w:rPr>
          <w:rFonts w:hint="eastAsia"/>
          <w:b/>
          <w:bCs/>
          <w:color w:val="000000"/>
          <w:kern w:val="44"/>
          <w:sz w:val="30"/>
          <w:szCs w:val="30"/>
        </w:rPr>
        <w:t>五、环境保护措施监督检查清单</w:t>
      </w:r>
      <w:bookmarkEnd w:id="75"/>
      <w:bookmarkEnd w:id="76"/>
      <w:bookmarkEnd w:id="77"/>
      <w:bookmarkEnd w:id="78"/>
      <w:bookmarkEnd w:id="79"/>
      <w:bookmarkEnd w:id="80"/>
      <w:bookmarkEnd w:id="81"/>
    </w:p>
    <w:tbl>
      <w:tblPr>
        <w:tblStyle w:val="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61A6B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tcPr>
          <w:p w14:paraId="3C004E7C">
            <w:pPr>
              <w:adjustRightInd w:val="0"/>
              <w:snapToGrid w:val="0"/>
              <w:spacing w:line="240" w:lineRule="auto"/>
              <w:ind w:firstLine="840"/>
              <w:jc w:val="both"/>
              <w:rPr>
                <w:sz w:val="21"/>
                <w:szCs w:val="21"/>
                <w:u w:val="single"/>
              </w:rPr>
            </w:pPr>
            <w:r>
              <w:rPr>
                <w:rFonts w:hint="eastAsia"/>
                <w:sz w:val="21"/>
                <w:szCs w:val="21"/>
                <w:u w:val="single"/>
              </w:rPr>
              <w:t>内容</w:t>
            </w:r>
          </w:p>
          <w:p w14:paraId="72CFC2EF">
            <w:pPr>
              <w:adjustRightInd w:val="0"/>
              <w:snapToGrid w:val="0"/>
              <w:spacing w:line="240" w:lineRule="auto"/>
              <w:jc w:val="both"/>
              <w:rPr>
                <w:sz w:val="21"/>
                <w:szCs w:val="21"/>
                <w:u w:val="single"/>
              </w:rPr>
            </w:pPr>
            <w:r>
              <w:rPr>
                <w:rFonts w:hint="eastAsia"/>
                <w:sz w:val="21"/>
                <w:szCs w:val="21"/>
                <w:u w:val="single"/>
              </w:rPr>
              <w:t>要素</w:t>
            </w:r>
          </w:p>
        </w:tc>
        <w:tc>
          <w:tcPr>
            <w:tcW w:w="1755" w:type="dxa"/>
            <w:tcBorders>
              <w:top w:val="single" w:color="auto" w:sz="8" w:space="0"/>
              <w:left w:val="single" w:color="auto" w:sz="4" w:space="0"/>
              <w:bottom w:val="single" w:color="auto" w:sz="4" w:space="0"/>
              <w:right w:val="single" w:color="auto" w:sz="4" w:space="0"/>
            </w:tcBorders>
            <w:vAlign w:val="center"/>
          </w:tcPr>
          <w:p w14:paraId="27764D80">
            <w:pPr>
              <w:adjustRightInd w:val="0"/>
              <w:snapToGrid w:val="0"/>
              <w:spacing w:line="240" w:lineRule="auto"/>
              <w:jc w:val="center"/>
              <w:rPr>
                <w:sz w:val="21"/>
                <w:szCs w:val="21"/>
                <w:u w:val="single"/>
              </w:rPr>
            </w:pPr>
            <w:r>
              <w:rPr>
                <w:rFonts w:hint="eastAsia"/>
                <w:sz w:val="21"/>
                <w:szCs w:val="21"/>
                <w:u w:val="single"/>
              </w:rPr>
              <w:t>排放口</w:t>
            </w:r>
            <w:r>
              <w:rPr>
                <w:sz w:val="21"/>
                <w:szCs w:val="21"/>
                <w:u w:val="single"/>
              </w:rPr>
              <w:t>(</w:t>
            </w:r>
            <w:r>
              <w:rPr>
                <w:rFonts w:hint="eastAsia"/>
                <w:sz w:val="21"/>
                <w:szCs w:val="21"/>
                <w:u w:val="single"/>
              </w:rPr>
              <w:t>编号、</w:t>
            </w:r>
          </w:p>
          <w:p w14:paraId="0087F8F4">
            <w:pPr>
              <w:adjustRightInd w:val="0"/>
              <w:snapToGrid w:val="0"/>
              <w:spacing w:line="240" w:lineRule="auto"/>
              <w:jc w:val="center"/>
              <w:rPr>
                <w:sz w:val="21"/>
                <w:szCs w:val="21"/>
                <w:u w:val="single"/>
              </w:rPr>
            </w:pPr>
            <w:r>
              <w:rPr>
                <w:rFonts w:hint="eastAsia"/>
                <w:sz w:val="21"/>
                <w:szCs w:val="21"/>
                <w:u w:val="single"/>
              </w:rPr>
              <w:t>名称</w:t>
            </w:r>
            <w:r>
              <w:rPr>
                <w:sz w:val="21"/>
                <w:szCs w:val="21"/>
                <w:u w:val="single"/>
              </w:rPr>
              <w:t>)/</w:t>
            </w:r>
            <w:r>
              <w:rPr>
                <w:rFonts w:hint="eastAsia"/>
                <w:sz w:val="21"/>
                <w:szCs w:val="21"/>
                <w:u w:val="single"/>
              </w:rPr>
              <w:t>污染源</w:t>
            </w:r>
          </w:p>
        </w:tc>
        <w:tc>
          <w:tcPr>
            <w:tcW w:w="1755" w:type="dxa"/>
            <w:tcBorders>
              <w:top w:val="single" w:color="auto" w:sz="8" w:space="0"/>
              <w:left w:val="single" w:color="auto" w:sz="4" w:space="0"/>
              <w:bottom w:val="single" w:color="auto" w:sz="4" w:space="0"/>
              <w:right w:val="single" w:color="auto" w:sz="4" w:space="0"/>
            </w:tcBorders>
            <w:vAlign w:val="center"/>
          </w:tcPr>
          <w:p w14:paraId="7B6646C2">
            <w:pPr>
              <w:adjustRightInd w:val="0"/>
              <w:snapToGrid w:val="0"/>
              <w:spacing w:line="240" w:lineRule="auto"/>
              <w:jc w:val="center"/>
              <w:rPr>
                <w:sz w:val="21"/>
                <w:szCs w:val="21"/>
                <w:u w:val="single"/>
              </w:rPr>
            </w:pPr>
            <w:r>
              <w:rPr>
                <w:rFonts w:hint="eastAsia"/>
                <w:sz w:val="21"/>
                <w:szCs w:val="21"/>
                <w:u w:val="single"/>
              </w:rPr>
              <w:t>污染物项目</w:t>
            </w:r>
          </w:p>
        </w:tc>
        <w:tc>
          <w:tcPr>
            <w:tcW w:w="1755" w:type="dxa"/>
            <w:tcBorders>
              <w:top w:val="single" w:color="auto" w:sz="8" w:space="0"/>
              <w:left w:val="single" w:color="auto" w:sz="4" w:space="0"/>
              <w:bottom w:val="single" w:color="auto" w:sz="4" w:space="0"/>
              <w:right w:val="single" w:color="auto" w:sz="4" w:space="0"/>
            </w:tcBorders>
            <w:vAlign w:val="center"/>
          </w:tcPr>
          <w:p w14:paraId="1DB5816F">
            <w:pPr>
              <w:adjustRightInd w:val="0"/>
              <w:snapToGrid w:val="0"/>
              <w:spacing w:line="240" w:lineRule="auto"/>
              <w:jc w:val="center"/>
              <w:rPr>
                <w:sz w:val="21"/>
                <w:szCs w:val="21"/>
                <w:u w:val="single"/>
              </w:rPr>
            </w:pPr>
            <w:r>
              <w:rPr>
                <w:rFonts w:hint="eastAsia"/>
                <w:sz w:val="21"/>
                <w:szCs w:val="21"/>
                <w:u w:val="single"/>
              </w:rPr>
              <w:t>环境保护措施</w:t>
            </w:r>
          </w:p>
        </w:tc>
        <w:tc>
          <w:tcPr>
            <w:tcW w:w="1757" w:type="dxa"/>
            <w:tcBorders>
              <w:top w:val="single" w:color="auto" w:sz="8" w:space="0"/>
              <w:left w:val="single" w:color="auto" w:sz="4" w:space="0"/>
              <w:bottom w:val="single" w:color="auto" w:sz="4" w:space="0"/>
              <w:right w:val="single" w:color="auto" w:sz="8" w:space="0"/>
            </w:tcBorders>
            <w:vAlign w:val="center"/>
          </w:tcPr>
          <w:p w14:paraId="57332F34">
            <w:pPr>
              <w:adjustRightInd w:val="0"/>
              <w:snapToGrid w:val="0"/>
              <w:spacing w:line="240" w:lineRule="auto"/>
              <w:jc w:val="center"/>
              <w:rPr>
                <w:sz w:val="21"/>
                <w:szCs w:val="21"/>
                <w:u w:val="single"/>
              </w:rPr>
            </w:pPr>
            <w:r>
              <w:rPr>
                <w:rFonts w:hint="eastAsia"/>
                <w:sz w:val="21"/>
                <w:szCs w:val="21"/>
                <w:u w:val="single"/>
              </w:rPr>
              <w:t>执行标准</w:t>
            </w:r>
          </w:p>
        </w:tc>
      </w:tr>
      <w:tr w14:paraId="76602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tcBorders>
              <w:top w:val="single" w:color="auto" w:sz="4" w:space="0"/>
              <w:left w:val="single" w:color="auto" w:sz="8" w:space="0"/>
              <w:bottom w:val="single" w:color="auto" w:sz="4" w:space="0"/>
              <w:right w:val="single" w:color="auto" w:sz="4" w:space="0"/>
            </w:tcBorders>
            <w:vAlign w:val="center"/>
          </w:tcPr>
          <w:p w14:paraId="5447EE14">
            <w:pPr>
              <w:adjustRightInd w:val="0"/>
              <w:snapToGrid w:val="0"/>
              <w:spacing w:line="240" w:lineRule="auto"/>
              <w:jc w:val="center"/>
              <w:rPr>
                <w:sz w:val="21"/>
                <w:szCs w:val="21"/>
                <w:u w:val="single"/>
              </w:rPr>
            </w:pPr>
            <w:r>
              <w:rPr>
                <w:rFonts w:hint="eastAsia"/>
                <w:sz w:val="21"/>
                <w:szCs w:val="21"/>
                <w:u w:val="single"/>
              </w:rPr>
              <w:t>大气环境</w:t>
            </w:r>
          </w:p>
        </w:tc>
        <w:tc>
          <w:tcPr>
            <w:tcW w:w="1755" w:type="dxa"/>
            <w:tcBorders>
              <w:top w:val="single" w:color="auto" w:sz="4" w:space="0"/>
              <w:left w:val="single" w:color="auto" w:sz="4" w:space="0"/>
              <w:bottom w:val="single" w:color="auto" w:sz="4" w:space="0"/>
              <w:right w:val="single" w:color="auto" w:sz="4" w:space="0"/>
            </w:tcBorders>
            <w:vAlign w:val="center"/>
          </w:tcPr>
          <w:p w14:paraId="668557DF">
            <w:pPr>
              <w:adjustRightInd w:val="0"/>
              <w:snapToGrid w:val="0"/>
              <w:spacing w:line="240" w:lineRule="auto"/>
              <w:jc w:val="center"/>
              <w:rPr>
                <w:sz w:val="21"/>
                <w:szCs w:val="21"/>
                <w:u w:val="single"/>
              </w:rPr>
            </w:pPr>
            <w:r>
              <w:rPr>
                <w:rFonts w:hint="eastAsia"/>
                <w:sz w:val="21"/>
                <w:szCs w:val="21"/>
                <w:u w:val="single"/>
              </w:rPr>
              <w:t>污水处理系统</w:t>
            </w:r>
          </w:p>
        </w:tc>
        <w:tc>
          <w:tcPr>
            <w:tcW w:w="1755" w:type="dxa"/>
            <w:tcBorders>
              <w:top w:val="single" w:color="auto" w:sz="4" w:space="0"/>
              <w:left w:val="single" w:color="auto" w:sz="4" w:space="0"/>
              <w:bottom w:val="single" w:color="auto" w:sz="4" w:space="0"/>
              <w:right w:val="single" w:color="auto" w:sz="4" w:space="0"/>
            </w:tcBorders>
            <w:vAlign w:val="center"/>
          </w:tcPr>
          <w:p w14:paraId="2488E15A">
            <w:pPr>
              <w:adjustRightInd w:val="0"/>
              <w:snapToGrid w:val="0"/>
              <w:spacing w:line="240" w:lineRule="auto"/>
              <w:jc w:val="center"/>
              <w:rPr>
                <w:sz w:val="21"/>
                <w:szCs w:val="21"/>
                <w:u w:val="single"/>
              </w:rPr>
            </w:pPr>
            <w:r>
              <w:rPr>
                <w:rFonts w:hint="eastAsia"/>
                <w:sz w:val="21"/>
                <w:szCs w:val="21"/>
                <w:u w:val="single"/>
              </w:rPr>
              <w:t>氨、硫化氢、臭气浓度</w:t>
            </w:r>
          </w:p>
        </w:tc>
        <w:tc>
          <w:tcPr>
            <w:tcW w:w="1755" w:type="dxa"/>
            <w:tcBorders>
              <w:top w:val="single" w:color="auto" w:sz="4" w:space="0"/>
              <w:left w:val="single" w:color="auto" w:sz="4" w:space="0"/>
              <w:bottom w:val="single" w:color="auto" w:sz="4" w:space="0"/>
              <w:right w:val="single" w:color="auto" w:sz="4" w:space="0"/>
            </w:tcBorders>
            <w:vAlign w:val="center"/>
          </w:tcPr>
          <w:p w14:paraId="3239FD48">
            <w:pPr>
              <w:adjustRightInd w:val="0"/>
              <w:snapToGrid w:val="0"/>
              <w:spacing w:line="240" w:lineRule="auto"/>
              <w:jc w:val="center"/>
              <w:rPr>
                <w:sz w:val="21"/>
                <w:szCs w:val="21"/>
                <w:u w:val="single"/>
              </w:rPr>
            </w:pPr>
            <w:r>
              <w:rPr>
                <w:rFonts w:hint="eastAsia"/>
                <w:snapToGrid w:val="0"/>
                <w:sz w:val="21"/>
                <w:szCs w:val="21"/>
                <w:u w:val="single"/>
              </w:rPr>
              <w:t>池体密闭加盖</w:t>
            </w:r>
            <w:r>
              <w:rPr>
                <w:snapToGrid w:val="0"/>
                <w:sz w:val="21"/>
                <w:szCs w:val="21"/>
                <w:u w:val="single"/>
              </w:rPr>
              <w:t>+</w:t>
            </w:r>
            <w:r>
              <w:rPr>
                <w:rFonts w:hint="eastAsia"/>
                <w:snapToGrid w:val="0"/>
                <w:sz w:val="21"/>
                <w:szCs w:val="21"/>
                <w:u w:val="single"/>
              </w:rPr>
              <w:t>投放除臭药剂</w:t>
            </w:r>
          </w:p>
        </w:tc>
        <w:tc>
          <w:tcPr>
            <w:tcW w:w="1757" w:type="dxa"/>
            <w:tcBorders>
              <w:top w:val="single" w:color="auto" w:sz="4" w:space="0"/>
              <w:left w:val="single" w:color="auto" w:sz="4" w:space="0"/>
              <w:bottom w:val="single" w:color="auto" w:sz="4" w:space="0"/>
              <w:right w:val="single" w:color="auto" w:sz="8" w:space="0"/>
            </w:tcBorders>
            <w:vAlign w:val="center"/>
          </w:tcPr>
          <w:p w14:paraId="75B686D9">
            <w:pPr>
              <w:adjustRightInd w:val="0"/>
              <w:snapToGrid w:val="0"/>
              <w:spacing w:line="240" w:lineRule="auto"/>
              <w:jc w:val="center"/>
              <w:rPr>
                <w:sz w:val="21"/>
                <w:szCs w:val="21"/>
                <w:u w:val="single"/>
              </w:rPr>
            </w:pPr>
            <w:r>
              <w:rPr>
                <w:rFonts w:hint="eastAsia"/>
                <w:snapToGrid w:val="0"/>
                <w:kern w:val="0"/>
                <w:sz w:val="21"/>
                <w:szCs w:val="21"/>
                <w:u w:val="single"/>
                <w:lang w:val="zh-CN" w:bidi="zh-CN"/>
              </w:rPr>
              <w:t>《医疗机构污水污染物排放标准》（</w:t>
            </w:r>
            <w:r>
              <w:rPr>
                <w:snapToGrid w:val="0"/>
                <w:kern w:val="0"/>
                <w:sz w:val="21"/>
                <w:szCs w:val="21"/>
                <w:u w:val="single"/>
                <w:lang w:val="zh-CN" w:bidi="zh-CN"/>
              </w:rPr>
              <w:t>GB18466-2005</w:t>
            </w:r>
            <w:r>
              <w:rPr>
                <w:rFonts w:hint="eastAsia"/>
                <w:snapToGrid w:val="0"/>
                <w:kern w:val="0"/>
                <w:sz w:val="21"/>
                <w:szCs w:val="21"/>
                <w:u w:val="single"/>
                <w:lang w:val="zh-CN" w:bidi="zh-CN"/>
              </w:rPr>
              <w:t>）</w:t>
            </w:r>
          </w:p>
        </w:tc>
      </w:tr>
      <w:tr w14:paraId="2987E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14:paraId="62F4990D">
            <w:pPr>
              <w:widowControl/>
              <w:spacing w:line="240" w:lineRule="auto"/>
              <w:rPr>
                <w:rFonts w:hint="eastAsia"/>
                <w:sz w:val="21"/>
                <w:szCs w:val="21"/>
                <w:u w:val="single"/>
              </w:rPr>
            </w:pPr>
          </w:p>
        </w:tc>
        <w:tc>
          <w:tcPr>
            <w:tcW w:w="1755" w:type="dxa"/>
            <w:tcBorders>
              <w:top w:val="single" w:color="auto" w:sz="4" w:space="0"/>
              <w:left w:val="single" w:color="auto" w:sz="4" w:space="0"/>
              <w:bottom w:val="single" w:color="auto" w:sz="4" w:space="0"/>
              <w:right w:val="single" w:color="auto" w:sz="4" w:space="0"/>
            </w:tcBorders>
            <w:vAlign w:val="center"/>
          </w:tcPr>
          <w:p w14:paraId="5CA08407">
            <w:pPr>
              <w:adjustRightInd w:val="0"/>
              <w:snapToGrid w:val="0"/>
              <w:spacing w:line="240" w:lineRule="auto"/>
              <w:jc w:val="center"/>
              <w:rPr>
                <w:sz w:val="21"/>
                <w:szCs w:val="21"/>
                <w:u w:val="single"/>
              </w:rPr>
            </w:pPr>
            <w:r>
              <w:rPr>
                <w:rFonts w:hint="eastAsia"/>
                <w:sz w:val="21"/>
                <w:szCs w:val="21"/>
                <w:u w:val="single"/>
              </w:rPr>
              <w:t>油烟废气</w:t>
            </w:r>
          </w:p>
        </w:tc>
        <w:tc>
          <w:tcPr>
            <w:tcW w:w="1755" w:type="dxa"/>
            <w:tcBorders>
              <w:top w:val="single" w:color="auto" w:sz="4" w:space="0"/>
              <w:left w:val="single" w:color="auto" w:sz="4" w:space="0"/>
              <w:bottom w:val="single" w:color="auto" w:sz="4" w:space="0"/>
              <w:right w:val="single" w:color="auto" w:sz="4" w:space="0"/>
            </w:tcBorders>
            <w:vAlign w:val="center"/>
          </w:tcPr>
          <w:p w14:paraId="14F5E77F">
            <w:pPr>
              <w:adjustRightInd w:val="0"/>
              <w:snapToGrid w:val="0"/>
              <w:spacing w:line="240" w:lineRule="auto"/>
              <w:jc w:val="center"/>
              <w:rPr>
                <w:sz w:val="21"/>
                <w:szCs w:val="21"/>
                <w:u w:val="single"/>
              </w:rPr>
            </w:pPr>
            <w:r>
              <w:rPr>
                <w:rFonts w:hint="eastAsia"/>
                <w:sz w:val="21"/>
                <w:szCs w:val="21"/>
                <w:u w:val="single"/>
              </w:rPr>
              <w:t>油烟</w:t>
            </w:r>
          </w:p>
        </w:tc>
        <w:tc>
          <w:tcPr>
            <w:tcW w:w="1755" w:type="dxa"/>
            <w:tcBorders>
              <w:top w:val="single" w:color="auto" w:sz="4" w:space="0"/>
              <w:left w:val="single" w:color="auto" w:sz="4" w:space="0"/>
              <w:bottom w:val="single" w:color="auto" w:sz="4" w:space="0"/>
              <w:right w:val="single" w:color="auto" w:sz="4" w:space="0"/>
            </w:tcBorders>
            <w:vAlign w:val="center"/>
          </w:tcPr>
          <w:p w14:paraId="38BEBCA4">
            <w:pPr>
              <w:adjustRightInd w:val="0"/>
              <w:snapToGrid w:val="0"/>
              <w:spacing w:line="240" w:lineRule="auto"/>
              <w:jc w:val="center"/>
              <w:rPr>
                <w:snapToGrid w:val="0"/>
                <w:sz w:val="21"/>
                <w:szCs w:val="21"/>
                <w:u w:val="single"/>
              </w:rPr>
            </w:pPr>
            <w:r>
              <w:rPr>
                <w:rFonts w:hint="eastAsia"/>
                <w:snapToGrid w:val="0"/>
                <w:sz w:val="21"/>
                <w:szCs w:val="21"/>
                <w:u w:val="single"/>
                <w:lang w:val="zh-CN"/>
              </w:rPr>
              <w:t>油烟净化器</w:t>
            </w:r>
          </w:p>
        </w:tc>
        <w:tc>
          <w:tcPr>
            <w:tcW w:w="1757" w:type="dxa"/>
            <w:tcBorders>
              <w:top w:val="single" w:color="auto" w:sz="4" w:space="0"/>
              <w:left w:val="single" w:color="auto" w:sz="4" w:space="0"/>
              <w:bottom w:val="single" w:color="auto" w:sz="4" w:space="0"/>
              <w:right w:val="single" w:color="auto" w:sz="8" w:space="0"/>
            </w:tcBorders>
            <w:vAlign w:val="center"/>
          </w:tcPr>
          <w:p w14:paraId="0857C0B0">
            <w:pPr>
              <w:adjustRightInd w:val="0"/>
              <w:snapToGrid w:val="0"/>
              <w:spacing w:line="240" w:lineRule="auto"/>
              <w:jc w:val="center"/>
              <w:rPr>
                <w:snapToGrid w:val="0"/>
                <w:kern w:val="0"/>
                <w:sz w:val="21"/>
                <w:szCs w:val="21"/>
                <w:u w:val="single"/>
                <w:lang w:val="zh-CN" w:bidi="zh-CN"/>
              </w:rPr>
            </w:pPr>
            <w:r>
              <w:rPr>
                <w:rFonts w:hint="eastAsia"/>
                <w:snapToGrid w:val="0"/>
                <w:kern w:val="0"/>
                <w:sz w:val="21"/>
                <w:szCs w:val="21"/>
                <w:u w:val="single"/>
                <w:lang w:val="zh-CN" w:bidi="zh-CN"/>
              </w:rPr>
              <w:t>《饮食业油烟排放标准（试行）》（</w:t>
            </w:r>
            <w:r>
              <w:rPr>
                <w:snapToGrid w:val="0"/>
                <w:kern w:val="0"/>
                <w:sz w:val="21"/>
                <w:szCs w:val="21"/>
                <w:u w:val="single"/>
                <w:lang w:val="zh-CN" w:bidi="zh-CN"/>
              </w:rPr>
              <w:t>GB18483-2001</w:t>
            </w:r>
            <w:r>
              <w:rPr>
                <w:rFonts w:hint="eastAsia"/>
                <w:snapToGrid w:val="0"/>
                <w:kern w:val="0"/>
                <w:sz w:val="21"/>
                <w:szCs w:val="21"/>
                <w:u w:val="single"/>
                <w:lang w:val="zh-CN" w:bidi="zh-CN"/>
              </w:rPr>
              <w:t>）中</w:t>
            </w:r>
            <w:r>
              <w:rPr>
                <w:snapToGrid w:val="0"/>
                <w:kern w:val="0"/>
                <w:sz w:val="21"/>
                <w:szCs w:val="21"/>
                <w:u w:val="single"/>
                <w:lang w:val="zh-CN" w:bidi="zh-CN"/>
              </w:rPr>
              <w:t>2.0mg/m</w:t>
            </w:r>
            <w:r>
              <w:rPr>
                <w:snapToGrid w:val="0"/>
                <w:kern w:val="0"/>
                <w:sz w:val="21"/>
                <w:szCs w:val="21"/>
                <w:u w:val="single"/>
                <w:vertAlign w:val="superscript"/>
                <w:lang w:val="zh-CN" w:bidi="zh-CN"/>
              </w:rPr>
              <w:t>3</w:t>
            </w:r>
            <w:r>
              <w:rPr>
                <w:rFonts w:hint="eastAsia"/>
                <w:snapToGrid w:val="0"/>
                <w:kern w:val="0"/>
                <w:sz w:val="21"/>
                <w:szCs w:val="21"/>
                <w:u w:val="single"/>
                <w:lang w:val="zh-CN" w:bidi="zh-CN"/>
              </w:rPr>
              <w:t>标准</w:t>
            </w:r>
          </w:p>
        </w:tc>
      </w:tr>
      <w:tr w14:paraId="482FB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5D1C4047">
            <w:pPr>
              <w:adjustRightInd w:val="0"/>
              <w:snapToGrid w:val="0"/>
              <w:spacing w:line="240" w:lineRule="auto"/>
              <w:jc w:val="center"/>
              <w:rPr>
                <w:sz w:val="21"/>
                <w:szCs w:val="21"/>
                <w:u w:val="single"/>
              </w:rPr>
            </w:pPr>
            <w:r>
              <w:rPr>
                <w:rFonts w:hint="eastAsia"/>
                <w:sz w:val="21"/>
                <w:szCs w:val="21"/>
                <w:u w:val="single"/>
              </w:rPr>
              <w:t>地表水环境</w:t>
            </w:r>
          </w:p>
        </w:tc>
        <w:tc>
          <w:tcPr>
            <w:tcW w:w="1755" w:type="dxa"/>
            <w:tcBorders>
              <w:top w:val="single" w:color="auto" w:sz="4" w:space="0"/>
              <w:left w:val="single" w:color="auto" w:sz="4" w:space="0"/>
              <w:bottom w:val="single" w:color="auto" w:sz="4" w:space="0"/>
              <w:right w:val="single" w:color="auto" w:sz="4" w:space="0"/>
            </w:tcBorders>
            <w:vAlign w:val="center"/>
          </w:tcPr>
          <w:p w14:paraId="1FDAD65C">
            <w:pPr>
              <w:adjustRightInd w:val="0"/>
              <w:snapToGrid w:val="0"/>
              <w:spacing w:line="240" w:lineRule="auto"/>
              <w:jc w:val="center"/>
              <w:rPr>
                <w:sz w:val="21"/>
                <w:szCs w:val="21"/>
                <w:u w:val="single"/>
              </w:rPr>
            </w:pPr>
            <w:r>
              <w:rPr>
                <w:sz w:val="21"/>
                <w:szCs w:val="21"/>
                <w:u w:val="single"/>
              </w:rPr>
              <w:t>DW001</w:t>
            </w:r>
            <w:r>
              <w:rPr>
                <w:rFonts w:hint="eastAsia"/>
                <w:sz w:val="21"/>
                <w:szCs w:val="21"/>
                <w:u w:val="single"/>
              </w:rPr>
              <w:t>（废水</w:t>
            </w:r>
            <w:r>
              <w:rPr>
                <w:sz w:val="21"/>
                <w:szCs w:val="21"/>
                <w:u w:val="single"/>
              </w:rPr>
              <w:t xml:space="preserve"> </w:t>
            </w:r>
          </w:p>
          <w:p w14:paraId="295E56D9">
            <w:pPr>
              <w:adjustRightInd w:val="0"/>
              <w:snapToGrid w:val="0"/>
              <w:spacing w:line="240" w:lineRule="auto"/>
              <w:jc w:val="center"/>
              <w:rPr>
                <w:sz w:val="21"/>
                <w:szCs w:val="21"/>
                <w:u w:val="single"/>
              </w:rPr>
            </w:pPr>
            <w:r>
              <w:rPr>
                <w:rFonts w:hint="eastAsia"/>
                <w:sz w:val="21"/>
                <w:szCs w:val="21"/>
                <w:u w:val="single"/>
              </w:rPr>
              <w:t>总排口）</w:t>
            </w:r>
          </w:p>
          <w:p w14:paraId="23368AFD">
            <w:pPr>
              <w:adjustRightInd w:val="0"/>
              <w:snapToGrid w:val="0"/>
              <w:spacing w:line="240" w:lineRule="auto"/>
              <w:jc w:val="center"/>
              <w:rPr>
                <w:sz w:val="21"/>
                <w:szCs w:val="21"/>
                <w:u w:val="single"/>
              </w:rPr>
            </w:pPr>
          </w:p>
        </w:tc>
        <w:tc>
          <w:tcPr>
            <w:tcW w:w="1755" w:type="dxa"/>
            <w:tcBorders>
              <w:top w:val="single" w:color="auto" w:sz="4" w:space="0"/>
              <w:left w:val="single" w:color="auto" w:sz="4" w:space="0"/>
              <w:bottom w:val="single" w:color="auto" w:sz="4" w:space="0"/>
              <w:right w:val="single" w:color="auto" w:sz="4" w:space="0"/>
            </w:tcBorders>
            <w:vAlign w:val="center"/>
          </w:tcPr>
          <w:p w14:paraId="7E7EE2AC">
            <w:pPr>
              <w:spacing w:line="240" w:lineRule="auto"/>
              <w:jc w:val="center"/>
              <w:rPr>
                <w:sz w:val="21"/>
                <w:szCs w:val="21"/>
                <w:u w:val="single"/>
              </w:rPr>
            </w:pPr>
            <w:r>
              <w:rPr>
                <w:sz w:val="21"/>
                <w:szCs w:val="21"/>
                <w:u w:val="single"/>
              </w:rPr>
              <w:t>COD</w:t>
            </w:r>
            <w:r>
              <w:rPr>
                <w:rFonts w:hint="eastAsia"/>
                <w:sz w:val="21"/>
                <w:szCs w:val="21"/>
                <w:u w:val="single"/>
              </w:rPr>
              <w:t>、</w:t>
            </w:r>
            <w:r>
              <w:rPr>
                <w:sz w:val="21"/>
                <w:szCs w:val="21"/>
                <w:u w:val="single"/>
              </w:rPr>
              <w:t>BOD</w:t>
            </w:r>
            <w:r>
              <w:rPr>
                <w:sz w:val="21"/>
                <w:szCs w:val="21"/>
                <w:u w:val="single"/>
                <w:vertAlign w:val="subscript"/>
              </w:rPr>
              <w:t>5</w:t>
            </w:r>
            <w:r>
              <w:rPr>
                <w:rFonts w:hint="eastAsia"/>
                <w:sz w:val="21"/>
                <w:szCs w:val="21"/>
                <w:u w:val="single"/>
              </w:rPr>
              <w:t>、</w:t>
            </w:r>
            <w:r>
              <w:rPr>
                <w:sz w:val="21"/>
                <w:szCs w:val="21"/>
                <w:u w:val="single"/>
              </w:rPr>
              <w:t>NH</w:t>
            </w:r>
            <w:r>
              <w:rPr>
                <w:sz w:val="21"/>
                <w:szCs w:val="21"/>
                <w:u w:val="single"/>
                <w:vertAlign w:val="subscript"/>
              </w:rPr>
              <w:t>3</w:t>
            </w:r>
            <w:r>
              <w:rPr>
                <w:sz w:val="21"/>
                <w:szCs w:val="21"/>
                <w:u w:val="single"/>
              </w:rPr>
              <w:t>-N</w:t>
            </w:r>
            <w:r>
              <w:rPr>
                <w:rFonts w:hint="eastAsia"/>
                <w:sz w:val="21"/>
                <w:szCs w:val="21"/>
                <w:u w:val="single"/>
              </w:rPr>
              <w:t>、</w:t>
            </w:r>
            <w:r>
              <w:rPr>
                <w:sz w:val="21"/>
                <w:szCs w:val="21"/>
                <w:u w:val="single"/>
              </w:rPr>
              <w:t>SS</w:t>
            </w:r>
            <w:r>
              <w:rPr>
                <w:rFonts w:hint="eastAsia"/>
                <w:sz w:val="21"/>
                <w:szCs w:val="21"/>
                <w:u w:val="single"/>
              </w:rPr>
              <w:t>、粪大肠菌群数</w:t>
            </w:r>
          </w:p>
        </w:tc>
        <w:tc>
          <w:tcPr>
            <w:tcW w:w="1755" w:type="dxa"/>
            <w:tcBorders>
              <w:top w:val="single" w:color="auto" w:sz="4" w:space="0"/>
              <w:left w:val="single" w:color="auto" w:sz="4" w:space="0"/>
              <w:bottom w:val="single" w:color="auto" w:sz="4" w:space="0"/>
              <w:right w:val="single" w:color="auto" w:sz="4" w:space="0"/>
            </w:tcBorders>
            <w:vAlign w:val="center"/>
          </w:tcPr>
          <w:p w14:paraId="64CAEDB9">
            <w:pPr>
              <w:adjustRightInd w:val="0"/>
              <w:snapToGrid w:val="0"/>
              <w:spacing w:line="240" w:lineRule="auto"/>
              <w:jc w:val="center"/>
              <w:rPr>
                <w:sz w:val="21"/>
                <w:szCs w:val="21"/>
                <w:u w:val="single"/>
              </w:rPr>
            </w:pPr>
            <w:r>
              <w:rPr>
                <w:rFonts w:hint="eastAsia"/>
                <w:snapToGrid w:val="0"/>
                <w:sz w:val="21"/>
                <w:szCs w:val="21"/>
                <w:u w:val="single"/>
              </w:rPr>
              <w:t>处理规模：</w:t>
            </w:r>
            <w:r>
              <w:rPr>
                <w:snapToGrid w:val="0"/>
                <w:sz w:val="21"/>
                <w:szCs w:val="21"/>
                <w:u w:val="single"/>
              </w:rPr>
              <w:t>15m</w:t>
            </w:r>
            <w:r>
              <w:rPr>
                <w:snapToGrid w:val="0"/>
                <w:sz w:val="21"/>
                <w:szCs w:val="21"/>
                <w:u w:val="single"/>
                <w:vertAlign w:val="superscript"/>
              </w:rPr>
              <w:t>3</w:t>
            </w:r>
            <w:r>
              <w:rPr>
                <w:snapToGrid w:val="0"/>
                <w:sz w:val="21"/>
                <w:szCs w:val="21"/>
                <w:u w:val="single"/>
              </w:rPr>
              <w:t>/d</w:t>
            </w:r>
            <w:r>
              <w:rPr>
                <w:rFonts w:hint="eastAsia"/>
                <w:snapToGrid w:val="0"/>
                <w:sz w:val="21"/>
                <w:szCs w:val="21"/>
                <w:u w:val="single"/>
              </w:rPr>
              <w:t>，处理工艺：隔油池</w:t>
            </w:r>
            <w:r>
              <w:rPr>
                <w:snapToGrid w:val="0"/>
                <w:sz w:val="21"/>
                <w:szCs w:val="21"/>
                <w:u w:val="single"/>
              </w:rPr>
              <w:t>+</w:t>
            </w:r>
            <w:r>
              <w:rPr>
                <w:rFonts w:hint="eastAsia"/>
                <w:snapToGrid w:val="0"/>
                <w:sz w:val="21"/>
                <w:szCs w:val="21"/>
                <w:u w:val="single"/>
                <w:lang w:val="zh-CN"/>
              </w:rPr>
              <w:t>化粪池</w:t>
            </w:r>
            <w:r>
              <w:rPr>
                <w:snapToGrid w:val="0"/>
                <w:sz w:val="21"/>
                <w:szCs w:val="21"/>
                <w:u w:val="single"/>
                <w:lang w:val="zh-CN"/>
              </w:rPr>
              <w:t>+</w:t>
            </w:r>
            <w:r>
              <w:rPr>
                <w:rFonts w:hint="eastAsia"/>
                <w:snapToGrid w:val="0"/>
                <w:sz w:val="21"/>
                <w:szCs w:val="21"/>
                <w:u w:val="single"/>
                <w:lang w:val="zh-CN"/>
              </w:rPr>
              <w:t>沉淀</w:t>
            </w:r>
            <w:r>
              <w:rPr>
                <w:snapToGrid w:val="0"/>
                <w:sz w:val="21"/>
                <w:szCs w:val="21"/>
                <w:u w:val="single"/>
                <w:lang w:val="zh-CN"/>
              </w:rPr>
              <w:t>+</w:t>
            </w:r>
            <w:r>
              <w:rPr>
                <w:rFonts w:hint="eastAsia"/>
                <w:snapToGrid w:val="0"/>
                <w:sz w:val="21"/>
                <w:szCs w:val="21"/>
                <w:u w:val="single"/>
                <w:lang w:val="zh-CN"/>
              </w:rPr>
              <w:t>消毒</w:t>
            </w:r>
          </w:p>
        </w:tc>
        <w:tc>
          <w:tcPr>
            <w:tcW w:w="1757" w:type="dxa"/>
            <w:tcBorders>
              <w:top w:val="single" w:color="auto" w:sz="4" w:space="0"/>
              <w:left w:val="single" w:color="auto" w:sz="4" w:space="0"/>
              <w:bottom w:val="single" w:color="auto" w:sz="4" w:space="0"/>
              <w:right w:val="single" w:color="auto" w:sz="8" w:space="0"/>
            </w:tcBorders>
            <w:vAlign w:val="center"/>
          </w:tcPr>
          <w:p w14:paraId="580EBB2E">
            <w:pPr>
              <w:adjustRightInd w:val="0"/>
              <w:snapToGrid w:val="0"/>
              <w:spacing w:line="240" w:lineRule="auto"/>
              <w:jc w:val="center"/>
              <w:rPr>
                <w:sz w:val="21"/>
                <w:szCs w:val="21"/>
                <w:u w:val="single"/>
              </w:rPr>
            </w:pPr>
            <w:r>
              <w:rPr>
                <w:rFonts w:hint="eastAsia"/>
                <w:kern w:val="0"/>
                <w:sz w:val="21"/>
                <w:szCs w:val="21"/>
                <w:u w:val="single"/>
              </w:rPr>
              <w:t>《医疗机构污水污染物排放标准》（</w:t>
            </w:r>
            <w:r>
              <w:rPr>
                <w:kern w:val="0"/>
                <w:sz w:val="21"/>
                <w:szCs w:val="21"/>
                <w:u w:val="single"/>
              </w:rPr>
              <w:t>GB18466-2005</w:t>
            </w:r>
            <w:r>
              <w:rPr>
                <w:rFonts w:hint="eastAsia"/>
                <w:kern w:val="0"/>
                <w:sz w:val="21"/>
                <w:szCs w:val="21"/>
                <w:u w:val="single"/>
              </w:rPr>
              <w:t>）中表</w:t>
            </w:r>
            <w:r>
              <w:rPr>
                <w:kern w:val="0"/>
                <w:sz w:val="21"/>
                <w:szCs w:val="21"/>
                <w:u w:val="single"/>
              </w:rPr>
              <w:t xml:space="preserve">2 </w:t>
            </w:r>
            <w:r>
              <w:rPr>
                <w:rFonts w:hint="eastAsia"/>
                <w:kern w:val="0"/>
                <w:sz w:val="21"/>
                <w:szCs w:val="21"/>
                <w:u w:val="single"/>
              </w:rPr>
              <w:t>预处理排放标准</w:t>
            </w:r>
          </w:p>
        </w:tc>
      </w:tr>
      <w:tr w14:paraId="3E766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6AE20C35">
            <w:pPr>
              <w:adjustRightInd w:val="0"/>
              <w:snapToGrid w:val="0"/>
              <w:spacing w:line="240" w:lineRule="auto"/>
              <w:jc w:val="center"/>
              <w:rPr>
                <w:sz w:val="21"/>
                <w:szCs w:val="21"/>
                <w:u w:val="single"/>
              </w:rPr>
            </w:pPr>
            <w:r>
              <w:rPr>
                <w:rFonts w:hint="eastAsia"/>
                <w:sz w:val="21"/>
                <w:szCs w:val="21"/>
                <w:u w:val="single"/>
              </w:rPr>
              <w:t>声环境</w:t>
            </w:r>
          </w:p>
        </w:tc>
        <w:tc>
          <w:tcPr>
            <w:tcW w:w="1755" w:type="dxa"/>
            <w:tcBorders>
              <w:top w:val="single" w:color="auto" w:sz="4" w:space="0"/>
              <w:left w:val="single" w:color="auto" w:sz="4" w:space="0"/>
              <w:bottom w:val="single" w:color="auto" w:sz="4" w:space="0"/>
              <w:right w:val="single" w:color="auto" w:sz="4" w:space="0"/>
            </w:tcBorders>
            <w:vAlign w:val="center"/>
          </w:tcPr>
          <w:p w14:paraId="7CFB40CA">
            <w:pPr>
              <w:adjustRightInd w:val="0"/>
              <w:snapToGrid w:val="0"/>
              <w:spacing w:line="240" w:lineRule="auto"/>
              <w:jc w:val="center"/>
              <w:rPr>
                <w:sz w:val="21"/>
                <w:szCs w:val="21"/>
                <w:u w:val="single"/>
              </w:rPr>
            </w:pPr>
            <w:r>
              <w:rPr>
                <w:rFonts w:hint="eastAsia"/>
                <w:sz w:val="21"/>
                <w:szCs w:val="21"/>
                <w:u w:val="single"/>
              </w:rPr>
              <w:t>厂界四周</w:t>
            </w:r>
          </w:p>
        </w:tc>
        <w:tc>
          <w:tcPr>
            <w:tcW w:w="1755" w:type="dxa"/>
            <w:tcBorders>
              <w:top w:val="single" w:color="auto" w:sz="4" w:space="0"/>
              <w:left w:val="single" w:color="auto" w:sz="4" w:space="0"/>
              <w:bottom w:val="single" w:color="auto" w:sz="4" w:space="0"/>
              <w:right w:val="single" w:color="auto" w:sz="4" w:space="0"/>
            </w:tcBorders>
            <w:vAlign w:val="center"/>
          </w:tcPr>
          <w:p w14:paraId="4DF1892E">
            <w:pPr>
              <w:adjustRightInd w:val="0"/>
              <w:snapToGrid w:val="0"/>
              <w:spacing w:line="240" w:lineRule="auto"/>
              <w:jc w:val="center"/>
              <w:rPr>
                <w:sz w:val="21"/>
                <w:szCs w:val="21"/>
                <w:u w:val="single"/>
              </w:rPr>
            </w:pPr>
            <w:r>
              <w:rPr>
                <w:rFonts w:hint="eastAsia"/>
                <w:sz w:val="21"/>
                <w:szCs w:val="21"/>
                <w:u w:val="single"/>
              </w:rPr>
              <w:t>等效连续</w:t>
            </w:r>
            <w:r>
              <w:rPr>
                <w:sz w:val="21"/>
                <w:szCs w:val="21"/>
                <w:u w:val="single"/>
              </w:rPr>
              <w:t xml:space="preserve"> A </w:t>
            </w:r>
          </w:p>
          <w:p w14:paraId="46289708">
            <w:pPr>
              <w:adjustRightInd w:val="0"/>
              <w:snapToGrid w:val="0"/>
              <w:spacing w:line="240" w:lineRule="auto"/>
              <w:jc w:val="center"/>
              <w:rPr>
                <w:sz w:val="21"/>
                <w:szCs w:val="21"/>
                <w:u w:val="single"/>
              </w:rPr>
            </w:pPr>
            <w:r>
              <w:rPr>
                <w:rFonts w:hint="eastAsia"/>
                <w:sz w:val="21"/>
                <w:szCs w:val="21"/>
                <w:u w:val="single"/>
              </w:rPr>
              <w:t>级声</w:t>
            </w:r>
          </w:p>
        </w:tc>
        <w:tc>
          <w:tcPr>
            <w:tcW w:w="1755" w:type="dxa"/>
            <w:tcBorders>
              <w:top w:val="single" w:color="auto" w:sz="4" w:space="0"/>
              <w:left w:val="single" w:color="auto" w:sz="4" w:space="0"/>
              <w:bottom w:val="single" w:color="auto" w:sz="4" w:space="0"/>
              <w:right w:val="single" w:color="auto" w:sz="4" w:space="0"/>
            </w:tcBorders>
            <w:vAlign w:val="center"/>
          </w:tcPr>
          <w:p w14:paraId="1E36E846">
            <w:pPr>
              <w:adjustRightInd w:val="0"/>
              <w:snapToGrid w:val="0"/>
              <w:spacing w:line="240" w:lineRule="auto"/>
              <w:jc w:val="center"/>
              <w:rPr>
                <w:sz w:val="21"/>
                <w:szCs w:val="21"/>
                <w:u w:val="single"/>
              </w:rPr>
            </w:pPr>
            <w:r>
              <w:rPr>
                <w:rFonts w:hint="eastAsia"/>
                <w:sz w:val="21"/>
                <w:szCs w:val="21"/>
                <w:u w:val="single"/>
              </w:rPr>
              <w:t>选用低噪声设备、基础减振、隔声、消声</w:t>
            </w:r>
          </w:p>
        </w:tc>
        <w:tc>
          <w:tcPr>
            <w:tcW w:w="1757" w:type="dxa"/>
            <w:tcBorders>
              <w:top w:val="single" w:color="auto" w:sz="4" w:space="0"/>
              <w:left w:val="single" w:color="auto" w:sz="4" w:space="0"/>
              <w:bottom w:val="single" w:color="auto" w:sz="4" w:space="0"/>
              <w:right w:val="single" w:color="auto" w:sz="8" w:space="0"/>
            </w:tcBorders>
            <w:vAlign w:val="center"/>
          </w:tcPr>
          <w:p w14:paraId="3B797B27">
            <w:pPr>
              <w:adjustRightInd w:val="0"/>
              <w:snapToGrid w:val="0"/>
              <w:spacing w:line="240" w:lineRule="auto"/>
              <w:jc w:val="center"/>
              <w:rPr>
                <w:sz w:val="21"/>
                <w:szCs w:val="21"/>
                <w:u w:val="single"/>
              </w:rPr>
            </w:pPr>
            <w:r>
              <w:rPr>
                <w:rFonts w:hint="eastAsia"/>
                <w:sz w:val="21"/>
                <w:szCs w:val="21"/>
                <w:u w:val="single"/>
              </w:rPr>
              <w:t>《工业企业厂界环境噪声排放标准》（</w:t>
            </w:r>
            <w:r>
              <w:rPr>
                <w:sz w:val="21"/>
                <w:szCs w:val="21"/>
                <w:u w:val="single"/>
              </w:rPr>
              <w:t>GB12348-2008</w:t>
            </w:r>
            <w:r>
              <w:rPr>
                <w:rFonts w:hint="eastAsia"/>
                <w:sz w:val="21"/>
                <w:szCs w:val="21"/>
                <w:u w:val="single"/>
              </w:rPr>
              <w:t>）中的</w:t>
            </w:r>
            <w:r>
              <w:rPr>
                <w:sz w:val="21"/>
                <w:szCs w:val="21"/>
                <w:u w:val="single"/>
              </w:rPr>
              <w:t>2</w:t>
            </w:r>
            <w:r>
              <w:rPr>
                <w:rFonts w:hint="eastAsia"/>
                <w:sz w:val="21"/>
                <w:szCs w:val="21"/>
                <w:u w:val="single"/>
              </w:rPr>
              <w:t>类标准</w:t>
            </w:r>
          </w:p>
        </w:tc>
      </w:tr>
      <w:tr w14:paraId="1F0CF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5FD02BC0">
            <w:pPr>
              <w:adjustRightInd w:val="0"/>
              <w:snapToGrid w:val="0"/>
              <w:spacing w:line="240" w:lineRule="auto"/>
              <w:jc w:val="center"/>
              <w:rPr>
                <w:sz w:val="21"/>
                <w:szCs w:val="21"/>
                <w:u w:val="single"/>
              </w:rPr>
            </w:pPr>
            <w:r>
              <w:rPr>
                <w:rFonts w:hint="eastAsia"/>
                <w:sz w:val="21"/>
                <w:szCs w:val="21"/>
                <w:u w:val="single"/>
              </w:rPr>
              <w:t>电磁辐射</w:t>
            </w:r>
          </w:p>
        </w:tc>
        <w:tc>
          <w:tcPr>
            <w:tcW w:w="1755" w:type="dxa"/>
            <w:tcBorders>
              <w:top w:val="single" w:color="auto" w:sz="4" w:space="0"/>
              <w:left w:val="single" w:color="auto" w:sz="4" w:space="0"/>
              <w:bottom w:val="single" w:color="auto" w:sz="4" w:space="0"/>
              <w:right w:val="single" w:color="auto" w:sz="4" w:space="0"/>
            </w:tcBorders>
            <w:vAlign w:val="center"/>
          </w:tcPr>
          <w:p w14:paraId="502B3E37">
            <w:pPr>
              <w:adjustRightInd w:val="0"/>
              <w:snapToGrid w:val="0"/>
              <w:spacing w:line="240" w:lineRule="auto"/>
              <w:jc w:val="center"/>
              <w:rPr>
                <w:sz w:val="21"/>
                <w:szCs w:val="21"/>
                <w:u w:val="single"/>
              </w:rPr>
            </w:pPr>
            <w:r>
              <w:rPr>
                <w:sz w:val="21"/>
                <w:szCs w:val="21"/>
                <w:u w:val="single"/>
              </w:rPr>
              <w:t>/</w:t>
            </w:r>
          </w:p>
        </w:tc>
        <w:tc>
          <w:tcPr>
            <w:tcW w:w="1755" w:type="dxa"/>
            <w:tcBorders>
              <w:top w:val="single" w:color="auto" w:sz="4" w:space="0"/>
              <w:left w:val="single" w:color="auto" w:sz="4" w:space="0"/>
              <w:bottom w:val="single" w:color="auto" w:sz="4" w:space="0"/>
              <w:right w:val="single" w:color="auto" w:sz="4" w:space="0"/>
            </w:tcBorders>
            <w:vAlign w:val="center"/>
          </w:tcPr>
          <w:p w14:paraId="25FE992D">
            <w:pPr>
              <w:adjustRightInd w:val="0"/>
              <w:snapToGrid w:val="0"/>
              <w:spacing w:line="240" w:lineRule="auto"/>
              <w:jc w:val="center"/>
              <w:rPr>
                <w:sz w:val="21"/>
                <w:szCs w:val="21"/>
                <w:u w:val="single"/>
              </w:rPr>
            </w:pPr>
            <w:r>
              <w:rPr>
                <w:sz w:val="21"/>
                <w:szCs w:val="21"/>
                <w:u w:val="single"/>
              </w:rPr>
              <w:t>/</w:t>
            </w:r>
          </w:p>
        </w:tc>
        <w:tc>
          <w:tcPr>
            <w:tcW w:w="1755" w:type="dxa"/>
            <w:tcBorders>
              <w:top w:val="single" w:color="auto" w:sz="4" w:space="0"/>
              <w:left w:val="single" w:color="auto" w:sz="4" w:space="0"/>
              <w:bottom w:val="single" w:color="auto" w:sz="4" w:space="0"/>
              <w:right w:val="single" w:color="auto" w:sz="4" w:space="0"/>
            </w:tcBorders>
            <w:vAlign w:val="center"/>
          </w:tcPr>
          <w:p w14:paraId="33471AFB">
            <w:pPr>
              <w:adjustRightInd w:val="0"/>
              <w:snapToGrid w:val="0"/>
              <w:spacing w:line="240" w:lineRule="auto"/>
              <w:jc w:val="center"/>
              <w:rPr>
                <w:sz w:val="21"/>
                <w:szCs w:val="21"/>
                <w:u w:val="single"/>
              </w:rPr>
            </w:pPr>
            <w:r>
              <w:rPr>
                <w:sz w:val="21"/>
                <w:szCs w:val="21"/>
                <w:u w:val="single"/>
              </w:rPr>
              <w:t>/</w:t>
            </w:r>
          </w:p>
        </w:tc>
        <w:tc>
          <w:tcPr>
            <w:tcW w:w="1757" w:type="dxa"/>
            <w:tcBorders>
              <w:top w:val="single" w:color="auto" w:sz="4" w:space="0"/>
              <w:left w:val="single" w:color="auto" w:sz="4" w:space="0"/>
              <w:bottom w:val="single" w:color="auto" w:sz="4" w:space="0"/>
              <w:right w:val="single" w:color="auto" w:sz="8" w:space="0"/>
            </w:tcBorders>
            <w:vAlign w:val="center"/>
          </w:tcPr>
          <w:p w14:paraId="49E2DB89">
            <w:pPr>
              <w:adjustRightInd w:val="0"/>
              <w:snapToGrid w:val="0"/>
              <w:spacing w:line="240" w:lineRule="auto"/>
              <w:jc w:val="center"/>
              <w:rPr>
                <w:sz w:val="21"/>
                <w:szCs w:val="21"/>
                <w:u w:val="single"/>
              </w:rPr>
            </w:pPr>
            <w:r>
              <w:rPr>
                <w:sz w:val="21"/>
                <w:szCs w:val="21"/>
                <w:u w:val="single"/>
              </w:rPr>
              <w:t>/</w:t>
            </w:r>
          </w:p>
        </w:tc>
      </w:tr>
      <w:tr w14:paraId="48FE8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4EFE7C44">
            <w:pPr>
              <w:adjustRightInd w:val="0"/>
              <w:snapToGrid w:val="0"/>
              <w:spacing w:line="240" w:lineRule="auto"/>
              <w:jc w:val="center"/>
              <w:rPr>
                <w:sz w:val="21"/>
                <w:szCs w:val="21"/>
                <w:u w:val="single"/>
              </w:rPr>
            </w:pPr>
            <w:r>
              <w:rPr>
                <w:rFonts w:hint="eastAsia"/>
                <w:sz w:val="21"/>
                <w:szCs w:val="21"/>
                <w:u w:val="single"/>
              </w:rPr>
              <w:t>固体废物</w:t>
            </w:r>
          </w:p>
        </w:tc>
        <w:tc>
          <w:tcPr>
            <w:tcW w:w="7022" w:type="dxa"/>
            <w:gridSpan w:val="4"/>
            <w:tcBorders>
              <w:top w:val="single" w:color="auto" w:sz="4" w:space="0"/>
              <w:left w:val="single" w:color="auto" w:sz="4" w:space="0"/>
              <w:bottom w:val="single" w:color="auto" w:sz="4" w:space="0"/>
              <w:right w:val="single" w:color="auto" w:sz="8" w:space="0"/>
            </w:tcBorders>
            <w:vAlign w:val="center"/>
          </w:tcPr>
          <w:p w14:paraId="13F21439">
            <w:pPr>
              <w:adjustRightInd w:val="0"/>
              <w:snapToGrid w:val="0"/>
              <w:spacing w:line="240" w:lineRule="auto"/>
              <w:jc w:val="both"/>
              <w:rPr>
                <w:sz w:val="21"/>
                <w:szCs w:val="21"/>
                <w:u w:val="single"/>
              </w:rPr>
            </w:pPr>
            <w:r>
              <w:rPr>
                <w:rFonts w:hint="eastAsia"/>
                <w:sz w:val="21"/>
                <w:szCs w:val="21"/>
                <w:u w:val="single"/>
              </w:rPr>
              <w:t>医疗废物分类收集，临时贮存于危废暂存间，定期交由永州市医疗废物集中处置中心处置；一体化污水处理设备污泥浓缩干化消毒后应及时送交具有处置危险废物的资质单位进行处置；生活垃圾经垃圾桶收集后由当地环卫部门统一清运。</w:t>
            </w:r>
          </w:p>
        </w:tc>
      </w:tr>
      <w:tr w14:paraId="7620C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67BB0C66">
            <w:pPr>
              <w:adjustRightInd w:val="0"/>
              <w:snapToGrid w:val="0"/>
              <w:spacing w:line="240" w:lineRule="auto"/>
              <w:jc w:val="center"/>
              <w:rPr>
                <w:sz w:val="21"/>
                <w:szCs w:val="21"/>
                <w:u w:val="single"/>
              </w:rPr>
            </w:pPr>
            <w:r>
              <w:rPr>
                <w:rFonts w:hint="eastAsia"/>
                <w:sz w:val="21"/>
                <w:szCs w:val="21"/>
                <w:u w:val="single"/>
              </w:rPr>
              <w:t>土壤及地下水</w:t>
            </w:r>
          </w:p>
          <w:p w14:paraId="0DD78E08">
            <w:pPr>
              <w:adjustRightInd w:val="0"/>
              <w:snapToGrid w:val="0"/>
              <w:spacing w:line="240" w:lineRule="auto"/>
              <w:jc w:val="center"/>
              <w:rPr>
                <w:sz w:val="21"/>
                <w:szCs w:val="21"/>
                <w:u w:val="single"/>
              </w:rPr>
            </w:pPr>
            <w:r>
              <w:rPr>
                <w:rFonts w:hint="eastAsia"/>
                <w:sz w:val="21"/>
                <w:szCs w:val="21"/>
                <w:u w:val="single"/>
              </w:rPr>
              <w:t>污染防治措施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14:paraId="21708EBE">
            <w:pPr>
              <w:adjustRightInd w:val="0"/>
              <w:snapToGrid w:val="0"/>
              <w:spacing w:line="240" w:lineRule="auto"/>
              <w:jc w:val="center"/>
              <w:rPr>
                <w:sz w:val="21"/>
                <w:szCs w:val="21"/>
                <w:u w:val="single"/>
              </w:rPr>
            </w:pPr>
            <w:r>
              <w:rPr>
                <w:rFonts w:hint="eastAsia"/>
                <w:sz w:val="21"/>
                <w:szCs w:val="21"/>
                <w:u w:val="single"/>
              </w:rPr>
              <w:t>建设单位应确保做好医疗废物暂存间等容易引起土壤、地下水污</w:t>
            </w:r>
            <w:r>
              <w:rPr>
                <w:sz w:val="21"/>
                <w:szCs w:val="21"/>
                <w:u w:val="single"/>
              </w:rPr>
              <w:t xml:space="preserve"> </w:t>
            </w:r>
            <w:r>
              <w:rPr>
                <w:rFonts w:hint="eastAsia"/>
                <w:sz w:val="21"/>
                <w:szCs w:val="21"/>
                <w:u w:val="single"/>
              </w:rPr>
              <w:t>染的区域的管理，做好防渗、</w:t>
            </w:r>
            <w:r>
              <w:rPr>
                <w:sz w:val="21"/>
                <w:szCs w:val="21"/>
                <w:u w:val="single"/>
              </w:rPr>
              <w:t xml:space="preserve"> </w:t>
            </w:r>
            <w:r>
              <w:rPr>
                <w:rFonts w:hint="eastAsia"/>
                <w:sz w:val="21"/>
                <w:szCs w:val="21"/>
                <w:u w:val="single"/>
              </w:rPr>
              <w:t>防雨、防风、防淋等措施，定期</w:t>
            </w:r>
            <w:r>
              <w:rPr>
                <w:sz w:val="21"/>
                <w:szCs w:val="21"/>
                <w:u w:val="single"/>
              </w:rPr>
              <w:t xml:space="preserve"> </w:t>
            </w:r>
            <w:r>
              <w:rPr>
                <w:rFonts w:hint="eastAsia"/>
                <w:sz w:val="21"/>
                <w:szCs w:val="21"/>
                <w:u w:val="single"/>
              </w:rPr>
              <w:t>巡查，避免发生跑冒滴漏现象，如发现应立即采取应急措施，确</w:t>
            </w:r>
            <w:r>
              <w:rPr>
                <w:sz w:val="21"/>
                <w:szCs w:val="21"/>
                <w:u w:val="single"/>
              </w:rPr>
              <w:t xml:space="preserve"> </w:t>
            </w:r>
            <w:r>
              <w:rPr>
                <w:rFonts w:hint="eastAsia"/>
                <w:sz w:val="21"/>
                <w:szCs w:val="21"/>
                <w:u w:val="single"/>
              </w:rPr>
              <w:t>保不会对土壤及下水造成大的影响。</w:t>
            </w:r>
          </w:p>
        </w:tc>
      </w:tr>
      <w:tr w14:paraId="74692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637BE708">
            <w:pPr>
              <w:adjustRightInd w:val="0"/>
              <w:snapToGrid w:val="0"/>
              <w:spacing w:line="240" w:lineRule="auto"/>
              <w:jc w:val="center"/>
              <w:rPr>
                <w:sz w:val="21"/>
                <w:szCs w:val="21"/>
                <w:u w:val="single"/>
              </w:rPr>
            </w:pPr>
            <w:r>
              <w:rPr>
                <w:rFonts w:hint="eastAsia"/>
                <w:sz w:val="21"/>
                <w:szCs w:val="21"/>
                <w:u w:val="single"/>
              </w:rPr>
              <w:t>生态保护措施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14:paraId="235AFB58">
            <w:pPr>
              <w:adjustRightInd w:val="0"/>
              <w:snapToGrid w:val="0"/>
              <w:spacing w:line="240" w:lineRule="auto"/>
              <w:jc w:val="center"/>
              <w:rPr>
                <w:sz w:val="21"/>
                <w:szCs w:val="21"/>
                <w:u w:val="single"/>
              </w:rPr>
            </w:pPr>
            <w:r>
              <w:rPr>
                <w:sz w:val="21"/>
                <w:szCs w:val="21"/>
                <w:u w:val="single"/>
              </w:rPr>
              <w:t>/</w:t>
            </w:r>
          </w:p>
        </w:tc>
      </w:tr>
      <w:tr w14:paraId="42538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14:paraId="00DDEF98">
            <w:pPr>
              <w:adjustRightInd w:val="0"/>
              <w:snapToGrid w:val="0"/>
              <w:spacing w:line="240" w:lineRule="auto"/>
              <w:jc w:val="center"/>
              <w:rPr>
                <w:spacing w:val="-8"/>
                <w:sz w:val="21"/>
                <w:szCs w:val="21"/>
                <w:u w:val="single"/>
              </w:rPr>
            </w:pPr>
            <w:r>
              <w:rPr>
                <w:rFonts w:hint="eastAsia"/>
                <w:spacing w:val="-8"/>
                <w:sz w:val="21"/>
                <w:szCs w:val="21"/>
                <w:u w:val="single"/>
              </w:rPr>
              <w:t>环境风险</w:t>
            </w:r>
          </w:p>
          <w:p w14:paraId="5D3D5423">
            <w:pPr>
              <w:adjustRightInd w:val="0"/>
              <w:snapToGrid w:val="0"/>
              <w:spacing w:line="240" w:lineRule="auto"/>
              <w:jc w:val="center"/>
              <w:rPr>
                <w:spacing w:val="-8"/>
                <w:sz w:val="21"/>
                <w:szCs w:val="21"/>
                <w:u w:val="single"/>
              </w:rPr>
            </w:pPr>
            <w:r>
              <w:rPr>
                <w:rFonts w:hint="eastAsia"/>
                <w:spacing w:val="-8"/>
                <w:sz w:val="21"/>
                <w:szCs w:val="21"/>
                <w:u w:val="single"/>
              </w:rPr>
              <w:t>防范措施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14:paraId="14D1AC38">
            <w:pPr>
              <w:spacing w:line="240" w:lineRule="auto"/>
              <w:ind w:firstLine="420" w:firstLineChars="200"/>
              <w:jc w:val="both"/>
              <w:rPr>
                <w:snapToGrid w:val="0"/>
                <w:sz w:val="21"/>
                <w:szCs w:val="21"/>
                <w:u w:val="single"/>
              </w:rPr>
            </w:pPr>
            <w:r>
              <w:rPr>
                <w:snapToGrid w:val="0"/>
                <w:sz w:val="21"/>
                <w:szCs w:val="21"/>
                <w:u w:val="single"/>
              </w:rPr>
              <w:t>1</w:t>
            </w:r>
            <w:r>
              <w:rPr>
                <w:rFonts w:hint="eastAsia"/>
                <w:snapToGrid w:val="0"/>
                <w:sz w:val="21"/>
                <w:szCs w:val="21"/>
                <w:u w:val="single"/>
              </w:rPr>
              <w:t>、酒精泄漏风险防范措施：酒精储存区禁止明火，设置标识标牌，设置通风口。建立专人生产责任制度。明确责任，针对厂区化学品贮存、使用区域加强巡视。</w:t>
            </w:r>
          </w:p>
          <w:p w14:paraId="4AC895B1">
            <w:pPr>
              <w:spacing w:line="240" w:lineRule="auto"/>
              <w:ind w:firstLine="420" w:firstLineChars="200"/>
              <w:jc w:val="both"/>
              <w:rPr>
                <w:snapToGrid w:val="0"/>
                <w:sz w:val="21"/>
                <w:szCs w:val="21"/>
                <w:u w:val="single"/>
              </w:rPr>
            </w:pPr>
            <w:r>
              <w:rPr>
                <w:snapToGrid w:val="0"/>
                <w:sz w:val="21"/>
                <w:szCs w:val="21"/>
                <w:u w:val="single"/>
              </w:rPr>
              <w:t>2</w:t>
            </w:r>
            <w:r>
              <w:rPr>
                <w:rFonts w:hint="eastAsia"/>
                <w:snapToGrid w:val="0"/>
                <w:sz w:val="21"/>
                <w:szCs w:val="21"/>
                <w:u w:val="single"/>
              </w:rPr>
              <w:t>、危险废物泄露风险防范措施：医疗废物储存间需设置标识标牌，建立危废管理制度并上墙。建立专人生产责任制度。明确责任，加强巡视。定期清理危险废物，设置台账。</w:t>
            </w:r>
          </w:p>
          <w:p w14:paraId="0C238DBB">
            <w:pPr>
              <w:spacing w:line="240" w:lineRule="auto"/>
              <w:ind w:firstLine="420" w:firstLineChars="200"/>
              <w:jc w:val="both"/>
              <w:rPr>
                <w:snapToGrid w:val="0"/>
                <w:sz w:val="21"/>
                <w:szCs w:val="21"/>
                <w:u w:val="single"/>
              </w:rPr>
            </w:pPr>
            <w:r>
              <w:rPr>
                <w:snapToGrid w:val="0"/>
                <w:sz w:val="21"/>
                <w:szCs w:val="21"/>
                <w:u w:val="single"/>
              </w:rPr>
              <w:t>3</w:t>
            </w:r>
            <w:r>
              <w:rPr>
                <w:rFonts w:hint="eastAsia"/>
                <w:snapToGrid w:val="0"/>
                <w:sz w:val="21"/>
                <w:szCs w:val="21"/>
                <w:u w:val="single"/>
              </w:rPr>
              <w:t>、污水事故排放风险防范措施：</w:t>
            </w:r>
          </w:p>
          <w:p w14:paraId="4B00FE06">
            <w:pPr>
              <w:spacing w:line="240" w:lineRule="auto"/>
              <w:ind w:firstLine="420" w:firstLineChars="200"/>
              <w:jc w:val="both"/>
              <w:rPr>
                <w:snapToGrid w:val="0"/>
                <w:sz w:val="21"/>
                <w:szCs w:val="21"/>
                <w:u w:val="single"/>
              </w:rPr>
            </w:pPr>
            <w:r>
              <w:rPr>
                <w:rFonts w:hint="eastAsia"/>
                <w:snapToGrid w:val="0"/>
                <w:sz w:val="21"/>
                <w:szCs w:val="21"/>
                <w:u w:val="single"/>
              </w:rPr>
              <w:t>①加强设备管理，认真做好设备，管道，阀门的检查工作，对存在安全隐患的设备、管道、阀门应及时进行修理或更换。</w:t>
            </w:r>
          </w:p>
          <w:p w14:paraId="001E03C6">
            <w:pPr>
              <w:spacing w:line="240" w:lineRule="auto"/>
              <w:ind w:firstLine="420" w:firstLineChars="200"/>
              <w:jc w:val="both"/>
              <w:rPr>
                <w:snapToGrid w:val="0"/>
                <w:sz w:val="21"/>
                <w:szCs w:val="21"/>
                <w:u w:val="single"/>
              </w:rPr>
            </w:pPr>
            <w:r>
              <w:rPr>
                <w:rFonts w:hint="eastAsia"/>
                <w:snapToGrid w:val="0"/>
                <w:sz w:val="21"/>
                <w:szCs w:val="21"/>
                <w:u w:val="single"/>
              </w:rPr>
              <w:t>②在项目建设过程加上选用优质设备，对污水处理系统各种机械电器、仪表等设备，必须选择质量优良、事故率低、便于维修的产品。对于水泵、污泥泵等关键设备一用一备，易损部件要有备用件，在出现事故时能及时更换。加强设施的维护和管理，提高设备的完好率，关键设备要配备足够的备件，一旦事故发生能够及时处理。</w:t>
            </w:r>
          </w:p>
          <w:p w14:paraId="562AD772">
            <w:pPr>
              <w:spacing w:line="240" w:lineRule="auto"/>
              <w:ind w:firstLine="420" w:firstLineChars="200"/>
              <w:jc w:val="both"/>
              <w:rPr>
                <w:snapToGrid w:val="0"/>
                <w:sz w:val="21"/>
                <w:szCs w:val="21"/>
                <w:u w:val="single"/>
              </w:rPr>
            </w:pPr>
            <w:r>
              <w:rPr>
                <w:rFonts w:hint="eastAsia"/>
                <w:snapToGrid w:val="0"/>
                <w:sz w:val="21"/>
                <w:szCs w:val="21"/>
                <w:u w:val="single"/>
              </w:rPr>
              <w:t>③项目污水处理站应设有事故应急池。根据《医院污水处理工程技术规范》（</w:t>
            </w:r>
            <w:r>
              <w:rPr>
                <w:snapToGrid w:val="0"/>
                <w:sz w:val="21"/>
                <w:szCs w:val="21"/>
                <w:u w:val="single"/>
              </w:rPr>
              <w:t>HJ2029-2013</w:t>
            </w:r>
            <w:r>
              <w:rPr>
                <w:rFonts w:hint="eastAsia"/>
                <w:snapToGrid w:val="0"/>
                <w:sz w:val="21"/>
                <w:szCs w:val="21"/>
                <w:u w:val="single"/>
              </w:rPr>
              <w:t>），传染医院污水处理工程应急池不小于日排放量的</w:t>
            </w:r>
            <w:r>
              <w:rPr>
                <w:snapToGrid w:val="0"/>
                <w:sz w:val="21"/>
                <w:szCs w:val="21"/>
                <w:u w:val="single"/>
              </w:rPr>
              <w:t>100%</w:t>
            </w:r>
            <w:r>
              <w:rPr>
                <w:rFonts w:hint="eastAsia"/>
                <w:snapToGrid w:val="0"/>
                <w:sz w:val="21"/>
                <w:szCs w:val="21"/>
                <w:u w:val="single"/>
              </w:rPr>
              <w:t>，非传染医院污水处理工程应急池不小于日排放量的</w:t>
            </w:r>
            <w:r>
              <w:rPr>
                <w:snapToGrid w:val="0"/>
                <w:sz w:val="21"/>
                <w:szCs w:val="21"/>
                <w:u w:val="single"/>
              </w:rPr>
              <w:t>30%</w:t>
            </w:r>
            <w:r>
              <w:rPr>
                <w:rFonts w:hint="eastAsia"/>
                <w:snapToGrid w:val="0"/>
                <w:sz w:val="21"/>
                <w:szCs w:val="21"/>
                <w:u w:val="single"/>
              </w:rPr>
              <w:t>，项目医疗废水产生量为</w:t>
            </w:r>
            <w:r>
              <w:rPr>
                <w:snapToGrid w:val="0"/>
                <w:sz w:val="21"/>
                <w:szCs w:val="21"/>
                <w:u w:val="single"/>
              </w:rPr>
              <w:t>8.5m</w:t>
            </w:r>
            <w:r>
              <w:rPr>
                <w:rFonts w:hint="eastAsia"/>
                <w:snapToGrid w:val="0"/>
                <w:sz w:val="21"/>
                <w:szCs w:val="21"/>
                <w:u w:val="single"/>
              </w:rPr>
              <w:t>³</w:t>
            </w:r>
            <w:r>
              <w:rPr>
                <w:snapToGrid w:val="0"/>
                <w:sz w:val="21"/>
                <w:szCs w:val="21"/>
                <w:u w:val="single"/>
              </w:rPr>
              <w:t>/d</w:t>
            </w:r>
            <w:r>
              <w:rPr>
                <w:rFonts w:hint="eastAsia"/>
                <w:snapToGrid w:val="0"/>
                <w:sz w:val="21"/>
                <w:szCs w:val="21"/>
                <w:u w:val="single"/>
              </w:rPr>
              <w:t>，本次改扩建卫生院在污水处理系统排口处设置一个</w:t>
            </w:r>
            <w:r>
              <w:rPr>
                <w:snapToGrid w:val="0"/>
                <w:sz w:val="21"/>
                <w:szCs w:val="21"/>
                <w:u w:val="single"/>
              </w:rPr>
              <w:t>5m3</w:t>
            </w:r>
            <w:r>
              <w:rPr>
                <w:rFonts w:hint="eastAsia"/>
                <w:snapToGrid w:val="0"/>
                <w:sz w:val="21"/>
                <w:szCs w:val="21"/>
                <w:u w:val="single"/>
              </w:rPr>
              <w:t>事故应急池，根据计算，事故应急池满足医院污水处理工程技术规范》（</w:t>
            </w:r>
            <w:r>
              <w:rPr>
                <w:snapToGrid w:val="0"/>
                <w:sz w:val="21"/>
                <w:szCs w:val="21"/>
                <w:u w:val="single"/>
              </w:rPr>
              <w:t>HJ2029-2013</w:t>
            </w:r>
            <w:r>
              <w:rPr>
                <w:rFonts w:hint="eastAsia"/>
                <w:snapToGrid w:val="0"/>
                <w:sz w:val="21"/>
                <w:szCs w:val="21"/>
                <w:u w:val="single"/>
              </w:rPr>
              <w:t>）中传染医院污水处理工程应急池不小于日排放量的</w:t>
            </w:r>
            <w:r>
              <w:rPr>
                <w:snapToGrid w:val="0"/>
                <w:sz w:val="21"/>
                <w:szCs w:val="21"/>
                <w:u w:val="single"/>
              </w:rPr>
              <w:t>100%</w:t>
            </w:r>
            <w:r>
              <w:rPr>
                <w:rFonts w:hint="eastAsia"/>
                <w:snapToGrid w:val="0"/>
                <w:sz w:val="21"/>
                <w:szCs w:val="21"/>
                <w:u w:val="single"/>
              </w:rPr>
              <w:t>，非传染医院污水处理工程应急池不小于日排放量的</w:t>
            </w:r>
            <w:r>
              <w:rPr>
                <w:snapToGrid w:val="0"/>
                <w:sz w:val="21"/>
                <w:szCs w:val="21"/>
                <w:u w:val="single"/>
              </w:rPr>
              <w:t>30%</w:t>
            </w:r>
            <w:r>
              <w:rPr>
                <w:rFonts w:hint="eastAsia"/>
                <w:snapToGrid w:val="0"/>
                <w:sz w:val="21"/>
                <w:szCs w:val="21"/>
                <w:u w:val="single"/>
              </w:rPr>
              <w:t>要求。项目营运期应加强污水处理站的日常管理及监测，如果在运行过程中发现污水处理站出水水质超标，应立即将污水排入事故池中，并对污水处理设备进行维修，待污水处理站回复运行后，再将事故池的污水泵入污水处理站进行处理。</w:t>
            </w:r>
          </w:p>
          <w:p w14:paraId="1A83835F">
            <w:pPr>
              <w:spacing w:line="240" w:lineRule="auto"/>
              <w:ind w:firstLine="420" w:firstLineChars="200"/>
              <w:jc w:val="both"/>
              <w:rPr>
                <w:rFonts w:hint="eastAsia"/>
                <w:sz w:val="21"/>
                <w:szCs w:val="21"/>
                <w:u w:val="single"/>
              </w:rPr>
            </w:pPr>
            <w:r>
              <w:rPr>
                <w:rFonts w:hint="eastAsia"/>
                <w:sz w:val="21"/>
                <w:szCs w:val="21"/>
                <w:u w:val="single"/>
              </w:rPr>
              <w:t>④经过查询，二氧化氯消毒粉具有高效杀菌能力，能够杀灭多种细菌、病毒和原生动物，有效去除水中的病原微生物。其次，二氧化氯消毒粉在处理过程中不会产生二次污染，且残余量低，对环境友好。但是当消毒粉AB剂同时混合在一起容易发生爆照，故污水处理站消毒粉AB剂严格执行分区暂存，严格执行分别将A剂和B剂溶于水后静置10分钟再混合在一起的要求。</w:t>
            </w:r>
          </w:p>
        </w:tc>
      </w:tr>
      <w:tr w14:paraId="6E66C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8" w:space="0"/>
              <w:bottom w:val="single" w:color="auto" w:sz="8" w:space="0"/>
              <w:right w:val="single" w:color="auto" w:sz="4" w:space="0"/>
            </w:tcBorders>
            <w:vAlign w:val="center"/>
          </w:tcPr>
          <w:p w14:paraId="1AA4E9FC">
            <w:pPr>
              <w:adjustRightInd w:val="0"/>
              <w:snapToGrid w:val="0"/>
              <w:spacing w:line="240" w:lineRule="auto"/>
              <w:jc w:val="center"/>
              <w:rPr>
                <w:spacing w:val="-8"/>
                <w:sz w:val="21"/>
                <w:szCs w:val="21"/>
                <w:u w:val="single"/>
              </w:rPr>
            </w:pPr>
            <w:r>
              <w:rPr>
                <w:rFonts w:hint="eastAsia"/>
                <w:spacing w:val="-8"/>
                <w:sz w:val="21"/>
                <w:szCs w:val="21"/>
                <w:u w:val="single"/>
              </w:rPr>
              <w:t>其他环境</w:t>
            </w:r>
          </w:p>
          <w:p w14:paraId="43B12DEE">
            <w:pPr>
              <w:adjustRightInd w:val="0"/>
              <w:snapToGrid w:val="0"/>
              <w:spacing w:line="240" w:lineRule="auto"/>
              <w:jc w:val="center"/>
              <w:rPr>
                <w:spacing w:val="-8"/>
                <w:sz w:val="21"/>
                <w:szCs w:val="21"/>
                <w:u w:val="single"/>
              </w:rPr>
            </w:pPr>
            <w:r>
              <w:rPr>
                <w:rFonts w:hint="eastAsia"/>
                <w:spacing w:val="-8"/>
                <w:sz w:val="21"/>
                <w:szCs w:val="21"/>
                <w:u w:val="single"/>
              </w:rPr>
              <w:t>管理要求</w:t>
            </w:r>
          </w:p>
        </w:tc>
        <w:tc>
          <w:tcPr>
            <w:tcW w:w="7022" w:type="dxa"/>
            <w:gridSpan w:val="4"/>
            <w:tcBorders>
              <w:top w:val="single" w:color="auto" w:sz="4" w:space="0"/>
              <w:left w:val="single" w:color="auto" w:sz="4" w:space="0"/>
              <w:bottom w:val="single" w:color="auto" w:sz="8" w:space="0"/>
              <w:right w:val="single" w:color="auto" w:sz="8" w:space="0"/>
            </w:tcBorders>
            <w:vAlign w:val="center"/>
          </w:tcPr>
          <w:p w14:paraId="7F3BE4F0">
            <w:pPr>
              <w:spacing w:line="240" w:lineRule="auto"/>
              <w:ind w:firstLine="420" w:firstLineChars="200"/>
              <w:jc w:val="both"/>
              <w:rPr>
                <w:snapToGrid w:val="0"/>
                <w:sz w:val="21"/>
                <w:szCs w:val="21"/>
                <w:u w:val="single"/>
              </w:rPr>
            </w:pPr>
            <w:r>
              <w:rPr>
                <w:rFonts w:hint="eastAsia"/>
                <w:snapToGrid w:val="0"/>
                <w:sz w:val="21"/>
                <w:szCs w:val="21"/>
                <w:u w:val="single"/>
              </w:rPr>
              <w:t>（</w:t>
            </w:r>
            <w:r>
              <w:rPr>
                <w:snapToGrid w:val="0"/>
                <w:sz w:val="21"/>
                <w:szCs w:val="21"/>
                <w:u w:val="single"/>
              </w:rPr>
              <w:t>1</w:t>
            </w:r>
            <w:r>
              <w:rPr>
                <w:rFonts w:hint="eastAsia"/>
                <w:snapToGrid w:val="0"/>
                <w:sz w:val="21"/>
                <w:szCs w:val="21"/>
                <w:u w:val="single"/>
              </w:rPr>
              <w:t>）竣工环境保护验收</w:t>
            </w:r>
          </w:p>
          <w:p w14:paraId="37CAD774">
            <w:pPr>
              <w:spacing w:line="240" w:lineRule="auto"/>
              <w:ind w:firstLine="420" w:firstLineChars="200"/>
              <w:jc w:val="both"/>
              <w:rPr>
                <w:snapToGrid w:val="0"/>
                <w:sz w:val="21"/>
                <w:szCs w:val="21"/>
                <w:u w:val="single"/>
              </w:rPr>
            </w:pPr>
            <w:r>
              <w:rPr>
                <w:rFonts w:hint="eastAsia"/>
                <w:snapToGrid w:val="0"/>
                <w:sz w:val="21"/>
                <w:szCs w:val="21"/>
                <w:u w:val="single"/>
              </w:rPr>
              <w:t>根据《建设项目竣工环境保护验收暂行办法》（国环规环评〔</w:t>
            </w:r>
            <w:r>
              <w:rPr>
                <w:snapToGrid w:val="0"/>
                <w:sz w:val="21"/>
                <w:szCs w:val="21"/>
                <w:u w:val="single"/>
              </w:rPr>
              <w:t>2017</w:t>
            </w:r>
            <w:r>
              <w:rPr>
                <w:rFonts w:hint="eastAsia"/>
                <w:snapToGrid w:val="0"/>
                <w:sz w:val="21"/>
                <w:szCs w:val="21"/>
                <w:u w:val="single"/>
              </w:rPr>
              <w:t>〕</w:t>
            </w:r>
            <w:r>
              <w:rPr>
                <w:snapToGrid w:val="0"/>
                <w:sz w:val="21"/>
                <w:szCs w:val="21"/>
                <w:u w:val="single"/>
              </w:rPr>
              <w:t xml:space="preserve">4 </w:t>
            </w:r>
            <w:r>
              <w:rPr>
                <w:rFonts w:hint="eastAsia"/>
                <w:snapToGrid w:val="0"/>
                <w:sz w:val="21"/>
                <w:szCs w:val="21"/>
                <w:u w:val="single"/>
              </w:rPr>
              <w:t>号）文件，建设单位作为建设项目竣工环境保护验收的责任主体，应当按照本办法规定的程序和标准，组织对配套建设的环境保护设施进行验收，并对验收内容、结论和所公开信息的真实性、准确性和完整性负责。建设项目配套建设的环境保护设施经验收合格，方可投入生产或者使用。</w:t>
            </w:r>
          </w:p>
          <w:p w14:paraId="7BB8582D">
            <w:pPr>
              <w:spacing w:line="240" w:lineRule="auto"/>
              <w:ind w:firstLine="420" w:firstLineChars="200"/>
              <w:jc w:val="both"/>
              <w:rPr>
                <w:snapToGrid w:val="0"/>
                <w:sz w:val="21"/>
                <w:szCs w:val="21"/>
                <w:u w:val="single"/>
              </w:rPr>
            </w:pPr>
            <w:r>
              <w:rPr>
                <w:rFonts w:hint="eastAsia"/>
                <w:snapToGrid w:val="0"/>
                <w:sz w:val="21"/>
                <w:szCs w:val="21"/>
                <w:u w:val="single"/>
              </w:rPr>
              <w:t>（</w:t>
            </w:r>
            <w:r>
              <w:rPr>
                <w:snapToGrid w:val="0"/>
                <w:sz w:val="21"/>
                <w:szCs w:val="21"/>
                <w:u w:val="single"/>
              </w:rPr>
              <w:t>2</w:t>
            </w:r>
            <w:r>
              <w:rPr>
                <w:rFonts w:hint="eastAsia"/>
                <w:snapToGrid w:val="0"/>
                <w:sz w:val="21"/>
                <w:szCs w:val="21"/>
                <w:u w:val="single"/>
              </w:rPr>
              <w:t>）排污许可</w:t>
            </w:r>
          </w:p>
          <w:p w14:paraId="6A1BAAC9">
            <w:pPr>
              <w:spacing w:line="240" w:lineRule="auto"/>
              <w:ind w:firstLine="420" w:firstLineChars="200"/>
              <w:jc w:val="both"/>
              <w:rPr>
                <w:snapToGrid w:val="0"/>
                <w:sz w:val="21"/>
                <w:szCs w:val="21"/>
                <w:u w:val="single"/>
              </w:rPr>
            </w:pPr>
            <w:r>
              <w:rPr>
                <w:rFonts w:hint="eastAsia"/>
                <w:snapToGrid w:val="0"/>
                <w:sz w:val="21"/>
                <w:szCs w:val="21"/>
                <w:u w:val="single"/>
              </w:rPr>
              <w:t>根据《排污许可管理办法》</w:t>
            </w:r>
            <w:r>
              <w:rPr>
                <w:snapToGrid w:val="0"/>
                <w:sz w:val="21"/>
                <w:szCs w:val="21"/>
                <w:u w:val="single"/>
              </w:rPr>
              <w:t>(</w:t>
            </w:r>
            <w:r>
              <w:rPr>
                <w:rFonts w:hint="eastAsia"/>
                <w:snapToGrid w:val="0"/>
                <w:sz w:val="21"/>
                <w:szCs w:val="21"/>
                <w:u w:val="single"/>
              </w:rPr>
              <w:t>试行</w:t>
            </w:r>
            <w:r>
              <w:rPr>
                <w:snapToGrid w:val="0"/>
                <w:sz w:val="21"/>
                <w:szCs w:val="21"/>
                <w:u w:val="single"/>
              </w:rPr>
              <w:t>) :</w:t>
            </w:r>
            <w:r>
              <w:rPr>
                <w:rFonts w:hint="eastAsia"/>
                <w:snapToGrid w:val="0"/>
                <w:sz w:val="21"/>
                <w:szCs w:val="21"/>
                <w:u w:val="single"/>
              </w:rPr>
              <w:t>第五条，实行排污许可重点管理或者简化管理的排污单位的具体范围，依照固定污染源排污许可分类管理名录规定执行。根据《固定污染源排污许可分类管理名录》</w:t>
            </w:r>
            <w:r>
              <w:rPr>
                <w:snapToGrid w:val="0"/>
                <w:sz w:val="21"/>
                <w:szCs w:val="21"/>
                <w:u w:val="single"/>
              </w:rPr>
              <w:t xml:space="preserve"> (2019 </w:t>
            </w:r>
            <w:r>
              <w:rPr>
                <w:rFonts w:hint="eastAsia"/>
                <w:snapToGrid w:val="0"/>
                <w:sz w:val="21"/>
                <w:szCs w:val="21"/>
                <w:u w:val="single"/>
              </w:rPr>
              <w:t>年版</w:t>
            </w:r>
            <w:r>
              <w:rPr>
                <w:snapToGrid w:val="0"/>
                <w:sz w:val="21"/>
                <w:szCs w:val="21"/>
                <w:u w:val="single"/>
              </w:rPr>
              <w:t xml:space="preserve">) </w:t>
            </w:r>
            <w:r>
              <w:rPr>
                <w:rFonts w:hint="eastAsia"/>
                <w:snapToGrid w:val="0"/>
                <w:sz w:val="21"/>
                <w:szCs w:val="21"/>
                <w:u w:val="single"/>
              </w:rPr>
              <w:t>，对应排污许可等级为“登记管理”。</w:t>
            </w:r>
          </w:p>
          <w:p w14:paraId="4273C559">
            <w:pPr>
              <w:spacing w:line="240" w:lineRule="auto"/>
              <w:ind w:firstLine="420" w:firstLineChars="200"/>
              <w:jc w:val="both"/>
              <w:rPr>
                <w:snapToGrid w:val="0"/>
                <w:sz w:val="21"/>
                <w:szCs w:val="21"/>
                <w:u w:val="single"/>
              </w:rPr>
            </w:pPr>
            <w:r>
              <w:rPr>
                <w:rFonts w:hint="eastAsia"/>
                <w:snapToGrid w:val="0"/>
                <w:sz w:val="21"/>
                <w:szCs w:val="21"/>
                <w:u w:val="single"/>
              </w:rPr>
              <w:t>实行登记管理的排污单位，不需要申请取得排污许可证，建设单位应自行在全国排污许可证管理信息平台填报排污登记表，登记基本信息、污染物排放去向、执行的污染物排放标准以及采取的污染防治措施等信息。</w:t>
            </w:r>
          </w:p>
        </w:tc>
      </w:tr>
    </w:tbl>
    <w:p w14:paraId="757DB8A4">
      <w:pPr>
        <w:sectPr>
          <w:pgSz w:w="11906" w:h="16838"/>
          <w:pgMar w:top="1440" w:right="1440" w:bottom="1440" w:left="1440" w:header="851" w:footer="992" w:gutter="0"/>
          <w:pgNumType w:fmt="numberInDash"/>
          <w:cols w:space="425" w:num="1"/>
          <w:docGrid w:type="lines" w:linePitch="312" w:charSpace="0"/>
        </w:sectPr>
      </w:pPr>
    </w:p>
    <w:p w14:paraId="0972959A">
      <w:pPr>
        <w:jc w:val="center"/>
        <w:outlineLvl w:val="0"/>
        <w:rPr>
          <w:b/>
          <w:bCs/>
          <w:color w:val="000000"/>
          <w:kern w:val="44"/>
          <w:sz w:val="30"/>
          <w:szCs w:val="30"/>
        </w:rPr>
      </w:pPr>
      <w:bookmarkStart w:id="82" w:name="_Toc21935"/>
      <w:bookmarkStart w:id="83" w:name="_Toc199260722"/>
      <w:bookmarkStart w:id="84" w:name="_Toc194068221"/>
      <w:bookmarkStart w:id="85" w:name="_Toc147539450"/>
      <w:bookmarkStart w:id="86" w:name="_Toc141772426"/>
      <w:bookmarkStart w:id="87" w:name="_Toc153736109"/>
      <w:bookmarkStart w:id="88" w:name="_Toc153731597"/>
      <w:bookmarkStart w:id="89" w:name="_Toc102048892"/>
      <w:bookmarkStart w:id="90" w:name="_Toc95293588"/>
      <w:bookmarkStart w:id="91" w:name="_Toc188001856"/>
      <w:r>
        <w:rPr>
          <w:rFonts w:hint="eastAsia"/>
          <w:b/>
          <w:bCs/>
          <w:color w:val="000000"/>
          <w:kern w:val="44"/>
          <w:sz w:val="30"/>
          <w:szCs w:val="30"/>
        </w:rPr>
        <w:t>六、结论</w:t>
      </w:r>
      <w:bookmarkEnd w:id="82"/>
      <w:bookmarkEnd w:id="83"/>
      <w:bookmarkEnd w:id="84"/>
      <w:bookmarkEnd w:id="85"/>
      <w:bookmarkEnd w:id="86"/>
      <w:bookmarkEnd w:id="87"/>
      <w:bookmarkEnd w:id="88"/>
      <w:bookmarkEnd w:id="89"/>
      <w:bookmarkEnd w:id="90"/>
      <w:bookmarkEnd w:id="91"/>
    </w:p>
    <w:tbl>
      <w:tblPr>
        <w:tblStyle w:val="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0DC48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42" w:type="dxa"/>
          </w:tcPr>
          <w:p w14:paraId="0BE1E7C0">
            <w:pPr>
              <w:ind w:firstLine="480" w:firstLineChars="200"/>
              <w:rPr>
                <w:kern w:val="0"/>
                <w:szCs w:val="20"/>
              </w:rPr>
            </w:pPr>
          </w:p>
          <w:p w14:paraId="74846A11">
            <w:pPr>
              <w:ind w:firstLine="480" w:firstLineChars="200"/>
              <w:rPr>
                <w:kern w:val="0"/>
                <w:szCs w:val="20"/>
              </w:rPr>
            </w:pPr>
          </w:p>
          <w:p w14:paraId="16E60CA8">
            <w:pPr>
              <w:ind w:firstLine="480" w:firstLineChars="200"/>
              <w:rPr>
                <w:kern w:val="0"/>
                <w:szCs w:val="20"/>
              </w:rPr>
            </w:pPr>
          </w:p>
          <w:p w14:paraId="128053E3">
            <w:pPr>
              <w:ind w:firstLine="480" w:firstLineChars="200"/>
              <w:rPr>
                <w:kern w:val="0"/>
                <w:szCs w:val="20"/>
              </w:rPr>
            </w:pPr>
          </w:p>
          <w:p w14:paraId="601EF08C">
            <w:pPr>
              <w:ind w:firstLine="480" w:firstLineChars="200"/>
              <w:rPr>
                <w:kern w:val="0"/>
                <w:szCs w:val="20"/>
              </w:rPr>
            </w:pPr>
          </w:p>
          <w:p w14:paraId="1DFF16D5">
            <w:pPr>
              <w:ind w:firstLine="480" w:firstLineChars="200"/>
              <w:rPr>
                <w:kern w:val="0"/>
                <w:szCs w:val="20"/>
              </w:rPr>
            </w:pPr>
          </w:p>
          <w:p w14:paraId="5E1BB967">
            <w:pPr>
              <w:ind w:firstLine="480" w:firstLineChars="200"/>
              <w:rPr>
                <w:kern w:val="0"/>
                <w:szCs w:val="20"/>
              </w:rPr>
            </w:pPr>
          </w:p>
          <w:p w14:paraId="68A47DF5">
            <w:pPr>
              <w:ind w:firstLine="480" w:firstLineChars="200"/>
              <w:rPr>
                <w:kern w:val="0"/>
                <w:szCs w:val="20"/>
              </w:rPr>
            </w:pPr>
          </w:p>
          <w:p w14:paraId="0980FC2B">
            <w:pPr>
              <w:ind w:firstLine="480" w:firstLineChars="200"/>
              <w:rPr>
                <w:kern w:val="0"/>
                <w:szCs w:val="20"/>
              </w:rPr>
            </w:pPr>
          </w:p>
          <w:p w14:paraId="3456C122">
            <w:pPr>
              <w:ind w:firstLine="480" w:firstLineChars="200"/>
              <w:rPr>
                <w:kern w:val="0"/>
                <w:szCs w:val="20"/>
              </w:rPr>
            </w:pPr>
          </w:p>
          <w:p w14:paraId="7F3C0213">
            <w:pPr>
              <w:ind w:firstLine="480" w:firstLineChars="200"/>
              <w:rPr>
                <w:kern w:val="0"/>
                <w:szCs w:val="20"/>
              </w:rPr>
            </w:pPr>
          </w:p>
          <w:p w14:paraId="3C28931B">
            <w:pPr>
              <w:ind w:firstLine="480" w:firstLineChars="200"/>
              <w:rPr>
                <w:rFonts w:hint="eastAsia" w:ascii="宋体" w:hAnsi="宋体" w:cs="宋体"/>
                <w:kern w:val="0"/>
              </w:rPr>
            </w:pPr>
            <w:r>
              <w:rPr>
                <w:rFonts w:hint="eastAsia" w:ascii="宋体" w:hAnsi="宋体" w:cs="宋体"/>
                <w:kern w:val="0"/>
              </w:rPr>
              <w:t>综上所述，本项目符合国家产业政策，选址合理，只要该项目认真贯彻执行好国家现行的各项环境保护法规、法令、标准，严格落实切实有效的污染防治生态保护措施，保证各污染治理设施稳定高效运行，确保各污染物长期稳定达标排放，确保工程对各环境保护目标不造成干扰，则在此基础上该项目建设在环境保护方面是可行的。</w:t>
            </w:r>
          </w:p>
          <w:p w14:paraId="7BA0448D">
            <w:pPr>
              <w:ind w:firstLine="480" w:firstLineChars="200"/>
              <w:rPr>
                <w:kern w:val="0"/>
                <w:szCs w:val="20"/>
              </w:rPr>
            </w:pPr>
          </w:p>
          <w:p w14:paraId="4E72DBF1">
            <w:pPr>
              <w:ind w:firstLine="480" w:firstLineChars="200"/>
              <w:rPr>
                <w:kern w:val="0"/>
                <w:szCs w:val="20"/>
              </w:rPr>
            </w:pPr>
          </w:p>
          <w:p w14:paraId="276C9D2B">
            <w:pPr>
              <w:ind w:firstLine="480" w:firstLineChars="200"/>
              <w:rPr>
                <w:kern w:val="0"/>
                <w:szCs w:val="20"/>
              </w:rPr>
            </w:pPr>
          </w:p>
          <w:p w14:paraId="0CD654B0">
            <w:pPr>
              <w:ind w:firstLine="480" w:firstLineChars="200"/>
              <w:rPr>
                <w:kern w:val="0"/>
                <w:szCs w:val="20"/>
              </w:rPr>
            </w:pPr>
          </w:p>
          <w:p w14:paraId="157BA427">
            <w:pPr>
              <w:ind w:firstLine="480" w:firstLineChars="200"/>
              <w:rPr>
                <w:kern w:val="0"/>
                <w:szCs w:val="20"/>
              </w:rPr>
            </w:pPr>
          </w:p>
          <w:p w14:paraId="43553932">
            <w:pPr>
              <w:ind w:firstLine="480" w:firstLineChars="200"/>
              <w:rPr>
                <w:kern w:val="0"/>
                <w:szCs w:val="20"/>
              </w:rPr>
            </w:pPr>
          </w:p>
          <w:p w14:paraId="37800284">
            <w:pPr>
              <w:ind w:firstLine="480" w:firstLineChars="200"/>
              <w:rPr>
                <w:kern w:val="0"/>
                <w:szCs w:val="20"/>
              </w:rPr>
            </w:pPr>
          </w:p>
          <w:p w14:paraId="44ED4324">
            <w:pPr>
              <w:ind w:firstLine="480" w:firstLineChars="200"/>
              <w:rPr>
                <w:kern w:val="0"/>
                <w:szCs w:val="20"/>
              </w:rPr>
            </w:pPr>
          </w:p>
          <w:p w14:paraId="5D3596F7">
            <w:pPr>
              <w:ind w:firstLine="480" w:firstLineChars="200"/>
              <w:rPr>
                <w:kern w:val="0"/>
                <w:szCs w:val="20"/>
              </w:rPr>
            </w:pPr>
          </w:p>
          <w:p w14:paraId="6BED683B">
            <w:pPr>
              <w:rPr>
                <w:kern w:val="0"/>
              </w:rPr>
            </w:pPr>
          </w:p>
        </w:tc>
      </w:tr>
    </w:tbl>
    <w:p w14:paraId="4836241A">
      <w:pPr>
        <w:sectPr>
          <w:pgSz w:w="11906" w:h="16838"/>
          <w:pgMar w:top="1440" w:right="1440" w:bottom="1440" w:left="1440" w:header="851" w:footer="992" w:gutter="0"/>
          <w:pgNumType w:fmt="numberInDash"/>
          <w:cols w:space="425" w:num="1"/>
          <w:docGrid w:type="lines" w:linePitch="312" w:charSpace="0"/>
        </w:sectPr>
      </w:pPr>
    </w:p>
    <w:p w14:paraId="6013E797">
      <w:pPr>
        <w:widowControl/>
        <w:spacing w:line="240" w:lineRule="auto"/>
        <w:outlineLvl w:val="0"/>
        <w:rPr>
          <w:rFonts w:hint="eastAsia" w:ascii="黑体" w:hAnsi="黑体" w:eastAsia="黑体"/>
          <w:snapToGrid w:val="0"/>
          <w:kern w:val="0"/>
          <w:sz w:val="32"/>
          <w:szCs w:val="32"/>
        </w:rPr>
      </w:pPr>
      <w:bookmarkStart w:id="92" w:name="_Toc199260723"/>
      <w:bookmarkStart w:id="93" w:name="_Toc194068222"/>
      <w:bookmarkStart w:id="94" w:name="_Toc11606"/>
      <w:bookmarkStart w:id="95" w:name="_Toc153736110"/>
      <w:bookmarkStart w:id="96" w:name="_Toc147539451"/>
      <w:bookmarkStart w:id="97" w:name="_Toc102048893"/>
      <w:bookmarkStart w:id="98" w:name="_Toc188001857"/>
      <w:bookmarkStart w:id="99" w:name="_Toc95293589"/>
      <w:bookmarkStart w:id="100" w:name="_Toc153731598"/>
      <w:bookmarkStart w:id="101" w:name="_Toc141772427"/>
      <w:bookmarkStart w:id="102" w:name="_Toc98889652"/>
      <w:r>
        <w:rPr>
          <w:rFonts w:hint="eastAsia" w:ascii="黑体" w:hAnsi="黑体" w:eastAsia="黑体"/>
          <w:snapToGrid w:val="0"/>
          <w:kern w:val="0"/>
          <w:sz w:val="32"/>
          <w:szCs w:val="32"/>
        </w:rPr>
        <w:t>附表</w:t>
      </w:r>
      <w:bookmarkEnd w:id="92"/>
      <w:bookmarkEnd w:id="93"/>
      <w:bookmarkEnd w:id="94"/>
      <w:bookmarkEnd w:id="95"/>
      <w:bookmarkEnd w:id="96"/>
      <w:bookmarkEnd w:id="97"/>
      <w:bookmarkEnd w:id="98"/>
      <w:bookmarkEnd w:id="99"/>
      <w:bookmarkEnd w:id="100"/>
      <w:bookmarkEnd w:id="101"/>
      <w:bookmarkEnd w:id="102"/>
    </w:p>
    <w:p w14:paraId="76A86624">
      <w:pPr>
        <w:widowControl/>
        <w:jc w:val="center"/>
        <w:rPr>
          <w:rFonts w:hint="eastAsia" w:ascii="方正小标宋_GBK" w:hAnsi="黑体" w:eastAsia="方正小标宋_GBK"/>
          <w:snapToGrid w:val="0"/>
          <w:kern w:val="0"/>
          <w:sz w:val="38"/>
          <w:szCs w:val="38"/>
        </w:rPr>
      </w:pPr>
      <w:bookmarkStart w:id="103" w:name="_Toc141772428"/>
      <w:bookmarkStart w:id="104" w:name="_Toc102048894"/>
      <w:bookmarkStart w:id="105" w:name="_Toc95293590"/>
      <w:bookmarkStart w:id="106" w:name="_Toc98889653"/>
      <w:bookmarkStart w:id="107" w:name="_Toc11708"/>
      <w:r>
        <w:rPr>
          <w:rFonts w:hint="eastAsia" w:ascii="方正小标宋_GBK" w:hAnsi="黑体" w:eastAsia="方正小标宋_GBK"/>
          <w:snapToGrid w:val="0"/>
          <w:kern w:val="0"/>
          <w:sz w:val="38"/>
          <w:szCs w:val="38"/>
        </w:rPr>
        <w:t>建设项目污染物排放量汇总表</w:t>
      </w:r>
      <w:bookmarkEnd w:id="103"/>
      <w:bookmarkEnd w:id="104"/>
      <w:bookmarkEnd w:id="105"/>
      <w:bookmarkEnd w:id="106"/>
      <w:bookmarkEnd w:id="107"/>
    </w:p>
    <w:tbl>
      <w:tblPr>
        <w:tblStyle w:val="6"/>
        <w:tblW w:w="137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00"/>
        <w:gridCol w:w="1616"/>
        <w:gridCol w:w="1276"/>
        <w:gridCol w:w="1701"/>
        <w:gridCol w:w="1559"/>
        <w:gridCol w:w="1761"/>
        <w:gridCol w:w="1502"/>
        <w:gridCol w:w="1283"/>
      </w:tblGrid>
      <w:tr w14:paraId="6C5FA0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7"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35636E90">
            <w:pPr>
              <w:adjustRightInd w:val="0"/>
              <w:snapToGrid w:val="0"/>
              <w:spacing w:line="240" w:lineRule="auto"/>
              <w:ind w:left="396" w:hanging="396" w:hangingChars="200"/>
              <w:jc w:val="right"/>
              <w:rPr>
                <w:rFonts w:cs="宋体"/>
                <w:snapToGrid w:val="0"/>
                <w:spacing w:val="-6"/>
                <w:kern w:val="21"/>
                <w:sz w:val="21"/>
                <w:szCs w:val="21"/>
              </w:rPr>
            </w:pPr>
            <w:r>
              <w:rPr>
                <w:rFonts w:hint="eastAsia" w:cs="宋体"/>
                <w:snapToGrid w:val="0"/>
                <w:spacing w:val="-6"/>
                <w:kern w:val="21"/>
                <w:sz w:val="21"/>
                <w:szCs w:val="21"/>
              </w:rPr>
              <w:t>项目</w:t>
            </w:r>
          </w:p>
          <w:p w14:paraId="42954AFA">
            <w:pPr>
              <w:adjustRightInd w:val="0"/>
              <w:snapToGrid w:val="0"/>
              <w:spacing w:line="240" w:lineRule="auto"/>
              <w:ind w:left="396" w:hanging="396" w:hangingChars="200"/>
              <w:rPr>
                <w:rFonts w:cs="宋体"/>
                <w:snapToGrid w:val="0"/>
                <w:spacing w:val="-6"/>
                <w:kern w:val="21"/>
                <w:sz w:val="21"/>
                <w:szCs w:val="21"/>
              </w:rPr>
            </w:pPr>
            <w:r>
              <w:rPr>
                <w:rFonts w:hint="eastAsia" w:cs="宋体"/>
                <w:snapToGrid w:val="0"/>
                <w:spacing w:val="-6"/>
                <w:kern w:val="21"/>
                <w:sz w:val="21"/>
                <w:szCs w:val="21"/>
              </w:rPr>
              <w:t>分类</w:t>
            </w:r>
          </w:p>
        </w:tc>
        <w:tc>
          <w:tcPr>
            <w:tcW w:w="150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46A294A">
            <w:pPr>
              <w:adjustRightInd w:val="0"/>
              <w:snapToGrid w:val="0"/>
              <w:spacing w:line="240" w:lineRule="auto"/>
              <w:ind w:left="396" w:hanging="396" w:hangingChars="200"/>
              <w:jc w:val="center"/>
              <w:rPr>
                <w:rFonts w:cs="宋体"/>
                <w:snapToGrid w:val="0"/>
                <w:spacing w:val="-6"/>
                <w:kern w:val="21"/>
                <w:sz w:val="21"/>
                <w:szCs w:val="21"/>
              </w:rPr>
            </w:pPr>
            <w:r>
              <w:rPr>
                <w:rFonts w:hint="eastAsia" w:cs="宋体"/>
                <w:snapToGrid w:val="0"/>
                <w:spacing w:val="-6"/>
                <w:kern w:val="21"/>
                <w:sz w:val="21"/>
                <w:szCs w:val="21"/>
              </w:rPr>
              <w:t>污染物名称</w:t>
            </w:r>
          </w:p>
        </w:tc>
        <w:tc>
          <w:tcPr>
            <w:tcW w:w="161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7BEFF3C">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现有工程</w:t>
            </w:r>
          </w:p>
          <w:p w14:paraId="6552644E">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rFonts w:hint="eastAsia" w:cs="宋体"/>
                <w:sz w:val="21"/>
                <w:szCs w:val="21"/>
              </w:rPr>
              <w:t>①</w:t>
            </w:r>
            <w:r>
              <w:rPr>
                <w:snapToGrid w:val="0"/>
                <w:spacing w:val="-6"/>
                <w:kern w:val="21"/>
                <w:sz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4DEF76E">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现有工程</w:t>
            </w:r>
          </w:p>
          <w:p w14:paraId="18C6EA70">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许可排放量</w:t>
            </w:r>
          </w:p>
          <w:p w14:paraId="221C9C5D">
            <w:pPr>
              <w:adjustRightInd w:val="0"/>
              <w:snapToGrid w:val="0"/>
              <w:spacing w:line="240" w:lineRule="auto"/>
              <w:ind w:left="420" w:hanging="396" w:hangingChars="200"/>
              <w:jc w:val="center"/>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2 \* GB3 \* MERGEFORMAT </w:instrText>
            </w:r>
            <w:r>
              <w:rPr>
                <w:snapToGrid w:val="0"/>
                <w:spacing w:val="-6"/>
                <w:kern w:val="21"/>
                <w:sz w:val="21"/>
                <w:szCs w:val="21"/>
              </w:rPr>
              <w:fldChar w:fldCharType="separate"/>
            </w:r>
            <w:r>
              <w:rPr>
                <w:rFonts w:hint="eastAsia" w:cs="宋体"/>
                <w:snapToGrid w:val="0"/>
                <w:spacing w:val="-6"/>
                <w:kern w:val="21"/>
                <w:sz w:val="21"/>
                <w:szCs w:val="21"/>
              </w:rPr>
              <w:t>②</w:t>
            </w:r>
            <w:r>
              <w:rPr>
                <w:snapToGrid w:val="0"/>
                <w:spacing w:val="-6"/>
                <w:kern w:val="21"/>
                <w:sz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3EA74ED0">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在建工程</w:t>
            </w:r>
          </w:p>
          <w:p w14:paraId="33874FCA">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3 \* GB3 \* MERGEFORMAT </w:instrText>
            </w:r>
            <w:r>
              <w:rPr>
                <w:snapToGrid w:val="0"/>
                <w:spacing w:val="-6"/>
                <w:kern w:val="21"/>
                <w:sz w:val="21"/>
                <w:szCs w:val="21"/>
              </w:rPr>
              <w:fldChar w:fldCharType="separate"/>
            </w:r>
            <w:r>
              <w:rPr>
                <w:rFonts w:hint="eastAsia" w:cs="宋体"/>
                <w:sz w:val="21"/>
                <w:szCs w:val="21"/>
              </w:rPr>
              <w:t>③</w:t>
            </w:r>
            <w:r>
              <w:rPr>
                <w:snapToGrid w:val="0"/>
                <w:spacing w:val="-6"/>
                <w:kern w:val="21"/>
                <w:sz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90CC422">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本项目</w:t>
            </w:r>
          </w:p>
          <w:p w14:paraId="29CD3EB2">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4 \* GB3 \* MERGEFORMAT </w:instrText>
            </w:r>
            <w:r>
              <w:rPr>
                <w:snapToGrid w:val="0"/>
                <w:spacing w:val="-6"/>
                <w:kern w:val="21"/>
                <w:sz w:val="21"/>
                <w:szCs w:val="21"/>
              </w:rPr>
              <w:fldChar w:fldCharType="separate"/>
            </w:r>
            <w:r>
              <w:rPr>
                <w:rFonts w:hint="eastAsia" w:cs="宋体"/>
                <w:sz w:val="21"/>
                <w:szCs w:val="21"/>
              </w:rPr>
              <w:t>④</w:t>
            </w:r>
            <w:r>
              <w:rPr>
                <w:snapToGrid w:val="0"/>
                <w:spacing w:val="-6"/>
                <w:kern w:val="21"/>
                <w:sz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1EAED2F">
            <w:pPr>
              <w:adjustRightInd w:val="0"/>
              <w:snapToGrid w:val="0"/>
              <w:spacing w:line="240" w:lineRule="auto"/>
              <w:ind w:left="356" w:hanging="356" w:hangingChars="200"/>
              <w:jc w:val="center"/>
              <w:rPr>
                <w:snapToGrid w:val="0"/>
                <w:spacing w:val="-16"/>
                <w:kern w:val="21"/>
                <w:sz w:val="21"/>
                <w:szCs w:val="21"/>
              </w:rPr>
            </w:pPr>
            <w:r>
              <w:rPr>
                <w:rFonts w:hint="eastAsia"/>
                <w:snapToGrid w:val="0"/>
                <w:spacing w:val="-16"/>
                <w:kern w:val="21"/>
                <w:sz w:val="21"/>
                <w:szCs w:val="21"/>
              </w:rPr>
              <w:t>以新带老削减量</w:t>
            </w:r>
          </w:p>
          <w:p w14:paraId="6C99F897">
            <w:pPr>
              <w:adjustRightInd w:val="0"/>
              <w:snapToGrid w:val="0"/>
              <w:spacing w:line="240" w:lineRule="auto"/>
              <w:ind w:left="356" w:hanging="356" w:hangingChars="200"/>
              <w:jc w:val="center"/>
              <w:rPr>
                <w:snapToGrid w:val="0"/>
                <w:spacing w:val="-16"/>
                <w:kern w:val="21"/>
                <w:sz w:val="21"/>
                <w:szCs w:val="21"/>
              </w:rPr>
            </w:pPr>
            <w:r>
              <w:rPr>
                <w:rFonts w:hint="eastAsia"/>
                <w:snapToGrid w:val="0"/>
                <w:spacing w:val="-16"/>
                <w:kern w:val="21"/>
                <w:sz w:val="21"/>
                <w:szCs w:val="21"/>
              </w:rPr>
              <w:t>（新建项目不填）</w:t>
            </w:r>
            <w:r>
              <w:rPr>
                <w:snapToGrid w:val="0"/>
                <w:spacing w:val="-16"/>
                <w:kern w:val="21"/>
                <w:sz w:val="21"/>
                <w:szCs w:val="21"/>
              </w:rPr>
              <w:fldChar w:fldCharType="begin"/>
            </w:r>
            <w:r>
              <w:rPr>
                <w:snapToGrid w:val="0"/>
                <w:spacing w:val="-16"/>
                <w:kern w:val="21"/>
                <w:sz w:val="21"/>
                <w:szCs w:val="21"/>
              </w:rPr>
              <w:instrText xml:space="preserve"> = 5 \* GB3 \* MERGEFORMAT </w:instrText>
            </w:r>
            <w:r>
              <w:rPr>
                <w:snapToGrid w:val="0"/>
                <w:spacing w:val="-16"/>
                <w:kern w:val="21"/>
                <w:sz w:val="21"/>
                <w:szCs w:val="21"/>
              </w:rPr>
              <w:fldChar w:fldCharType="separate"/>
            </w:r>
            <w:r>
              <w:rPr>
                <w:rFonts w:hint="eastAsia" w:cs="宋体"/>
                <w:sz w:val="21"/>
                <w:szCs w:val="21"/>
              </w:rPr>
              <w:t>⑤</w:t>
            </w:r>
            <w:r>
              <w:rPr>
                <w:snapToGrid w:val="0"/>
                <w:spacing w:val="-16"/>
                <w:kern w:val="21"/>
                <w:sz w:val="21"/>
                <w:szCs w:val="21"/>
              </w:rPr>
              <w:fldChar w:fldCharType="end"/>
            </w:r>
          </w:p>
        </w:tc>
        <w:tc>
          <w:tcPr>
            <w:tcW w:w="150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9E2B4DC">
            <w:pPr>
              <w:adjustRightInd w:val="0"/>
              <w:snapToGrid w:val="0"/>
              <w:spacing w:line="240" w:lineRule="auto"/>
              <w:ind w:left="356" w:hanging="356" w:hangingChars="200"/>
              <w:jc w:val="center"/>
              <w:rPr>
                <w:snapToGrid w:val="0"/>
                <w:spacing w:val="-16"/>
                <w:kern w:val="21"/>
                <w:sz w:val="21"/>
                <w:szCs w:val="21"/>
              </w:rPr>
            </w:pPr>
            <w:r>
              <w:rPr>
                <w:rFonts w:hint="eastAsia"/>
                <w:snapToGrid w:val="0"/>
                <w:spacing w:val="-16"/>
                <w:kern w:val="21"/>
                <w:sz w:val="21"/>
                <w:szCs w:val="21"/>
              </w:rPr>
              <w:t>本项目建成后</w:t>
            </w:r>
          </w:p>
          <w:p w14:paraId="39414D70">
            <w:pPr>
              <w:adjustRightInd w:val="0"/>
              <w:snapToGrid w:val="0"/>
              <w:spacing w:line="240" w:lineRule="auto"/>
              <w:ind w:left="356" w:hanging="356" w:hangingChars="200"/>
              <w:jc w:val="center"/>
              <w:rPr>
                <w:snapToGrid w:val="0"/>
                <w:spacing w:val="-16"/>
                <w:kern w:val="21"/>
                <w:sz w:val="21"/>
                <w:szCs w:val="21"/>
              </w:rPr>
            </w:pPr>
            <w:r>
              <w:rPr>
                <w:rFonts w:hint="eastAsia"/>
                <w:snapToGrid w:val="0"/>
                <w:spacing w:val="-16"/>
                <w:kern w:val="21"/>
                <w:sz w:val="21"/>
                <w:szCs w:val="21"/>
              </w:rPr>
              <w:t>全厂排放量（固体废物产生量）</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rFonts w:hint="eastAsia" w:cs="宋体"/>
                <w:sz w:val="21"/>
                <w:szCs w:val="21"/>
              </w:rPr>
              <w:t>⑥</w:t>
            </w:r>
            <w:r>
              <w:rPr>
                <w:snapToGrid w:val="0"/>
                <w:spacing w:val="-16"/>
                <w:kern w:val="21"/>
                <w:sz w:val="21"/>
                <w:szCs w:val="21"/>
              </w:rPr>
              <w:fldChar w:fldCharType="end"/>
            </w:r>
          </w:p>
        </w:tc>
        <w:tc>
          <w:tcPr>
            <w:tcW w:w="1283"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1944A2A6">
            <w:pPr>
              <w:adjustRightInd w:val="0"/>
              <w:snapToGrid w:val="0"/>
              <w:spacing w:line="240" w:lineRule="auto"/>
              <w:ind w:left="396" w:hanging="396" w:hangingChars="200"/>
              <w:jc w:val="center"/>
              <w:rPr>
                <w:snapToGrid w:val="0"/>
                <w:spacing w:val="-6"/>
                <w:kern w:val="21"/>
                <w:sz w:val="21"/>
                <w:szCs w:val="21"/>
              </w:rPr>
            </w:pPr>
            <w:r>
              <w:rPr>
                <w:rFonts w:hint="eastAsia"/>
                <w:snapToGrid w:val="0"/>
                <w:spacing w:val="-6"/>
                <w:kern w:val="21"/>
                <w:sz w:val="21"/>
                <w:szCs w:val="21"/>
              </w:rPr>
              <w:t>变化量</w:t>
            </w:r>
          </w:p>
          <w:p w14:paraId="79206F6D">
            <w:pPr>
              <w:adjustRightInd w:val="0"/>
              <w:snapToGrid w:val="0"/>
              <w:spacing w:line="240" w:lineRule="auto"/>
              <w:ind w:left="420" w:hanging="396" w:hangingChars="200"/>
              <w:jc w:val="center"/>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7 \* GB3 \* MERGEFORMAT </w:instrText>
            </w:r>
            <w:r>
              <w:rPr>
                <w:snapToGrid w:val="0"/>
                <w:spacing w:val="-6"/>
                <w:kern w:val="21"/>
                <w:sz w:val="21"/>
                <w:szCs w:val="21"/>
              </w:rPr>
              <w:fldChar w:fldCharType="separate"/>
            </w:r>
            <w:r>
              <w:rPr>
                <w:rFonts w:hint="eastAsia" w:cs="宋体"/>
                <w:sz w:val="21"/>
                <w:szCs w:val="21"/>
              </w:rPr>
              <w:t>⑦</w:t>
            </w:r>
            <w:r>
              <w:rPr>
                <w:snapToGrid w:val="0"/>
                <w:spacing w:val="-6"/>
                <w:kern w:val="21"/>
                <w:sz w:val="21"/>
                <w:szCs w:val="21"/>
              </w:rPr>
              <w:fldChar w:fldCharType="end"/>
            </w:r>
          </w:p>
        </w:tc>
      </w:tr>
      <w:tr w14:paraId="4351A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restart"/>
            <w:tcBorders>
              <w:top w:val="single" w:color="auto" w:sz="4" w:space="0"/>
              <w:left w:val="single" w:color="auto" w:sz="8" w:space="0"/>
              <w:right w:val="single" w:color="auto" w:sz="4" w:space="0"/>
            </w:tcBorders>
            <w:vAlign w:val="center"/>
          </w:tcPr>
          <w:p w14:paraId="2B9C8080">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废气</w:t>
            </w:r>
          </w:p>
        </w:tc>
        <w:tc>
          <w:tcPr>
            <w:tcW w:w="1500" w:type="dxa"/>
            <w:tcBorders>
              <w:top w:val="single" w:color="auto" w:sz="4" w:space="0"/>
              <w:left w:val="single" w:color="auto" w:sz="4" w:space="0"/>
              <w:bottom w:val="single" w:color="auto" w:sz="4" w:space="0"/>
              <w:right w:val="single" w:color="auto" w:sz="4" w:space="0"/>
            </w:tcBorders>
            <w:vAlign w:val="center"/>
          </w:tcPr>
          <w:p w14:paraId="2DFA850B">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NH</w:t>
            </w:r>
            <w:r>
              <w:rPr>
                <w:rFonts w:cs="宋体"/>
                <w:snapToGrid w:val="0"/>
                <w:kern w:val="21"/>
                <w:sz w:val="21"/>
                <w:szCs w:val="21"/>
                <w:vertAlign w:val="subscript"/>
              </w:rPr>
              <w:t>3</w:t>
            </w:r>
          </w:p>
        </w:tc>
        <w:tc>
          <w:tcPr>
            <w:tcW w:w="1616" w:type="dxa"/>
            <w:tcBorders>
              <w:top w:val="single" w:color="auto" w:sz="4" w:space="0"/>
              <w:left w:val="single" w:color="auto" w:sz="4" w:space="0"/>
              <w:bottom w:val="single" w:color="auto" w:sz="4" w:space="0"/>
              <w:right w:val="single" w:color="auto" w:sz="4" w:space="0"/>
            </w:tcBorders>
            <w:vAlign w:val="center"/>
          </w:tcPr>
          <w:p w14:paraId="7ECEC8F7">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5E00A0FE">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92D1474">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31767A5C">
            <w:pPr>
              <w:adjustRightInd w:val="0"/>
              <w:snapToGrid w:val="0"/>
              <w:spacing w:line="240" w:lineRule="auto"/>
              <w:ind w:left="420" w:hanging="420" w:hangingChars="200"/>
              <w:jc w:val="center"/>
              <w:rPr>
                <w:snapToGrid w:val="0"/>
                <w:sz w:val="21"/>
                <w:szCs w:val="21"/>
                <w:lang w:bidi="zh-CN"/>
              </w:rPr>
            </w:pPr>
            <w:r>
              <w:rPr>
                <w:rFonts w:hint="eastAsia" w:cs="宋体"/>
                <w:snapToGrid w:val="0"/>
                <w:kern w:val="21"/>
                <w:sz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14:paraId="2940FB8E">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14:paraId="3CFF5226">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14:paraId="29FF544C">
            <w:pPr>
              <w:adjustRightInd w:val="0"/>
              <w:snapToGrid w:val="0"/>
              <w:spacing w:line="240" w:lineRule="auto"/>
              <w:ind w:left="420" w:hanging="420" w:hangingChars="200"/>
              <w:jc w:val="center"/>
              <w:rPr>
                <w:rFonts w:cs="宋体"/>
                <w:snapToGrid w:val="0"/>
                <w:color w:val="FF0000"/>
                <w:kern w:val="21"/>
                <w:sz w:val="21"/>
                <w:szCs w:val="21"/>
              </w:rPr>
            </w:pPr>
            <w:r>
              <w:rPr>
                <w:rFonts w:hint="eastAsia" w:cs="宋体"/>
                <w:snapToGrid w:val="0"/>
                <w:kern w:val="21"/>
                <w:sz w:val="21"/>
                <w:szCs w:val="21"/>
              </w:rPr>
              <w:t>/</w:t>
            </w:r>
          </w:p>
        </w:tc>
      </w:tr>
      <w:tr w14:paraId="5288E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continue"/>
            <w:tcBorders>
              <w:left w:val="single" w:color="auto" w:sz="8" w:space="0"/>
              <w:right w:val="single" w:color="auto" w:sz="4" w:space="0"/>
            </w:tcBorders>
            <w:vAlign w:val="center"/>
          </w:tcPr>
          <w:p w14:paraId="2FB12A65">
            <w:pPr>
              <w:adjustRightInd w:val="0"/>
              <w:snapToGrid w:val="0"/>
              <w:spacing w:line="240" w:lineRule="auto"/>
              <w:ind w:left="420" w:hanging="420" w:hangingChars="200"/>
              <w:jc w:val="center"/>
              <w:rPr>
                <w:rFonts w:cs="宋体"/>
                <w:snapToGrid w:val="0"/>
                <w:kern w:val="21"/>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3AB42C2C">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H</w:t>
            </w:r>
            <w:r>
              <w:rPr>
                <w:rFonts w:cs="宋体"/>
                <w:snapToGrid w:val="0"/>
                <w:kern w:val="21"/>
                <w:sz w:val="21"/>
                <w:szCs w:val="21"/>
                <w:vertAlign w:val="subscript"/>
              </w:rPr>
              <w:t>2</w:t>
            </w:r>
            <w:r>
              <w:rPr>
                <w:rFonts w:cs="宋体"/>
                <w:snapToGrid w:val="0"/>
                <w:kern w:val="21"/>
                <w:sz w:val="21"/>
                <w:szCs w:val="21"/>
              </w:rPr>
              <w:t>S</w:t>
            </w:r>
          </w:p>
        </w:tc>
        <w:tc>
          <w:tcPr>
            <w:tcW w:w="1616" w:type="dxa"/>
            <w:tcBorders>
              <w:top w:val="single" w:color="auto" w:sz="4" w:space="0"/>
              <w:left w:val="single" w:color="auto" w:sz="4" w:space="0"/>
              <w:bottom w:val="single" w:color="auto" w:sz="4" w:space="0"/>
              <w:right w:val="single" w:color="auto" w:sz="4" w:space="0"/>
            </w:tcBorders>
            <w:vAlign w:val="center"/>
          </w:tcPr>
          <w:p w14:paraId="2D0F78C4">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4598B671">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0E9BF295">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FB5F654">
            <w:pPr>
              <w:adjustRightInd w:val="0"/>
              <w:snapToGrid w:val="0"/>
              <w:spacing w:line="240" w:lineRule="auto"/>
              <w:ind w:left="420" w:hanging="420" w:hangingChars="200"/>
              <w:jc w:val="center"/>
              <w:rPr>
                <w:snapToGrid w:val="0"/>
                <w:sz w:val="21"/>
                <w:szCs w:val="21"/>
                <w:lang w:bidi="zh-CN"/>
              </w:rPr>
            </w:pPr>
            <w:r>
              <w:rPr>
                <w:rFonts w:hint="eastAsia" w:cs="宋体"/>
                <w:snapToGrid w:val="0"/>
                <w:kern w:val="21"/>
                <w:sz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14:paraId="52B7B0D5">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502" w:type="dxa"/>
            <w:tcBorders>
              <w:top w:val="single" w:color="auto" w:sz="4" w:space="0"/>
              <w:left w:val="single" w:color="auto" w:sz="4" w:space="0"/>
              <w:bottom w:val="single" w:color="auto" w:sz="4" w:space="0"/>
              <w:right w:val="single" w:color="auto" w:sz="4" w:space="0"/>
            </w:tcBorders>
            <w:vAlign w:val="center"/>
          </w:tcPr>
          <w:p w14:paraId="6C07BDAF">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w:t>
            </w:r>
          </w:p>
        </w:tc>
        <w:tc>
          <w:tcPr>
            <w:tcW w:w="1283" w:type="dxa"/>
            <w:tcBorders>
              <w:top w:val="single" w:color="auto" w:sz="4" w:space="0"/>
              <w:left w:val="single" w:color="auto" w:sz="4" w:space="0"/>
              <w:bottom w:val="single" w:color="auto" w:sz="4" w:space="0"/>
              <w:right w:val="single" w:color="auto" w:sz="8" w:space="0"/>
            </w:tcBorders>
            <w:vAlign w:val="center"/>
          </w:tcPr>
          <w:p w14:paraId="0004C868">
            <w:pPr>
              <w:adjustRightInd w:val="0"/>
              <w:snapToGrid w:val="0"/>
              <w:spacing w:line="240" w:lineRule="auto"/>
              <w:ind w:left="420" w:hanging="420" w:hangingChars="200"/>
              <w:jc w:val="center"/>
              <w:rPr>
                <w:rFonts w:cs="宋体"/>
                <w:snapToGrid w:val="0"/>
                <w:color w:val="FF0000"/>
                <w:kern w:val="21"/>
                <w:sz w:val="21"/>
                <w:szCs w:val="21"/>
              </w:rPr>
            </w:pPr>
            <w:r>
              <w:rPr>
                <w:rFonts w:hint="eastAsia" w:cs="宋体"/>
                <w:snapToGrid w:val="0"/>
                <w:kern w:val="21"/>
                <w:sz w:val="21"/>
                <w:szCs w:val="21"/>
              </w:rPr>
              <w:t>/</w:t>
            </w:r>
          </w:p>
        </w:tc>
      </w:tr>
      <w:tr w14:paraId="1F7C2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restart"/>
            <w:tcBorders>
              <w:top w:val="single" w:color="auto" w:sz="4" w:space="0"/>
              <w:left w:val="single" w:color="auto" w:sz="8" w:space="0"/>
              <w:bottom w:val="single" w:color="auto" w:sz="4" w:space="0"/>
              <w:right w:val="single" w:color="auto" w:sz="4" w:space="0"/>
            </w:tcBorders>
            <w:vAlign w:val="center"/>
          </w:tcPr>
          <w:p w14:paraId="69C1CC7A">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废水</w:t>
            </w:r>
          </w:p>
        </w:tc>
        <w:tc>
          <w:tcPr>
            <w:tcW w:w="1500" w:type="dxa"/>
            <w:tcBorders>
              <w:top w:val="single" w:color="auto" w:sz="4" w:space="0"/>
              <w:left w:val="single" w:color="auto" w:sz="4" w:space="0"/>
              <w:bottom w:val="single" w:color="auto" w:sz="4" w:space="0"/>
              <w:right w:val="single" w:color="auto" w:sz="4" w:space="0"/>
            </w:tcBorders>
            <w:vAlign w:val="center"/>
          </w:tcPr>
          <w:p w14:paraId="4ACE51DD">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废水量</w:t>
            </w:r>
          </w:p>
        </w:tc>
        <w:tc>
          <w:tcPr>
            <w:tcW w:w="1616" w:type="dxa"/>
            <w:tcBorders>
              <w:top w:val="single" w:color="auto" w:sz="4" w:space="0"/>
              <w:left w:val="single" w:color="auto" w:sz="4" w:space="0"/>
              <w:bottom w:val="single" w:color="auto" w:sz="4" w:space="0"/>
              <w:right w:val="single" w:color="auto" w:sz="4" w:space="0"/>
            </w:tcBorders>
            <w:vAlign w:val="center"/>
          </w:tcPr>
          <w:p w14:paraId="68277A8D">
            <w:pPr>
              <w:adjustRightInd w:val="0"/>
              <w:snapToGrid w:val="0"/>
              <w:spacing w:line="240" w:lineRule="auto"/>
              <w:ind w:left="420" w:hanging="420" w:hangingChars="200"/>
              <w:jc w:val="center"/>
              <w:rPr>
                <w:rFonts w:cs="宋体"/>
                <w:snapToGrid w:val="0"/>
                <w:kern w:val="21"/>
                <w:sz w:val="21"/>
                <w:szCs w:val="21"/>
              </w:rPr>
            </w:pPr>
            <w:r>
              <w:rPr>
                <w:snapToGrid w:val="0"/>
                <w:kern w:val="0"/>
                <w:sz w:val="21"/>
                <w:szCs w:val="21"/>
                <w:lang w:bidi="zh-CN"/>
              </w:rPr>
              <w:t>1642.5t/a</w:t>
            </w:r>
          </w:p>
        </w:tc>
        <w:tc>
          <w:tcPr>
            <w:tcW w:w="1276" w:type="dxa"/>
            <w:tcBorders>
              <w:top w:val="single" w:color="auto" w:sz="4" w:space="0"/>
              <w:left w:val="single" w:color="auto" w:sz="4" w:space="0"/>
              <w:bottom w:val="single" w:color="auto" w:sz="4" w:space="0"/>
              <w:right w:val="single" w:color="auto" w:sz="4" w:space="0"/>
            </w:tcBorders>
            <w:vAlign w:val="center"/>
          </w:tcPr>
          <w:p w14:paraId="4D95694F">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701" w:type="dxa"/>
            <w:tcBorders>
              <w:top w:val="single" w:color="auto" w:sz="4" w:space="0"/>
              <w:left w:val="single" w:color="auto" w:sz="4" w:space="0"/>
              <w:bottom w:val="single" w:color="auto" w:sz="4" w:space="0"/>
              <w:right w:val="single" w:color="auto" w:sz="4" w:space="0"/>
            </w:tcBorders>
            <w:vAlign w:val="center"/>
          </w:tcPr>
          <w:p w14:paraId="77F5DFBA">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59" w:type="dxa"/>
            <w:tcBorders>
              <w:top w:val="single" w:color="auto" w:sz="4" w:space="0"/>
              <w:left w:val="single" w:color="auto" w:sz="4" w:space="0"/>
              <w:bottom w:val="single" w:color="auto" w:sz="4" w:space="0"/>
              <w:right w:val="single" w:color="auto" w:sz="4" w:space="0"/>
            </w:tcBorders>
            <w:vAlign w:val="center"/>
          </w:tcPr>
          <w:p w14:paraId="2E94CF38">
            <w:pPr>
              <w:adjustRightInd w:val="0"/>
              <w:snapToGrid w:val="0"/>
              <w:spacing w:line="240" w:lineRule="auto"/>
              <w:ind w:left="420" w:hanging="420" w:hangingChars="200"/>
              <w:jc w:val="center"/>
              <w:rPr>
                <w:rFonts w:cs="宋体"/>
                <w:snapToGrid w:val="0"/>
                <w:kern w:val="21"/>
                <w:sz w:val="21"/>
                <w:szCs w:val="21"/>
              </w:rPr>
            </w:pPr>
            <w:r>
              <w:rPr>
                <w:rFonts w:hint="eastAsia"/>
                <w:snapToGrid w:val="0"/>
                <w:kern w:val="0"/>
                <w:sz w:val="21"/>
                <w:szCs w:val="21"/>
                <w:lang w:bidi="zh-CN"/>
              </w:rPr>
              <w:t>1460t/a</w:t>
            </w:r>
          </w:p>
        </w:tc>
        <w:tc>
          <w:tcPr>
            <w:tcW w:w="1761" w:type="dxa"/>
            <w:tcBorders>
              <w:top w:val="single" w:color="auto" w:sz="4" w:space="0"/>
              <w:left w:val="single" w:color="auto" w:sz="4" w:space="0"/>
              <w:bottom w:val="single" w:color="auto" w:sz="4" w:space="0"/>
              <w:right w:val="single" w:color="auto" w:sz="4" w:space="0"/>
            </w:tcBorders>
            <w:vAlign w:val="center"/>
          </w:tcPr>
          <w:p w14:paraId="1DDE5982">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02" w:type="dxa"/>
            <w:tcBorders>
              <w:top w:val="single" w:color="auto" w:sz="4" w:space="0"/>
              <w:left w:val="single" w:color="auto" w:sz="4" w:space="0"/>
              <w:bottom w:val="single" w:color="auto" w:sz="4" w:space="0"/>
              <w:right w:val="single" w:color="auto" w:sz="4" w:space="0"/>
            </w:tcBorders>
            <w:vAlign w:val="center"/>
          </w:tcPr>
          <w:p w14:paraId="761C929C">
            <w:pPr>
              <w:adjustRightInd w:val="0"/>
              <w:snapToGrid w:val="0"/>
              <w:spacing w:line="240" w:lineRule="auto"/>
              <w:ind w:left="420" w:hanging="420" w:hangingChars="200"/>
              <w:jc w:val="center"/>
              <w:rPr>
                <w:rFonts w:cs="宋体"/>
                <w:snapToGrid w:val="0"/>
                <w:kern w:val="21"/>
                <w:sz w:val="21"/>
                <w:szCs w:val="21"/>
              </w:rPr>
            </w:pPr>
            <w:r>
              <w:rPr>
                <w:snapToGrid w:val="0"/>
                <w:kern w:val="0"/>
                <w:sz w:val="21"/>
                <w:szCs w:val="21"/>
                <w:lang w:bidi="zh-CN"/>
              </w:rPr>
              <w:t>3102.5t/a</w:t>
            </w:r>
          </w:p>
        </w:tc>
        <w:tc>
          <w:tcPr>
            <w:tcW w:w="1283" w:type="dxa"/>
            <w:tcBorders>
              <w:top w:val="single" w:color="auto" w:sz="4" w:space="0"/>
              <w:left w:val="single" w:color="auto" w:sz="4" w:space="0"/>
              <w:bottom w:val="single" w:color="auto" w:sz="4" w:space="0"/>
              <w:right w:val="single" w:color="auto" w:sz="8" w:space="0"/>
            </w:tcBorders>
            <w:vAlign w:val="center"/>
          </w:tcPr>
          <w:p w14:paraId="41316854">
            <w:pPr>
              <w:adjustRightInd w:val="0"/>
              <w:snapToGrid w:val="0"/>
              <w:spacing w:line="240" w:lineRule="auto"/>
              <w:ind w:left="420" w:hanging="420" w:hangingChars="200"/>
              <w:jc w:val="center"/>
              <w:rPr>
                <w:rFonts w:cs="宋体"/>
                <w:snapToGrid w:val="0"/>
                <w:color w:val="FF0000"/>
                <w:kern w:val="21"/>
                <w:sz w:val="21"/>
                <w:szCs w:val="21"/>
              </w:rPr>
            </w:pPr>
            <w:r>
              <w:rPr>
                <w:snapToGrid w:val="0"/>
                <w:kern w:val="0"/>
                <w:sz w:val="21"/>
                <w:szCs w:val="21"/>
                <w:lang w:bidi="zh-CN"/>
              </w:rPr>
              <w:t>+</w:t>
            </w:r>
            <w:r>
              <w:rPr>
                <w:rFonts w:hint="eastAsia"/>
                <w:snapToGrid w:val="0"/>
                <w:kern w:val="0"/>
                <w:sz w:val="21"/>
                <w:szCs w:val="21"/>
                <w:lang w:bidi="zh-CN"/>
              </w:rPr>
              <w:t>1460t/a</w:t>
            </w:r>
          </w:p>
        </w:tc>
      </w:tr>
      <w:tr w14:paraId="33195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14:paraId="7951A655">
            <w:pPr>
              <w:widowControl/>
              <w:spacing w:line="240" w:lineRule="auto"/>
              <w:rPr>
                <w:rFonts w:cs="宋体"/>
                <w:snapToGrid w:val="0"/>
                <w:kern w:val="21"/>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4C6714F9">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COD</w:t>
            </w:r>
            <w:r>
              <w:rPr>
                <w:rFonts w:cs="宋体"/>
                <w:snapToGrid w:val="0"/>
                <w:kern w:val="21"/>
                <w:sz w:val="21"/>
                <w:szCs w:val="21"/>
                <w:vertAlign w:val="subscript"/>
              </w:rPr>
              <w:t>cr</w:t>
            </w:r>
          </w:p>
        </w:tc>
        <w:tc>
          <w:tcPr>
            <w:tcW w:w="1616" w:type="dxa"/>
            <w:tcBorders>
              <w:top w:val="single" w:color="auto" w:sz="4" w:space="0"/>
              <w:left w:val="single" w:color="auto" w:sz="4" w:space="0"/>
              <w:bottom w:val="single" w:color="auto" w:sz="4" w:space="0"/>
              <w:right w:val="single" w:color="auto" w:sz="4" w:space="0"/>
            </w:tcBorders>
            <w:vAlign w:val="center"/>
          </w:tcPr>
          <w:p w14:paraId="299C654E">
            <w:pPr>
              <w:adjustRightInd w:val="0"/>
              <w:snapToGrid w:val="0"/>
              <w:spacing w:line="240" w:lineRule="auto"/>
              <w:ind w:left="420" w:hanging="420" w:hangingChars="200"/>
              <w:jc w:val="center"/>
              <w:rPr>
                <w:rFonts w:cs="宋体"/>
                <w:snapToGrid w:val="0"/>
                <w:kern w:val="21"/>
                <w:sz w:val="21"/>
                <w:szCs w:val="21"/>
              </w:rPr>
            </w:pPr>
            <w:r>
              <w:rPr>
                <w:rFonts w:hint="eastAsia" w:eastAsia="等线"/>
                <w:color w:val="000000"/>
                <w:kern w:val="0"/>
                <w:sz w:val="21"/>
                <w:szCs w:val="21"/>
              </w:rPr>
              <w:t>0.082</w:t>
            </w:r>
            <w:r>
              <w:rPr>
                <w:snapToGrid w:val="0"/>
                <w:kern w:val="0"/>
                <w:sz w:val="21"/>
                <w:szCs w:val="21"/>
                <w:lang w:bidi="zh-CN"/>
              </w:rPr>
              <w:t xml:space="preserve"> t/a</w:t>
            </w:r>
          </w:p>
        </w:tc>
        <w:tc>
          <w:tcPr>
            <w:tcW w:w="1276" w:type="dxa"/>
            <w:tcBorders>
              <w:top w:val="single" w:color="auto" w:sz="4" w:space="0"/>
              <w:left w:val="single" w:color="auto" w:sz="4" w:space="0"/>
              <w:bottom w:val="single" w:color="auto" w:sz="4" w:space="0"/>
              <w:right w:val="single" w:color="auto" w:sz="4" w:space="0"/>
            </w:tcBorders>
            <w:vAlign w:val="center"/>
          </w:tcPr>
          <w:p w14:paraId="6FE73ACC">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701" w:type="dxa"/>
            <w:tcBorders>
              <w:top w:val="single" w:color="auto" w:sz="4" w:space="0"/>
              <w:left w:val="single" w:color="auto" w:sz="4" w:space="0"/>
              <w:bottom w:val="single" w:color="auto" w:sz="4" w:space="0"/>
              <w:right w:val="single" w:color="auto" w:sz="4" w:space="0"/>
            </w:tcBorders>
            <w:vAlign w:val="center"/>
          </w:tcPr>
          <w:p w14:paraId="14C79FAB">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59" w:type="dxa"/>
            <w:tcBorders>
              <w:top w:val="single" w:color="auto" w:sz="4" w:space="0"/>
              <w:left w:val="single" w:color="auto" w:sz="4" w:space="0"/>
              <w:bottom w:val="single" w:color="auto" w:sz="4" w:space="0"/>
              <w:right w:val="single" w:color="auto" w:sz="4" w:space="0"/>
            </w:tcBorders>
            <w:vAlign w:val="center"/>
          </w:tcPr>
          <w:p w14:paraId="49452AD4">
            <w:pPr>
              <w:adjustRightInd w:val="0"/>
              <w:snapToGrid w:val="0"/>
              <w:spacing w:line="240" w:lineRule="auto"/>
              <w:ind w:left="420" w:hanging="420" w:hangingChars="200"/>
              <w:jc w:val="center"/>
              <w:rPr>
                <w:rFonts w:cs="宋体"/>
                <w:snapToGrid w:val="0"/>
                <w:kern w:val="21"/>
                <w:sz w:val="21"/>
                <w:szCs w:val="21"/>
              </w:rPr>
            </w:pPr>
            <w:r>
              <w:rPr>
                <w:rFonts w:hint="eastAsia"/>
                <w:snapToGrid w:val="0"/>
                <w:kern w:val="0"/>
                <w:sz w:val="21"/>
                <w:szCs w:val="21"/>
                <w:lang w:bidi="zh-CN"/>
              </w:rPr>
              <w:t>0.073 t/a</w:t>
            </w:r>
          </w:p>
        </w:tc>
        <w:tc>
          <w:tcPr>
            <w:tcW w:w="1761" w:type="dxa"/>
            <w:tcBorders>
              <w:top w:val="single" w:color="auto" w:sz="4" w:space="0"/>
              <w:left w:val="single" w:color="auto" w:sz="4" w:space="0"/>
              <w:bottom w:val="single" w:color="auto" w:sz="4" w:space="0"/>
              <w:right w:val="single" w:color="auto" w:sz="4" w:space="0"/>
            </w:tcBorders>
            <w:vAlign w:val="center"/>
          </w:tcPr>
          <w:p w14:paraId="7D88DA55">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02" w:type="dxa"/>
            <w:tcBorders>
              <w:top w:val="single" w:color="auto" w:sz="4" w:space="0"/>
              <w:left w:val="single" w:color="auto" w:sz="4" w:space="0"/>
              <w:bottom w:val="single" w:color="auto" w:sz="4" w:space="0"/>
              <w:right w:val="single" w:color="auto" w:sz="4" w:space="0"/>
            </w:tcBorders>
            <w:vAlign w:val="center"/>
          </w:tcPr>
          <w:p w14:paraId="062CEE7C">
            <w:pPr>
              <w:adjustRightInd w:val="0"/>
              <w:snapToGrid w:val="0"/>
              <w:spacing w:line="240" w:lineRule="auto"/>
              <w:ind w:left="420" w:hanging="420" w:hangingChars="200"/>
              <w:jc w:val="center"/>
              <w:rPr>
                <w:rFonts w:cs="宋体"/>
                <w:snapToGrid w:val="0"/>
                <w:kern w:val="21"/>
                <w:sz w:val="21"/>
                <w:szCs w:val="21"/>
              </w:rPr>
            </w:pPr>
            <w:r>
              <w:rPr>
                <w:rFonts w:hint="eastAsia" w:eastAsia="等线"/>
                <w:color w:val="000000"/>
                <w:kern w:val="0"/>
                <w:sz w:val="21"/>
                <w:szCs w:val="21"/>
              </w:rPr>
              <w:t>0.155</w:t>
            </w:r>
            <w:r>
              <w:rPr>
                <w:snapToGrid w:val="0"/>
                <w:kern w:val="0"/>
                <w:sz w:val="21"/>
                <w:szCs w:val="21"/>
                <w:lang w:bidi="zh-CN"/>
              </w:rPr>
              <w:t>t/a</w:t>
            </w:r>
          </w:p>
        </w:tc>
        <w:tc>
          <w:tcPr>
            <w:tcW w:w="1283" w:type="dxa"/>
            <w:tcBorders>
              <w:top w:val="single" w:color="auto" w:sz="4" w:space="0"/>
              <w:left w:val="single" w:color="auto" w:sz="4" w:space="0"/>
              <w:bottom w:val="single" w:color="auto" w:sz="4" w:space="0"/>
              <w:right w:val="single" w:color="auto" w:sz="8" w:space="0"/>
            </w:tcBorders>
            <w:vAlign w:val="center"/>
          </w:tcPr>
          <w:p w14:paraId="04C5CB6A">
            <w:pPr>
              <w:adjustRightInd w:val="0"/>
              <w:snapToGrid w:val="0"/>
              <w:spacing w:line="240" w:lineRule="auto"/>
              <w:ind w:left="420" w:hanging="420" w:hangingChars="200"/>
              <w:jc w:val="center"/>
              <w:rPr>
                <w:rFonts w:cs="宋体"/>
                <w:snapToGrid w:val="0"/>
                <w:color w:val="FF0000"/>
                <w:kern w:val="21"/>
                <w:sz w:val="21"/>
                <w:szCs w:val="21"/>
              </w:rPr>
            </w:pPr>
            <w:r>
              <w:rPr>
                <w:snapToGrid w:val="0"/>
                <w:kern w:val="0"/>
                <w:sz w:val="21"/>
                <w:szCs w:val="21"/>
                <w:lang w:bidi="zh-CN"/>
              </w:rPr>
              <w:t>+</w:t>
            </w:r>
            <w:r>
              <w:rPr>
                <w:rFonts w:hint="eastAsia"/>
                <w:snapToGrid w:val="0"/>
                <w:kern w:val="0"/>
                <w:sz w:val="21"/>
                <w:szCs w:val="21"/>
                <w:lang w:bidi="zh-CN"/>
              </w:rPr>
              <w:t>0.073 t/a</w:t>
            </w:r>
          </w:p>
        </w:tc>
      </w:tr>
      <w:tr w14:paraId="3E695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14:paraId="6E093747">
            <w:pPr>
              <w:widowControl/>
              <w:spacing w:line="240" w:lineRule="auto"/>
              <w:rPr>
                <w:rFonts w:cs="宋体"/>
                <w:snapToGrid w:val="0"/>
                <w:kern w:val="21"/>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729A8717">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氨氮</w:t>
            </w:r>
          </w:p>
        </w:tc>
        <w:tc>
          <w:tcPr>
            <w:tcW w:w="1616" w:type="dxa"/>
            <w:tcBorders>
              <w:top w:val="single" w:color="auto" w:sz="4" w:space="0"/>
              <w:left w:val="single" w:color="auto" w:sz="4" w:space="0"/>
              <w:bottom w:val="single" w:color="auto" w:sz="4" w:space="0"/>
              <w:right w:val="single" w:color="auto" w:sz="4" w:space="0"/>
            </w:tcBorders>
            <w:vAlign w:val="center"/>
          </w:tcPr>
          <w:p w14:paraId="2D3D7791">
            <w:pPr>
              <w:adjustRightInd w:val="0"/>
              <w:snapToGrid w:val="0"/>
              <w:spacing w:line="240" w:lineRule="auto"/>
              <w:ind w:left="420" w:hanging="420" w:hangingChars="200"/>
              <w:jc w:val="center"/>
              <w:rPr>
                <w:rFonts w:cs="宋体"/>
                <w:snapToGrid w:val="0"/>
                <w:kern w:val="21"/>
                <w:sz w:val="21"/>
                <w:szCs w:val="21"/>
              </w:rPr>
            </w:pPr>
            <w:r>
              <w:rPr>
                <w:rFonts w:hint="eastAsia" w:eastAsia="等线"/>
                <w:color w:val="000000"/>
                <w:kern w:val="0"/>
                <w:sz w:val="21"/>
                <w:szCs w:val="21"/>
              </w:rPr>
              <w:t>0.016</w:t>
            </w:r>
            <w:r>
              <w:rPr>
                <w:snapToGrid w:val="0"/>
                <w:kern w:val="0"/>
                <w:sz w:val="21"/>
                <w:szCs w:val="21"/>
                <w:lang w:bidi="zh-CN"/>
              </w:rPr>
              <w:t xml:space="preserve"> t/a</w:t>
            </w:r>
          </w:p>
        </w:tc>
        <w:tc>
          <w:tcPr>
            <w:tcW w:w="1276" w:type="dxa"/>
            <w:tcBorders>
              <w:top w:val="single" w:color="auto" w:sz="4" w:space="0"/>
              <w:left w:val="single" w:color="auto" w:sz="4" w:space="0"/>
              <w:bottom w:val="single" w:color="auto" w:sz="4" w:space="0"/>
              <w:right w:val="single" w:color="auto" w:sz="4" w:space="0"/>
            </w:tcBorders>
            <w:vAlign w:val="center"/>
          </w:tcPr>
          <w:p w14:paraId="2A20B30B">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701" w:type="dxa"/>
            <w:tcBorders>
              <w:top w:val="single" w:color="auto" w:sz="4" w:space="0"/>
              <w:left w:val="single" w:color="auto" w:sz="4" w:space="0"/>
              <w:bottom w:val="single" w:color="auto" w:sz="4" w:space="0"/>
              <w:right w:val="single" w:color="auto" w:sz="4" w:space="0"/>
            </w:tcBorders>
            <w:vAlign w:val="center"/>
          </w:tcPr>
          <w:p w14:paraId="43817DC5">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59" w:type="dxa"/>
            <w:tcBorders>
              <w:top w:val="single" w:color="auto" w:sz="4" w:space="0"/>
              <w:left w:val="single" w:color="auto" w:sz="4" w:space="0"/>
              <w:bottom w:val="single" w:color="auto" w:sz="4" w:space="0"/>
              <w:right w:val="single" w:color="auto" w:sz="4" w:space="0"/>
            </w:tcBorders>
            <w:vAlign w:val="center"/>
          </w:tcPr>
          <w:p w14:paraId="59C2C110">
            <w:pPr>
              <w:adjustRightInd w:val="0"/>
              <w:snapToGrid w:val="0"/>
              <w:spacing w:line="240" w:lineRule="auto"/>
              <w:ind w:left="420" w:hanging="420" w:hangingChars="200"/>
              <w:jc w:val="center"/>
              <w:rPr>
                <w:rFonts w:cs="宋体"/>
                <w:snapToGrid w:val="0"/>
                <w:kern w:val="21"/>
                <w:sz w:val="21"/>
                <w:szCs w:val="21"/>
              </w:rPr>
            </w:pPr>
            <w:r>
              <w:rPr>
                <w:rFonts w:hint="eastAsia"/>
                <w:snapToGrid w:val="0"/>
                <w:kern w:val="0"/>
                <w:sz w:val="21"/>
                <w:szCs w:val="21"/>
                <w:lang w:bidi="zh-CN"/>
              </w:rPr>
              <w:t>0.015 t/a</w:t>
            </w:r>
          </w:p>
        </w:tc>
        <w:tc>
          <w:tcPr>
            <w:tcW w:w="1761" w:type="dxa"/>
            <w:tcBorders>
              <w:top w:val="single" w:color="auto" w:sz="4" w:space="0"/>
              <w:left w:val="single" w:color="auto" w:sz="4" w:space="0"/>
              <w:bottom w:val="single" w:color="auto" w:sz="4" w:space="0"/>
              <w:right w:val="single" w:color="auto" w:sz="4" w:space="0"/>
            </w:tcBorders>
            <w:vAlign w:val="center"/>
          </w:tcPr>
          <w:p w14:paraId="1F755C21">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02" w:type="dxa"/>
            <w:tcBorders>
              <w:top w:val="single" w:color="auto" w:sz="4" w:space="0"/>
              <w:left w:val="single" w:color="auto" w:sz="4" w:space="0"/>
              <w:bottom w:val="single" w:color="auto" w:sz="4" w:space="0"/>
              <w:right w:val="single" w:color="auto" w:sz="4" w:space="0"/>
            </w:tcBorders>
            <w:vAlign w:val="center"/>
          </w:tcPr>
          <w:p w14:paraId="745C253E">
            <w:pPr>
              <w:adjustRightInd w:val="0"/>
              <w:snapToGrid w:val="0"/>
              <w:spacing w:line="240" w:lineRule="auto"/>
              <w:ind w:left="420" w:hanging="420" w:hangingChars="200"/>
              <w:jc w:val="center"/>
              <w:rPr>
                <w:rFonts w:cs="宋体"/>
                <w:snapToGrid w:val="0"/>
                <w:kern w:val="21"/>
                <w:sz w:val="21"/>
                <w:szCs w:val="21"/>
              </w:rPr>
            </w:pPr>
            <w:r>
              <w:rPr>
                <w:rFonts w:hint="eastAsia" w:eastAsia="等线"/>
                <w:color w:val="000000"/>
                <w:kern w:val="0"/>
                <w:sz w:val="21"/>
                <w:szCs w:val="21"/>
              </w:rPr>
              <w:t>0.031</w:t>
            </w:r>
            <w:r>
              <w:rPr>
                <w:snapToGrid w:val="0"/>
                <w:kern w:val="0"/>
                <w:sz w:val="21"/>
                <w:szCs w:val="21"/>
                <w:lang w:bidi="zh-CN"/>
              </w:rPr>
              <w:t>t/a</w:t>
            </w:r>
          </w:p>
        </w:tc>
        <w:tc>
          <w:tcPr>
            <w:tcW w:w="1283" w:type="dxa"/>
            <w:tcBorders>
              <w:top w:val="single" w:color="auto" w:sz="4" w:space="0"/>
              <w:left w:val="single" w:color="auto" w:sz="4" w:space="0"/>
              <w:bottom w:val="single" w:color="auto" w:sz="4" w:space="0"/>
              <w:right w:val="single" w:color="auto" w:sz="8" w:space="0"/>
            </w:tcBorders>
            <w:vAlign w:val="center"/>
          </w:tcPr>
          <w:p w14:paraId="0E0DB1C3">
            <w:pPr>
              <w:adjustRightInd w:val="0"/>
              <w:snapToGrid w:val="0"/>
              <w:spacing w:line="240" w:lineRule="auto"/>
              <w:ind w:left="420" w:hanging="420" w:hangingChars="200"/>
              <w:jc w:val="center"/>
              <w:rPr>
                <w:rFonts w:cs="宋体"/>
                <w:snapToGrid w:val="0"/>
                <w:color w:val="FF0000"/>
                <w:kern w:val="21"/>
                <w:sz w:val="21"/>
                <w:szCs w:val="21"/>
              </w:rPr>
            </w:pPr>
            <w:r>
              <w:rPr>
                <w:snapToGrid w:val="0"/>
                <w:kern w:val="0"/>
                <w:sz w:val="21"/>
                <w:szCs w:val="21"/>
                <w:lang w:bidi="zh-CN"/>
              </w:rPr>
              <w:t>+</w:t>
            </w:r>
            <w:r>
              <w:rPr>
                <w:rFonts w:hint="eastAsia"/>
                <w:snapToGrid w:val="0"/>
                <w:kern w:val="0"/>
                <w:sz w:val="21"/>
                <w:szCs w:val="21"/>
                <w:lang w:bidi="zh-CN"/>
              </w:rPr>
              <w:t>0.015 t/a</w:t>
            </w:r>
          </w:p>
        </w:tc>
      </w:tr>
      <w:tr w14:paraId="2BAEA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tcBorders>
              <w:top w:val="single" w:color="auto" w:sz="4" w:space="0"/>
              <w:left w:val="single" w:color="auto" w:sz="8" w:space="0"/>
              <w:bottom w:val="single" w:color="auto" w:sz="4" w:space="0"/>
              <w:right w:val="single" w:color="auto" w:sz="4" w:space="0"/>
            </w:tcBorders>
            <w:vAlign w:val="center"/>
          </w:tcPr>
          <w:p w14:paraId="696C0032">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生活垃圾</w:t>
            </w:r>
          </w:p>
        </w:tc>
        <w:tc>
          <w:tcPr>
            <w:tcW w:w="1500" w:type="dxa"/>
            <w:tcBorders>
              <w:top w:val="single" w:color="auto" w:sz="4" w:space="0"/>
              <w:left w:val="single" w:color="auto" w:sz="4" w:space="0"/>
              <w:bottom w:val="single" w:color="auto" w:sz="4" w:space="0"/>
              <w:right w:val="single" w:color="auto" w:sz="4" w:space="0"/>
            </w:tcBorders>
            <w:vAlign w:val="center"/>
          </w:tcPr>
          <w:p w14:paraId="6F505F0B">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生活垃圾</w:t>
            </w:r>
          </w:p>
        </w:tc>
        <w:tc>
          <w:tcPr>
            <w:tcW w:w="1616" w:type="dxa"/>
            <w:tcBorders>
              <w:top w:val="single" w:color="auto" w:sz="4" w:space="0"/>
              <w:left w:val="single" w:color="auto" w:sz="4" w:space="0"/>
              <w:bottom w:val="single" w:color="auto" w:sz="4" w:space="0"/>
              <w:right w:val="single" w:color="auto" w:sz="4" w:space="0"/>
            </w:tcBorders>
            <w:vAlign w:val="center"/>
          </w:tcPr>
          <w:p w14:paraId="795B23E0">
            <w:pPr>
              <w:adjustRightInd w:val="0"/>
              <w:snapToGrid w:val="0"/>
              <w:spacing w:line="240" w:lineRule="auto"/>
              <w:ind w:left="420" w:hanging="420" w:hangingChars="200"/>
              <w:jc w:val="center"/>
              <w:rPr>
                <w:rFonts w:cs="宋体"/>
                <w:snapToGrid w:val="0"/>
                <w:kern w:val="21"/>
                <w:sz w:val="21"/>
                <w:szCs w:val="21"/>
              </w:rPr>
            </w:pPr>
            <w:r>
              <w:rPr>
                <w:snapToGrid w:val="0"/>
                <w:kern w:val="0"/>
                <w:sz w:val="21"/>
                <w:szCs w:val="21"/>
                <w:lang w:bidi="zh-CN"/>
              </w:rPr>
              <w:t>5.475 t/a</w:t>
            </w:r>
          </w:p>
        </w:tc>
        <w:tc>
          <w:tcPr>
            <w:tcW w:w="1276" w:type="dxa"/>
            <w:tcBorders>
              <w:top w:val="single" w:color="auto" w:sz="4" w:space="0"/>
              <w:left w:val="single" w:color="auto" w:sz="4" w:space="0"/>
              <w:bottom w:val="single" w:color="auto" w:sz="4" w:space="0"/>
              <w:right w:val="single" w:color="auto" w:sz="4" w:space="0"/>
            </w:tcBorders>
            <w:vAlign w:val="center"/>
          </w:tcPr>
          <w:p w14:paraId="387C4462">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701" w:type="dxa"/>
            <w:tcBorders>
              <w:top w:val="single" w:color="auto" w:sz="4" w:space="0"/>
              <w:left w:val="single" w:color="auto" w:sz="4" w:space="0"/>
              <w:bottom w:val="single" w:color="auto" w:sz="4" w:space="0"/>
              <w:right w:val="single" w:color="auto" w:sz="4" w:space="0"/>
            </w:tcBorders>
            <w:vAlign w:val="center"/>
          </w:tcPr>
          <w:p w14:paraId="12582EC2">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59" w:type="dxa"/>
            <w:tcBorders>
              <w:top w:val="single" w:color="auto" w:sz="4" w:space="0"/>
              <w:left w:val="single" w:color="auto" w:sz="4" w:space="0"/>
              <w:bottom w:val="single" w:color="auto" w:sz="4" w:space="0"/>
              <w:right w:val="single" w:color="auto" w:sz="4" w:space="0"/>
            </w:tcBorders>
            <w:vAlign w:val="center"/>
          </w:tcPr>
          <w:p w14:paraId="5C068312">
            <w:pPr>
              <w:adjustRightInd w:val="0"/>
              <w:snapToGrid w:val="0"/>
              <w:spacing w:line="240" w:lineRule="auto"/>
              <w:ind w:left="420" w:hanging="420" w:hangingChars="200"/>
              <w:jc w:val="center"/>
              <w:rPr>
                <w:rFonts w:cs="宋体"/>
                <w:snapToGrid w:val="0"/>
                <w:kern w:val="21"/>
                <w:sz w:val="21"/>
                <w:szCs w:val="21"/>
              </w:rPr>
            </w:pPr>
            <w:r>
              <w:rPr>
                <w:rFonts w:hint="eastAsia"/>
                <w:snapToGrid w:val="0"/>
                <w:kern w:val="0"/>
                <w:sz w:val="21"/>
                <w:szCs w:val="21"/>
                <w:lang w:bidi="zh-CN"/>
              </w:rPr>
              <w:t>3.65</w:t>
            </w:r>
            <w:r>
              <w:rPr>
                <w:snapToGrid w:val="0"/>
                <w:kern w:val="0"/>
                <w:sz w:val="21"/>
                <w:szCs w:val="21"/>
                <w:lang w:bidi="zh-CN"/>
              </w:rPr>
              <w:t xml:space="preserve"> t/a</w:t>
            </w:r>
          </w:p>
        </w:tc>
        <w:tc>
          <w:tcPr>
            <w:tcW w:w="1761" w:type="dxa"/>
            <w:tcBorders>
              <w:top w:val="single" w:color="auto" w:sz="4" w:space="0"/>
              <w:left w:val="single" w:color="auto" w:sz="4" w:space="0"/>
              <w:bottom w:val="single" w:color="auto" w:sz="4" w:space="0"/>
              <w:right w:val="single" w:color="auto" w:sz="4" w:space="0"/>
            </w:tcBorders>
            <w:vAlign w:val="center"/>
          </w:tcPr>
          <w:p w14:paraId="00DF2508">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02" w:type="dxa"/>
            <w:tcBorders>
              <w:top w:val="single" w:color="auto" w:sz="4" w:space="0"/>
              <w:left w:val="single" w:color="auto" w:sz="4" w:space="0"/>
              <w:bottom w:val="single" w:color="auto" w:sz="4" w:space="0"/>
              <w:right w:val="single" w:color="auto" w:sz="4" w:space="0"/>
            </w:tcBorders>
            <w:vAlign w:val="center"/>
          </w:tcPr>
          <w:p w14:paraId="0B9C4F12">
            <w:pPr>
              <w:adjustRightInd w:val="0"/>
              <w:snapToGrid w:val="0"/>
              <w:spacing w:line="240" w:lineRule="auto"/>
              <w:ind w:left="420" w:hanging="420" w:hangingChars="200"/>
              <w:jc w:val="center"/>
              <w:rPr>
                <w:rFonts w:cs="宋体"/>
                <w:snapToGrid w:val="0"/>
                <w:kern w:val="21"/>
                <w:sz w:val="21"/>
                <w:szCs w:val="21"/>
              </w:rPr>
            </w:pPr>
            <w:r>
              <w:rPr>
                <w:bCs/>
                <w:snapToGrid w:val="0"/>
                <w:kern w:val="0"/>
                <w:sz w:val="21"/>
                <w:szCs w:val="21"/>
              </w:rPr>
              <w:t>9.125</w:t>
            </w:r>
            <w:r>
              <w:rPr>
                <w:snapToGrid w:val="0"/>
                <w:kern w:val="0"/>
                <w:sz w:val="21"/>
                <w:szCs w:val="21"/>
                <w:lang w:bidi="zh-CN"/>
              </w:rPr>
              <w:t xml:space="preserve"> t/a</w:t>
            </w:r>
          </w:p>
        </w:tc>
        <w:tc>
          <w:tcPr>
            <w:tcW w:w="1283" w:type="dxa"/>
            <w:tcBorders>
              <w:top w:val="single" w:color="auto" w:sz="4" w:space="0"/>
              <w:left w:val="single" w:color="auto" w:sz="4" w:space="0"/>
              <w:bottom w:val="single" w:color="auto" w:sz="4" w:space="0"/>
              <w:right w:val="single" w:color="auto" w:sz="8" w:space="0"/>
            </w:tcBorders>
            <w:vAlign w:val="center"/>
          </w:tcPr>
          <w:p w14:paraId="06920AA2">
            <w:pPr>
              <w:adjustRightInd w:val="0"/>
              <w:snapToGrid w:val="0"/>
              <w:spacing w:line="240" w:lineRule="auto"/>
              <w:jc w:val="center"/>
              <w:rPr>
                <w:rFonts w:cs="宋体"/>
                <w:snapToGrid w:val="0"/>
                <w:kern w:val="21"/>
                <w:sz w:val="21"/>
                <w:szCs w:val="21"/>
              </w:rPr>
            </w:pPr>
            <w:r>
              <w:rPr>
                <w:snapToGrid w:val="0"/>
                <w:kern w:val="0"/>
                <w:sz w:val="21"/>
                <w:szCs w:val="21"/>
                <w:lang w:bidi="zh-CN"/>
              </w:rPr>
              <w:t>+</w:t>
            </w:r>
            <w:r>
              <w:rPr>
                <w:rFonts w:hint="eastAsia"/>
                <w:snapToGrid w:val="0"/>
                <w:kern w:val="0"/>
                <w:sz w:val="21"/>
                <w:szCs w:val="21"/>
                <w:lang w:bidi="zh-CN"/>
              </w:rPr>
              <w:t>3.65</w:t>
            </w:r>
            <w:r>
              <w:rPr>
                <w:snapToGrid w:val="0"/>
                <w:kern w:val="0"/>
                <w:sz w:val="21"/>
                <w:szCs w:val="21"/>
                <w:lang w:bidi="zh-CN"/>
              </w:rPr>
              <w:t xml:space="preserve"> t/a</w:t>
            </w:r>
          </w:p>
        </w:tc>
      </w:tr>
      <w:tr w14:paraId="1B436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restart"/>
            <w:tcBorders>
              <w:top w:val="single" w:color="auto" w:sz="4" w:space="0"/>
              <w:left w:val="single" w:color="auto" w:sz="8" w:space="0"/>
              <w:right w:val="single" w:color="auto" w:sz="4" w:space="0"/>
            </w:tcBorders>
            <w:vAlign w:val="center"/>
          </w:tcPr>
          <w:p w14:paraId="65E7F627">
            <w:pPr>
              <w:adjustRightInd w:val="0"/>
              <w:snapToGrid w:val="0"/>
              <w:spacing w:line="240" w:lineRule="auto"/>
              <w:ind w:left="420" w:hanging="420" w:hangingChars="200"/>
              <w:jc w:val="center"/>
              <w:rPr>
                <w:rFonts w:cs="宋体"/>
                <w:snapToGrid w:val="0"/>
                <w:kern w:val="21"/>
                <w:sz w:val="21"/>
                <w:szCs w:val="21"/>
              </w:rPr>
            </w:pPr>
            <w:r>
              <w:rPr>
                <w:rFonts w:hint="eastAsia" w:cs="宋体"/>
                <w:snapToGrid w:val="0"/>
                <w:kern w:val="21"/>
                <w:sz w:val="21"/>
                <w:szCs w:val="21"/>
              </w:rPr>
              <w:t>危险废物</w:t>
            </w:r>
          </w:p>
        </w:tc>
        <w:tc>
          <w:tcPr>
            <w:tcW w:w="1500" w:type="dxa"/>
            <w:tcBorders>
              <w:top w:val="single" w:color="auto" w:sz="4" w:space="0"/>
              <w:left w:val="single" w:color="auto" w:sz="4" w:space="0"/>
              <w:bottom w:val="single" w:color="auto" w:sz="4" w:space="0"/>
              <w:right w:val="single" w:color="auto" w:sz="4" w:space="0"/>
            </w:tcBorders>
            <w:vAlign w:val="center"/>
          </w:tcPr>
          <w:p w14:paraId="0EDB2FF8">
            <w:pPr>
              <w:adjustRightInd w:val="0"/>
              <w:snapToGrid w:val="0"/>
              <w:spacing w:line="240" w:lineRule="auto"/>
              <w:ind w:left="420" w:hanging="420" w:hangingChars="200"/>
              <w:jc w:val="center"/>
              <w:rPr>
                <w:rFonts w:cs="宋体"/>
                <w:snapToGrid w:val="0"/>
                <w:kern w:val="21"/>
                <w:sz w:val="21"/>
                <w:szCs w:val="21"/>
              </w:rPr>
            </w:pPr>
            <w:r>
              <w:rPr>
                <w:rFonts w:hint="eastAsia"/>
                <w:sz w:val="21"/>
                <w:szCs w:val="21"/>
              </w:rPr>
              <w:t>医疗危废</w:t>
            </w:r>
          </w:p>
        </w:tc>
        <w:tc>
          <w:tcPr>
            <w:tcW w:w="1616" w:type="dxa"/>
            <w:tcBorders>
              <w:top w:val="single" w:color="auto" w:sz="4" w:space="0"/>
              <w:left w:val="single" w:color="auto" w:sz="4" w:space="0"/>
              <w:bottom w:val="single" w:color="auto" w:sz="4" w:space="0"/>
              <w:right w:val="single" w:color="auto" w:sz="4" w:space="0"/>
            </w:tcBorders>
            <w:vAlign w:val="center"/>
          </w:tcPr>
          <w:p w14:paraId="09CBE735">
            <w:pPr>
              <w:adjustRightInd w:val="0"/>
              <w:snapToGrid w:val="0"/>
              <w:spacing w:line="240" w:lineRule="auto"/>
              <w:ind w:left="420" w:hanging="420" w:hangingChars="200"/>
              <w:jc w:val="center"/>
              <w:rPr>
                <w:rFonts w:cs="宋体"/>
                <w:snapToGrid w:val="0"/>
                <w:kern w:val="21"/>
                <w:sz w:val="21"/>
                <w:szCs w:val="21"/>
              </w:rPr>
            </w:pPr>
            <w:r>
              <w:rPr>
                <w:rFonts w:hint="eastAsia"/>
                <w:kern w:val="0"/>
                <w:sz w:val="21"/>
                <w:szCs w:val="21"/>
                <w:u w:val="single"/>
              </w:rPr>
              <w:t>0.767</w:t>
            </w:r>
            <w:r>
              <w:rPr>
                <w:snapToGrid w:val="0"/>
                <w:kern w:val="0"/>
                <w:sz w:val="21"/>
                <w:szCs w:val="21"/>
                <w:lang w:bidi="zh-CN"/>
              </w:rPr>
              <w:t xml:space="preserve"> t/a</w:t>
            </w:r>
          </w:p>
        </w:tc>
        <w:tc>
          <w:tcPr>
            <w:tcW w:w="1276" w:type="dxa"/>
            <w:tcBorders>
              <w:top w:val="single" w:color="auto" w:sz="4" w:space="0"/>
              <w:left w:val="single" w:color="auto" w:sz="4" w:space="0"/>
              <w:bottom w:val="single" w:color="auto" w:sz="4" w:space="0"/>
              <w:right w:val="single" w:color="auto" w:sz="4" w:space="0"/>
            </w:tcBorders>
            <w:vAlign w:val="center"/>
          </w:tcPr>
          <w:p w14:paraId="6E7192E0">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701" w:type="dxa"/>
            <w:tcBorders>
              <w:top w:val="single" w:color="auto" w:sz="4" w:space="0"/>
              <w:left w:val="single" w:color="auto" w:sz="4" w:space="0"/>
              <w:bottom w:val="single" w:color="auto" w:sz="4" w:space="0"/>
              <w:right w:val="single" w:color="auto" w:sz="4" w:space="0"/>
            </w:tcBorders>
            <w:vAlign w:val="center"/>
          </w:tcPr>
          <w:p w14:paraId="161C852D">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59" w:type="dxa"/>
            <w:tcBorders>
              <w:top w:val="single" w:color="auto" w:sz="4" w:space="0"/>
              <w:left w:val="single" w:color="auto" w:sz="4" w:space="0"/>
              <w:bottom w:val="single" w:color="auto" w:sz="4" w:space="0"/>
              <w:right w:val="single" w:color="auto" w:sz="4" w:space="0"/>
            </w:tcBorders>
            <w:vAlign w:val="center"/>
          </w:tcPr>
          <w:p w14:paraId="5F2DD51B">
            <w:pPr>
              <w:adjustRightInd w:val="0"/>
              <w:snapToGrid w:val="0"/>
              <w:spacing w:line="240" w:lineRule="auto"/>
              <w:ind w:left="420" w:hanging="420" w:hangingChars="200"/>
              <w:jc w:val="center"/>
              <w:rPr>
                <w:rFonts w:hint="eastAsia" w:cs="宋体"/>
                <w:snapToGrid w:val="0"/>
                <w:kern w:val="21"/>
                <w:sz w:val="21"/>
                <w:szCs w:val="21"/>
              </w:rPr>
            </w:pPr>
            <w:r>
              <w:rPr>
                <w:rFonts w:hint="eastAsia"/>
                <w:bCs/>
                <w:snapToGrid w:val="0"/>
                <w:kern w:val="0"/>
                <w:sz w:val="21"/>
                <w:szCs w:val="21"/>
                <w:u w:val="single"/>
              </w:rPr>
              <w:t>3.833t/a</w:t>
            </w:r>
          </w:p>
        </w:tc>
        <w:tc>
          <w:tcPr>
            <w:tcW w:w="1761" w:type="dxa"/>
            <w:tcBorders>
              <w:top w:val="single" w:color="auto" w:sz="4" w:space="0"/>
              <w:left w:val="single" w:color="auto" w:sz="4" w:space="0"/>
              <w:bottom w:val="single" w:color="auto" w:sz="4" w:space="0"/>
              <w:right w:val="single" w:color="auto" w:sz="4" w:space="0"/>
            </w:tcBorders>
            <w:vAlign w:val="center"/>
          </w:tcPr>
          <w:p w14:paraId="7C554AC4">
            <w:pPr>
              <w:adjustRightInd w:val="0"/>
              <w:snapToGrid w:val="0"/>
              <w:spacing w:line="240" w:lineRule="auto"/>
              <w:ind w:left="420" w:hanging="420" w:hangingChars="200"/>
              <w:jc w:val="center"/>
              <w:rPr>
                <w:rFonts w:cs="宋体"/>
                <w:snapToGrid w:val="0"/>
                <w:kern w:val="21"/>
                <w:sz w:val="21"/>
                <w:szCs w:val="21"/>
              </w:rPr>
            </w:pPr>
            <w:r>
              <w:rPr>
                <w:rFonts w:hint="eastAsia"/>
                <w:kern w:val="0"/>
                <w:sz w:val="21"/>
                <w:szCs w:val="21"/>
                <w:u w:val="single"/>
              </w:rPr>
              <w:t>0.767</w:t>
            </w:r>
            <w:r>
              <w:rPr>
                <w:snapToGrid w:val="0"/>
                <w:kern w:val="0"/>
                <w:sz w:val="21"/>
                <w:szCs w:val="21"/>
                <w:lang w:bidi="zh-CN"/>
              </w:rPr>
              <w:t xml:space="preserve"> t/a</w:t>
            </w:r>
          </w:p>
        </w:tc>
        <w:tc>
          <w:tcPr>
            <w:tcW w:w="1502" w:type="dxa"/>
            <w:tcBorders>
              <w:top w:val="single" w:color="auto" w:sz="4" w:space="0"/>
              <w:left w:val="single" w:color="auto" w:sz="4" w:space="0"/>
              <w:bottom w:val="single" w:color="auto" w:sz="4" w:space="0"/>
              <w:right w:val="single" w:color="auto" w:sz="4" w:space="0"/>
            </w:tcBorders>
            <w:vAlign w:val="center"/>
          </w:tcPr>
          <w:p w14:paraId="6F2238DC">
            <w:pPr>
              <w:adjustRightInd w:val="0"/>
              <w:snapToGrid w:val="0"/>
              <w:spacing w:line="240" w:lineRule="auto"/>
              <w:ind w:left="420" w:hanging="420" w:hangingChars="200"/>
              <w:jc w:val="center"/>
              <w:rPr>
                <w:rFonts w:cs="宋体"/>
                <w:snapToGrid w:val="0"/>
                <w:kern w:val="21"/>
                <w:sz w:val="21"/>
                <w:szCs w:val="21"/>
              </w:rPr>
            </w:pPr>
            <w:r>
              <w:rPr>
                <w:rFonts w:hint="eastAsia"/>
                <w:bCs/>
                <w:snapToGrid w:val="0"/>
                <w:kern w:val="0"/>
                <w:sz w:val="21"/>
                <w:szCs w:val="21"/>
                <w:u w:val="single"/>
              </w:rPr>
              <w:t>3.833t/a</w:t>
            </w:r>
          </w:p>
        </w:tc>
        <w:tc>
          <w:tcPr>
            <w:tcW w:w="1283" w:type="dxa"/>
            <w:tcBorders>
              <w:top w:val="single" w:color="auto" w:sz="4" w:space="0"/>
              <w:left w:val="single" w:color="auto" w:sz="4" w:space="0"/>
              <w:bottom w:val="single" w:color="auto" w:sz="4" w:space="0"/>
              <w:right w:val="single" w:color="auto" w:sz="8" w:space="0"/>
            </w:tcBorders>
            <w:vAlign w:val="center"/>
          </w:tcPr>
          <w:p w14:paraId="0EEC5346">
            <w:pPr>
              <w:adjustRightInd w:val="0"/>
              <w:snapToGrid w:val="0"/>
              <w:spacing w:line="240" w:lineRule="auto"/>
              <w:ind w:left="420" w:hanging="420" w:hangingChars="200"/>
              <w:jc w:val="center"/>
              <w:rPr>
                <w:rFonts w:cs="宋体"/>
                <w:snapToGrid w:val="0"/>
                <w:kern w:val="21"/>
                <w:sz w:val="21"/>
                <w:szCs w:val="21"/>
              </w:rPr>
            </w:pPr>
            <w:r>
              <w:rPr>
                <w:snapToGrid w:val="0"/>
                <w:kern w:val="0"/>
                <w:sz w:val="21"/>
                <w:szCs w:val="21"/>
                <w:lang w:bidi="zh-CN"/>
              </w:rPr>
              <w:t>+3.066 t/a</w:t>
            </w:r>
          </w:p>
        </w:tc>
      </w:tr>
      <w:tr w14:paraId="22ECC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7" w:type="dxa"/>
            <w:vMerge w:val="continue"/>
            <w:tcBorders>
              <w:left w:val="single" w:color="auto" w:sz="8" w:space="0"/>
              <w:right w:val="single" w:color="auto" w:sz="4" w:space="0"/>
            </w:tcBorders>
            <w:vAlign w:val="center"/>
          </w:tcPr>
          <w:p w14:paraId="03F75548">
            <w:pPr>
              <w:widowControl/>
              <w:spacing w:line="240" w:lineRule="auto"/>
              <w:rPr>
                <w:rFonts w:cs="宋体"/>
                <w:snapToGrid w:val="0"/>
                <w:kern w:val="21"/>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428F5EA2">
            <w:pPr>
              <w:adjustRightInd w:val="0"/>
              <w:snapToGrid w:val="0"/>
              <w:spacing w:line="240" w:lineRule="auto"/>
              <w:ind w:left="420" w:hanging="420" w:hangingChars="200"/>
              <w:jc w:val="center"/>
              <w:rPr>
                <w:rFonts w:cs="宋体"/>
                <w:snapToGrid w:val="0"/>
                <w:kern w:val="21"/>
                <w:sz w:val="21"/>
                <w:szCs w:val="21"/>
              </w:rPr>
            </w:pPr>
            <w:r>
              <w:rPr>
                <w:rFonts w:hint="eastAsia"/>
                <w:sz w:val="21"/>
                <w:szCs w:val="21"/>
              </w:rPr>
              <w:t>污水处理污泥</w:t>
            </w:r>
          </w:p>
        </w:tc>
        <w:tc>
          <w:tcPr>
            <w:tcW w:w="1616" w:type="dxa"/>
            <w:tcBorders>
              <w:top w:val="single" w:color="auto" w:sz="4" w:space="0"/>
              <w:left w:val="single" w:color="auto" w:sz="4" w:space="0"/>
              <w:bottom w:val="single" w:color="auto" w:sz="4" w:space="0"/>
              <w:right w:val="single" w:color="auto" w:sz="4" w:space="0"/>
            </w:tcBorders>
            <w:vAlign w:val="center"/>
          </w:tcPr>
          <w:p w14:paraId="112E3E87">
            <w:pPr>
              <w:adjustRightInd w:val="0"/>
              <w:snapToGrid w:val="0"/>
              <w:spacing w:line="240" w:lineRule="auto"/>
              <w:ind w:left="420" w:hanging="420" w:hangingChars="200"/>
              <w:jc w:val="center"/>
              <w:rPr>
                <w:rFonts w:cs="宋体"/>
                <w:snapToGrid w:val="0"/>
                <w:kern w:val="21"/>
                <w:sz w:val="21"/>
                <w:szCs w:val="21"/>
              </w:rPr>
            </w:pPr>
            <w:r>
              <w:rPr>
                <w:kern w:val="0"/>
                <w:sz w:val="21"/>
                <w:szCs w:val="21"/>
                <w:u w:val="single"/>
              </w:rPr>
              <w:t>2.562</w:t>
            </w:r>
            <w:r>
              <w:rPr>
                <w:snapToGrid w:val="0"/>
                <w:kern w:val="0"/>
                <w:sz w:val="21"/>
                <w:szCs w:val="21"/>
                <w:lang w:bidi="zh-CN"/>
              </w:rPr>
              <w:t xml:space="preserve"> t/a</w:t>
            </w:r>
          </w:p>
        </w:tc>
        <w:tc>
          <w:tcPr>
            <w:tcW w:w="1276" w:type="dxa"/>
            <w:tcBorders>
              <w:top w:val="single" w:color="auto" w:sz="4" w:space="0"/>
              <w:left w:val="single" w:color="auto" w:sz="4" w:space="0"/>
              <w:bottom w:val="single" w:color="auto" w:sz="4" w:space="0"/>
              <w:right w:val="single" w:color="auto" w:sz="4" w:space="0"/>
            </w:tcBorders>
            <w:vAlign w:val="center"/>
          </w:tcPr>
          <w:p w14:paraId="36217412">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701" w:type="dxa"/>
            <w:tcBorders>
              <w:top w:val="single" w:color="auto" w:sz="4" w:space="0"/>
              <w:left w:val="single" w:color="auto" w:sz="4" w:space="0"/>
              <w:bottom w:val="single" w:color="auto" w:sz="4" w:space="0"/>
              <w:right w:val="single" w:color="auto" w:sz="4" w:space="0"/>
            </w:tcBorders>
            <w:vAlign w:val="center"/>
          </w:tcPr>
          <w:p w14:paraId="3C6EA4C4">
            <w:pPr>
              <w:adjustRightInd w:val="0"/>
              <w:snapToGrid w:val="0"/>
              <w:spacing w:line="240" w:lineRule="auto"/>
              <w:ind w:left="420" w:hanging="420" w:hangingChars="200"/>
              <w:jc w:val="center"/>
              <w:rPr>
                <w:rFonts w:cs="宋体"/>
                <w:snapToGrid w:val="0"/>
                <w:kern w:val="21"/>
                <w:sz w:val="21"/>
                <w:szCs w:val="21"/>
              </w:rPr>
            </w:pPr>
            <w:r>
              <w:rPr>
                <w:rFonts w:cs="宋体"/>
                <w:snapToGrid w:val="0"/>
                <w:kern w:val="21"/>
                <w:sz w:val="21"/>
                <w:szCs w:val="21"/>
              </w:rPr>
              <w:t>0</w:t>
            </w:r>
            <w:r>
              <w:rPr>
                <w:snapToGrid w:val="0"/>
                <w:kern w:val="0"/>
                <w:sz w:val="21"/>
                <w:szCs w:val="21"/>
                <w:lang w:bidi="zh-CN"/>
              </w:rPr>
              <w:t xml:space="preserve"> t/a</w:t>
            </w:r>
          </w:p>
        </w:tc>
        <w:tc>
          <w:tcPr>
            <w:tcW w:w="1559" w:type="dxa"/>
            <w:tcBorders>
              <w:top w:val="single" w:color="auto" w:sz="4" w:space="0"/>
              <w:left w:val="single" w:color="auto" w:sz="4" w:space="0"/>
              <w:bottom w:val="single" w:color="auto" w:sz="4" w:space="0"/>
              <w:right w:val="single" w:color="auto" w:sz="4" w:space="0"/>
            </w:tcBorders>
            <w:vAlign w:val="center"/>
          </w:tcPr>
          <w:p w14:paraId="7BB3BEF4">
            <w:pPr>
              <w:adjustRightInd w:val="0"/>
              <w:snapToGrid w:val="0"/>
              <w:spacing w:line="240" w:lineRule="auto"/>
              <w:ind w:left="420" w:hanging="420" w:hangingChars="200"/>
              <w:jc w:val="center"/>
              <w:rPr>
                <w:rFonts w:hint="eastAsia" w:cs="宋体"/>
                <w:snapToGrid w:val="0"/>
                <w:kern w:val="21"/>
                <w:sz w:val="21"/>
                <w:szCs w:val="21"/>
              </w:rPr>
            </w:pPr>
            <w:r>
              <w:rPr>
                <w:rFonts w:hint="eastAsia"/>
                <w:bCs/>
                <w:snapToGrid w:val="0"/>
                <w:kern w:val="0"/>
                <w:sz w:val="21"/>
                <w:szCs w:val="21"/>
                <w:u w:val="single"/>
              </w:rPr>
              <w:t>2.957t/a</w:t>
            </w:r>
          </w:p>
        </w:tc>
        <w:tc>
          <w:tcPr>
            <w:tcW w:w="1761" w:type="dxa"/>
            <w:tcBorders>
              <w:top w:val="single" w:color="auto" w:sz="4" w:space="0"/>
              <w:left w:val="single" w:color="auto" w:sz="4" w:space="0"/>
              <w:bottom w:val="single" w:color="auto" w:sz="4" w:space="0"/>
              <w:right w:val="single" w:color="auto" w:sz="4" w:space="0"/>
            </w:tcBorders>
            <w:vAlign w:val="center"/>
          </w:tcPr>
          <w:p w14:paraId="39B188FB">
            <w:pPr>
              <w:adjustRightInd w:val="0"/>
              <w:snapToGrid w:val="0"/>
              <w:spacing w:line="240" w:lineRule="auto"/>
              <w:ind w:left="420" w:hanging="420" w:hangingChars="200"/>
              <w:jc w:val="center"/>
              <w:rPr>
                <w:rFonts w:cs="宋体"/>
                <w:snapToGrid w:val="0"/>
                <w:kern w:val="21"/>
                <w:sz w:val="21"/>
                <w:szCs w:val="21"/>
              </w:rPr>
            </w:pPr>
            <w:r>
              <w:rPr>
                <w:kern w:val="0"/>
                <w:sz w:val="21"/>
                <w:szCs w:val="21"/>
                <w:u w:val="single"/>
              </w:rPr>
              <w:t>2.562</w:t>
            </w:r>
            <w:r>
              <w:rPr>
                <w:snapToGrid w:val="0"/>
                <w:kern w:val="0"/>
                <w:sz w:val="21"/>
                <w:szCs w:val="21"/>
                <w:lang w:bidi="zh-CN"/>
              </w:rPr>
              <w:t xml:space="preserve"> t/a</w:t>
            </w:r>
          </w:p>
        </w:tc>
        <w:tc>
          <w:tcPr>
            <w:tcW w:w="1502" w:type="dxa"/>
            <w:tcBorders>
              <w:top w:val="single" w:color="auto" w:sz="4" w:space="0"/>
              <w:left w:val="single" w:color="auto" w:sz="4" w:space="0"/>
              <w:bottom w:val="single" w:color="auto" w:sz="4" w:space="0"/>
              <w:right w:val="single" w:color="auto" w:sz="4" w:space="0"/>
            </w:tcBorders>
            <w:vAlign w:val="center"/>
          </w:tcPr>
          <w:p w14:paraId="6AE0E637">
            <w:pPr>
              <w:adjustRightInd w:val="0"/>
              <w:snapToGrid w:val="0"/>
              <w:spacing w:line="240" w:lineRule="auto"/>
              <w:ind w:left="420" w:hanging="420" w:hangingChars="200"/>
              <w:jc w:val="center"/>
              <w:rPr>
                <w:rFonts w:cs="宋体"/>
                <w:snapToGrid w:val="0"/>
                <w:kern w:val="21"/>
                <w:sz w:val="21"/>
                <w:szCs w:val="21"/>
              </w:rPr>
            </w:pPr>
            <w:r>
              <w:rPr>
                <w:rFonts w:hint="eastAsia"/>
                <w:bCs/>
                <w:snapToGrid w:val="0"/>
                <w:kern w:val="0"/>
                <w:sz w:val="21"/>
                <w:szCs w:val="21"/>
                <w:u w:val="single"/>
              </w:rPr>
              <w:t>2.957t/a</w:t>
            </w:r>
          </w:p>
        </w:tc>
        <w:tc>
          <w:tcPr>
            <w:tcW w:w="1283" w:type="dxa"/>
            <w:tcBorders>
              <w:top w:val="single" w:color="auto" w:sz="4" w:space="0"/>
              <w:left w:val="single" w:color="auto" w:sz="4" w:space="0"/>
              <w:bottom w:val="single" w:color="auto" w:sz="4" w:space="0"/>
              <w:right w:val="single" w:color="auto" w:sz="8" w:space="0"/>
            </w:tcBorders>
            <w:vAlign w:val="center"/>
          </w:tcPr>
          <w:p w14:paraId="50ECAE70">
            <w:pPr>
              <w:adjustRightInd w:val="0"/>
              <w:snapToGrid w:val="0"/>
              <w:spacing w:line="240" w:lineRule="auto"/>
              <w:ind w:left="420" w:hanging="420" w:hangingChars="200"/>
              <w:jc w:val="center"/>
              <w:rPr>
                <w:rFonts w:cs="宋体"/>
                <w:snapToGrid w:val="0"/>
                <w:kern w:val="21"/>
                <w:sz w:val="21"/>
                <w:szCs w:val="21"/>
              </w:rPr>
            </w:pPr>
            <w:r>
              <w:rPr>
                <w:snapToGrid w:val="0"/>
                <w:kern w:val="0"/>
                <w:sz w:val="21"/>
                <w:szCs w:val="21"/>
                <w:lang w:bidi="zh-CN"/>
              </w:rPr>
              <w:t>+0.395 t/a</w:t>
            </w:r>
          </w:p>
        </w:tc>
      </w:tr>
    </w:tbl>
    <w:p w14:paraId="716419EC">
      <w:pPr>
        <w:adjustRightInd w:val="0"/>
        <w:snapToGrid w:val="0"/>
        <w:spacing w:before="260" w:beforeLines="80" w:after="32" w:afterLines="10" w:line="259" w:lineRule="auto"/>
        <w:rPr>
          <w:rFonts w:hint="eastAsia" w:ascii="宋体" w:hAnsi="等线" w:eastAsia="等线" w:cs="宋体"/>
          <w:szCs w:val="24"/>
          <w14:ligatures w14:val="standardContextual"/>
        </w:rPr>
      </w:pPr>
      <w:r>
        <w:rPr>
          <w:rFonts w:hAnsi="等线" w:eastAsia="等线"/>
          <w:snapToGrid w:val="0"/>
          <w:kern w:val="21"/>
          <w:szCs w:val="24"/>
          <w14:ligatures w14:val="standardContextual"/>
        </w:rPr>
        <w:t>注：</w:t>
      </w:r>
      <w:r>
        <w:rPr>
          <w:rFonts w:hAnsi="等线" w:eastAsia="等线"/>
          <w:snapToGrid w:val="0"/>
          <w:spacing w:val="-16"/>
          <w:kern w:val="21"/>
          <w:szCs w:val="24"/>
          <w14:ligatures w14:val="standardContextual"/>
        </w:rPr>
        <w:fldChar w:fldCharType="begin"/>
      </w:r>
      <w:r>
        <w:rPr>
          <w:rFonts w:hAnsi="等线" w:eastAsia="等线"/>
          <w:snapToGrid w:val="0"/>
          <w:spacing w:val="-16"/>
          <w:kern w:val="21"/>
          <w:szCs w:val="24"/>
          <w14:ligatures w14:val="standardContextual"/>
        </w:rPr>
        <w:instrText xml:space="preserve"> = 6 \* GB3 \* MERGEFORMAT </w:instrText>
      </w:r>
      <w:r>
        <w:rPr>
          <w:rFonts w:hAnsi="等线" w:eastAsia="等线"/>
          <w:snapToGrid w:val="0"/>
          <w:spacing w:val="-16"/>
          <w:kern w:val="21"/>
          <w:szCs w:val="24"/>
          <w14:ligatures w14:val="standardContextual"/>
        </w:rPr>
        <w:fldChar w:fldCharType="separate"/>
      </w:r>
      <w:r>
        <w:rPr>
          <w:rFonts w:hint="eastAsia" w:ascii="宋体" w:hAnsi="宋体" w:eastAsia="等线" w:cs="宋体"/>
          <w:szCs w:val="24"/>
          <w14:ligatures w14:val="standardContextual"/>
        </w:rPr>
        <w:t>⑥</w:t>
      </w:r>
      <w:r>
        <w:rPr>
          <w:rFonts w:hAnsi="等线" w:eastAsia="等线"/>
          <w:snapToGrid w:val="0"/>
          <w:spacing w:val="-16"/>
          <w:kern w:val="21"/>
          <w:szCs w:val="24"/>
          <w14:ligatures w14:val="standardContextual"/>
        </w:rPr>
        <w:fldChar w:fldCharType="end"/>
      </w:r>
      <w:r>
        <w:rPr>
          <w:rFonts w:hAnsi="等线" w:eastAsia="等线"/>
          <w:snapToGrid w:val="0"/>
          <w:spacing w:val="-16"/>
          <w:kern w:val="21"/>
          <w:szCs w:val="24"/>
          <w14:ligatures w14:val="standardContextual"/>
        </w:rPr>
        <w:t>=</w:t>
      </w:r>
      <w:r>
        <w:rPr>
          <w:rFonts w:hAnsi="等线" w:eastAsia="等线"/>
          <w:snapToGrid w:val="0"/>
          <w:spacing w:val="-6"/>
          <w:kern w:val="21"/>
          <w:szCs w:val="24"/>
          <w14:ligatures w14:val="standardContextual"/>
        </w:rPr>
        <w:fldChar w:fldCharType="begin"/>
      </w:r>
      <w:r>
        <w:rPr>
          <w:rFonts w:hAnsi="等线" w:eastAsia="等线"/>
          <w:snapToGrid w:val="0"/>
          <w:spacing w:val="-6"/>
          <w:kern w:val="21"/>
          <w:szCs w:val="24"/>
          <w14:ligatures w14:val="standardContextual"/>
        </w:rPr>
        <w:instrText xml:space="preserve"> = 1 \* GB3 \* MERGEFORMAT </w:instrText>
      </w:r>
      <w:r>
        <w:rPr>
          <w:rFonts w:hAnsi="等线" w:eastAsia="等线"/>
          <w:snapToGrid w:val="0"/>
          <w:spacing w:val="-6"/>
          <w:kern w:val="21"/>
          <w:szCs w:val="24"/>
          <w14:ligatures w14:val="standardContextual"/>
        </w:rPr>
        <w:fldChar w:fldCharType="separate"/>
      </w:r>
      <w:r>
        <w:rPr>
          <w:rFonts w:hint="eastAsia" w:ascii="宋体" w:hAnsi="宋体" w:eastAsia="等线" w:cs="宋体"/>
          <w:szCs w:val="24"/>
          <w14:ligatures w14:val="standardContextual"/>
        </w:rPr>
        <w:t>①</w:t>
      </w:r>
      <w:r>
        <w:rPr>
          <w:rFonts w:hAnsi="等线" w:eastAsia="等线"/>
          <w:snapToGrid w:val="0"/>
          <w:spacing w:val="-6"/>
          <w:kern w:val="21"/>
          <w:szCs w:val="24"/>
          <w14:ligatures w14:val="standardContextual"/>
        </w:rPr>
        <w:fldChar w:fldCharType="end"/>
      </w:r>
      <w:r>
        <w:rPr>
          <w:rFonts w:hAnsi="等线" w:eastAsia="等线"/>
          <w:snapToGrid w:val="0"/>
          <w:spacing w:val="-6"/>
          <w:kern w:val="21"/>
          <w:szCs w:val="24"/>
          <w14:ligatures w14:val="standardContextual"/>
        </w:rPr>
        <w:t>+</w:t>
      </w:r>
      <w:r>
        <w:rPr>
          <w:rFonts w:hAnsi="等线" w:eastAsia="等线"/>
          <w:snapToGrid w:val="0"/>
          <w:spacing w:val="-6"/>
          <w:kern w:val="21"/>
          <w:szCs w:val="24"/>
          <w14:ligatures w14:val="standardContextual"/>
        </w:rPr>
        <w:fldChar w:fldCharType="begin"/>
      </w:r>
      <w:r>
        <w:rPr>
          <w:rFonts w:hAnsi="等线" w:eastAsia="等线"/>
          <w:snapToGrid w:val="0"/>
          <w:spacing w:val="-6"/>
          <w:kern w:val="21"/>
          <w:szCs w:val="24"/>
          <w14:ligatures w14:val="standardContextual"/>
        </w:rPr>
        <w:instrText xml:space="preserve"> = 3 \* GB3 \* MERGEFORMAT </w:instrText>
      </w:r>
      <w:r>
        <w:rPr>
          <w:rFonts w:hAnsi="等线" w:eastAsia="等线"/>
          <w:snapToGrid w:val="0"/>
          <w:spacing w:val="-6"/>
          <w:kern w:val="21"/>
          <w:szCs w:val="24"/>
          <w14:ligatures w14:val="standardContextual"/>
        </w:rPr>
        <w:fldChar w:fldCharType="separate"/>
      </w:r>
      <w:r>
        <w:rPr>
          <w:rFonts w:hint="eastAsia" w:ascii="宋体" w:hAnsi="宋体" w:eastAsia="等线" w:cs="宋体"/>
          <w:szCs w:val="24"/>
          <w14:ligatures w14:val="standardContextual"/>
        </w:rPr>
        <w:t>③</w:t>
      </w:r>
      <w:r>
        <w:rPr>
          <w:rFonts w:hAnsi="等线" w:eastAsia="等线"/>
          <w:snapToGrid w:val="0"/>
          <w:spacing w:val="-6"/>
          <w:kern w:val="21"/>
          <w:szCs w:val="24"/>
          <w14:ligatures w14:val="standardContextual"/>
        </w:rPr>
        <w:fldChar w:fldCharType="end"/>
      </w:r>
      <w:r>
        <w:rPr>
          <w:rFonts w:hAnsi="等线" w:eastAsia="等线"/>
          <w:snapToGrid w:val="0"/>
          <w:spacing w:val="-6"/>
          <w:kern w:val="21"/>
          <w:szCs w:val="24"/>
          <w14:ligatures w14:val="standardContextual"/>
        </w:rPr>
        <w:t>+</w:t>
      </w:r>
      <w:r>
        <w:rPr>
          <w:rFonts w:hAnsi="等线" w:eastAsia="等线"/>
          <w:snapToGrid w:val="0"/>
          <w:spacing w:val="-6"/>
          <w:kern w:val="21"/>
          <w:szCs w:val="24"/>
          <w14:ligatures w14:val="standardContextual"/>
        </w:rPr>
        <w:fldChar w:fldCharType="begin"/>
      </w:r>
      <w:r>
        <w:rPr>
          <w:rFonts w:hAnsi="等线" w:eastAsia="等线"/>
          <w:snapToGrid w:val="0"/>
          <w:spacing w:val="-6"/>
          <w:kern w:val="21"/>
          <w:szCs w:val="24"/>
          <w14:ligatures w14:val="standardContextual"/>
        </w:rPr>
        <w:instrText xml:space="preserve"> = 4 \* GB3 \* MERGEFORMAT </w:instrText>
      </w:r>
      <w:r>
        <w:rPr>
          <w:rFonts w:hAnsi="等线" w:eastAsia="等线"/>
          <w:snapToGrid w:val="0"/>
          <w:spacing w:val="-6"/>
          <w:kern w:val="21"/>
          <w:szCs w:val="24"/>
          <w14:ligatures w14:val="standardContextual"/>
        </w:rPr>
        <w:fldChar w:fldCharType="separate"/>
      </w:r>
      <w:r>
        <w:rPr>
          <w:rFonts w:hint="eastAsia" w:ascii="宋体" w:hAnsi="宋体" w:eastAsia="等线" w:cs="宋体"/>
          <w:szCs w:val="24"/>
          <w14:ligatures w14:val="standardContextual"/>
        </w:rPr>
        <w:t>④</w:t>
      </w:r>
      <w:r>
        <w:rPr>
          <w:rFonts w:hAnsi="等线" w:eastAsia="等线"/>
          <w:snapToGrid w:val="0"/>
          <w:spacing w:val="-6"/>
          <w:kern w:val="21"/>
          <w:szCs w:val="24"/>
          <w14:ligatures w14:val="standardContextual"/>
        </w:rPr>
        <w:fldChar w:fldCharType="end"/>
      </w:r>
      <w:r>
        <w:rPr>
          <w:rFonts w:hAnsi="等线" w:eastAsia="等线"/>
          <w:snapToGrid w:val="0"/>
          <w:spacing w:val="-6"/>
          <w:kern w:val="21"/>
          <w:szCs w:val="24"/>
          <w14:ligatures w14:val="standardContextual"/>
        </w:rPr>
        <w:t>-</w:t>
      </w:r>
      <w:r>
        <w:rPr>
          <w:rFonts w:hAnsi="等线" w:eastAsia="等线"/>
          <w:snapToGrid w:val="0"/>
          <w:spacing w:val="-16"/>
          <w:kern w:val="21"/>
          <w:szCs w:val="24"/>
          <w14:ligatures w14:val="standardContextual"/>
        </w:rPr>
        <w:fldChar w:fldCharType="begin"/>
      </w:r>
      <w:r>
        <w:rPr>
          <w:rFonts w:hAnsi="等线" w:eastAsia="等线"/>
          <w:snapToGrid w:val="0"/>
          <w:spacing w:val="-16"/>
          <w:kern w:val="21"/>
          <w:szCs w:val="24"/>
          <w14:ligatures w14:val="standardContextual"/>
        </w:rPr>
        <w:instrText xml:space="preserve"> = 5 \* GB3 \* MERGEFORMAT </w:instrText>
      </w:r>
      <w:r>
        <w:rPr>
          <w:rFonts w:hAnsi="等线" w:eastAsia="等线"/>
          <w:snapToGrid w:val="0"/>
          <w:spacing w:val="-16"/>
          <w:kern w:val="21"/>
          <w:szCs w:val="24"/>
          <w14:ligatures w14:val="standardContextual"/>
        </w:rPr>
        <w:fldChar w:fldCharType="separate"/>
      </w:r>
      <w:r>
        <w:rPr>
          <w:rFonts w:hint="eastAsia" w:ascii="宋体" w:hAnsi="宋体" w:eastAsia="等线" w:cs="宋体"/>
          <w:szCs w:val="24"/>
          <w14:ligatures w14:val="standardContextual"/>
        </w:rPr>
        <w:t>⑤</w:t>
      </w:r>
      <w:r>
        <w:rPr>
          <w:rFonts w:hAnsi="等线" w:eastAsia="等线"/>
          <w:snapToGrid w:val="0"/>
          <w:spacing w:val="-16"/>
          <w:kern w:val="21"/>
          <w:szCs w:val="24"/>
          <w14:ligatures w14:val="standardContextual"/>
        </w:rPr>
        <w:fldChar w:fldCharType="end"/>
      </w:r>
      <w:r>
        <w:rPr>
          <w:rFonts w:hAnsi="等线" w:eastAsia="等线"/>
          <w:snapToGrid w:val="0"/>
          <w:spacing w:val="-16"/>
          <w:kern w:val="21"/>
          <w:szCs w:val="24"/>
          <w14:ligatures w14:val="standardContextual"/>
        </w:rPr>
        <w:t>；</w:t>
      </w:r>
      <w:r>
        <w:rPr>
          <w:rFonts w:hAnsi="等线" w:eastAsia="等线"/>
          <w:snapToGrid w:val="0"/>
          <w:spacing w:val="-6"/>
          <w:kern w:val="21"/>
          <w:szCs w:val="24"/>
          <w14:ligatures w14:val="standardContextual"/>
        </w:rPr>
        <w:fldChar w:fldCharType="begin"/>
      </w:r>
      <w:r>
        <w:rPr>
          <w:rFonts w:hAnsi="等线" w:eastAsia="等线"/>
          <w:snapToGrid w:val="0"/>
          <w:spacing w:val="-6"/>
          <w:kern w:val="21"/>
          <w:szCs w:val="24"/>
          <w14:ligatures w14:val="standardContextual"/>
        </w:rPr>
        <w:instrText xml:space="preserve"> = 7 \* GB3 \* MERGEFORMAT </w:instrText>
      </w:r>
      <w:r>
        <w:rPr>
          <w:rFonts w:hAnsi="等线" w:eastAsia="等线"/>
          <w:snapToGrid w:val="0"/>
          <w:spacing w:val="-6"/>
          <w:kern w:val="21"/>
          <w:szCs w:val="24"/>
          <w14:ligatures w14:val="standardContextual"/>
        </w:rPr>
        <w:fldChar w:fldCharType="separate"/>
      </w:r>
      <w:r>
        <w:rPr>
          <w:rFonts w:hint="eastAsia" w:ascii="宋体" w:hAnsi="宋体" w:eastAsia="等线" w:cs="宋体"/>
          <w:szCs w:val="24"/>
          <w14:ligatures w14:val="standardContextual"/>
        </w:rPr>
        <w:t>⑦</w:t>
      </w:r>
      <w:r>
        <w:rPr>
          <w:rFonts w:hAnsi="等线" w:eastAsia="等线"/>
          <w:snapToGrid w:val="0"/>
          <w:spacing w:val="-6"/>
          <w:kern w:val="21"/>
          <w:szCs w:val="24"/>
          <w14:ligatures w14:val="standardContextual"/>
        </w:rPr>
        <w:fldChar w:fldCharType="end"/>
      </w:r>
      <w:r>
        <w:rPr>
          <w:rFonts w:hAnsi="等线" w:eastAsia="等线"/>
          <w:snapToGrid w:val="0"/>
          <w:spacing w:val="-6"/>
          <w:kern w:val="21"/>
          <w:szCs w:val="24"/>
          <w14:ligatures w14:val="standardContextual"/>
        </w:rPr>
        <w:t>=</w:t>
      </w:r>
      <w:r>
        <w:rPr>
          <w:rFonts w:hAnsi="等线" w:eastAsia="等线"/>
          <w:snapToGrid w:val="0"/>
          <w:spacing w:val="-16"/>
          <w:kern w:val="21"/>
          <w:szCs w:val="24"/>
          <w14:ligatures w14:val="standardContextual"/>
        </w:rPr>
        <w:fldChar w:fldCharType="begin"/>
      </w:r>
      <w:r>
        <w:rPr>
          <w:rFonts w:hAnsi="等线" w:eastAsia="等线"/>
          <w:snapToGrid w:val="0"/>
          <w:spacing w:val="-16"/>
          <w:kern w:val="21"/>
          <w:szCs w:val="24"/>
          <w14:ligatures w14:val="standardContextual"/>
        </w:rPr>
        <w:instrText xml:space="preserve"> = 6 \* GB3 \* MERGEFORMAT </w:instrText>
      </w:r>
      <w:r>
        <w:rPr>
          <w:rFonts w:hAnsi="等线" w:eastAsia="等线"/>
          <w:snapToGrid w:val="0"/>
          <w:spacing w:val="-16"/>
          <w:kern w:val="21"/>
          <w:szCs w:val="24"/>
          <w14:ligatures w14:val="standardContextual"/>
        </w:rPr>
        <w:fldChar w:fldCharType="separate"/>
      </w:r>
      <w:r>
        <w:rPr>
          <w:rFonts w:hint="eastAsia" w:ascii="宋体" w:hAnsi="宋体" w:eastAsia="等线" w:cs="宋体"/>
          <w:szCs w:val="24"/>
          <w14:ligatures w14:val="standardContextual"/>
        </w:rPr>
        <w:t>⑥</w:t>
      </w:r>
      <w:r>
        <w:rPr>
          <w:rFonts w:hAnsi="等线" w:eastAsia="等线"/>
          <w:snapToGrid w:val="0"/>
          <w:spacing w:val="-16"/>
          <w:kern w:val="21"/>
          <w:szCs w:val="24"/>
          <w14:ligatures w14:val="standardContextual"/>
        </w:rPr>
        <w:fldChar w:fldCharType="end"/>
      </w:r>
      <w:r>
        <w:rPr>
          <w:rFonts w:hAnsi="等线" w:eastAsia="等线"/>
          <w:snapToGrid w:val="0"/>
          <w:spacing w:val="-16"/>
          <w:kern w:val="21"/>
          <w:szCs w:val="24"/>
          <w14:ligatures w14:val="standardContextual"/>
        </w:rPr>
        <w:t>-</w:t>
      </w:r>
      <w:r>
        <w:rPr>
          <w:rFonts w:hAnsi="等线" w:eastAsia="等线"/>
          <w:snapToGrid w:val="0"/>
          <w:spacing w:val="-6"/>
          <w:kern w:val="21"/>
          <w:szCs w:val="24"/>
          <w14:ligatures w14:val="standardContextual"/>
        </w:rPr>
        <w:fldChar w:fldCharType="begin"/>
      </w:r>
      <w:r>
        <w:rPr>
          <w:rFonts w:hAnsi="等线" w:eastAsia="等线"/>
          <w:snapToGrid w:val="0"/>
          <w:spacing w:val="-6"/>
          <w:kern w:val="21"/>
          <w:szCs w:val="24"/>
          <w14:ligatures w14:val="standardContextual"/>
        </w:rPr>
        <w:instrText xml:space="preserve"> = 1 \* GB3 \* MERGEFORMAT </w:instrText>
      </w:r>
      <w:r>
        <w:rPr>
          <w:rFonts w:hAnsi="等线" w:eastAsia="等线"/>
          <w:snapToGrid w:val="0"/>
          <w:spacing w:val="-6"/>
          <w:kern w:val="21"/>
          <w:szCs w:val="24"/>
          <w14:ligatures w14:val="standardContextual"/>
        </w:rPr>
        <w:fldChar w:fldCharType="separate"/>
      </w:r>
      <w:r>
        <w:rPr>
          <w:rFonts w:hint="eastAsia" w:ascii="宋体" w:hAnsi="宋体" w:eastAsia="等线" w:cs="宋体"/>
          <w:szCs w:val="24"/>
          <w14:ligatures w14:val="standardContextual"/>
        </w:rPr>
        <w:t>①</w:t>
      </w:r>
      <w:r>
        <w:rPr>
          <w:rFonts w:hAnsi="等线" w:eastAsia="等线"/>
          <w:snapToGrid w:val="0"/>
          <w:spacing w:val="-6"/>
          <w:kern w:val="21"/>
          <w:szCs w:val="24"/>
          <w14:ligatures w14:val="standardContextual"/>
        </w:rPr>
        <w:fldChar w:fldCharType="end"/>
      </w:r>
    </w:p>
    <w:p w14:paraId="477F3194">
      <w:pPr>
        <w:sectPr>
          <w:pgSz w:w="16838" w:h="11906" w:orient="landscape"/>
          <w:pgMar w:top="1440" w:right="1440" w:bottom="1440" w:left="1440" w:header="851" w:footer="992" w:gutter="0"/>
          <w:pgNumType w:fmt="numberInDash"/>
          <w:cols w:space="425" w:num="1"/>
          <w:docGrid w:type="lines" w:linePitch="326" w:charSpace="0"/>
        </w:sectPr>
      </w:pPr>
    </w:p>
    <w:p w14:paraId="56BE8B36">
      <w:pPr>
        <w:outlineLvl w:val="1"/>
        <w:rPr>
          <w:b/>
          <w:bCs/>
          <w:sz w:val="30"/>
          <w:szCs w:val="30"/>
        </w:rPr>
      </w:pPr>
      <w:bookmarkStart w:id="108" w:name="_Toc188001858"/>
      <w:bookmarkStart w:id="109" w:name="_Toc194068223"/>
      <w:bookmarkStart w:id="110" w:name="_Toc199260724"/>
      <w:r>
        <w:rPr>
          <w:rFonts w:hint="eastAsia"/>
          <w:b/>
          <w:bCs/>
          <w:sz w:val="30"/>
          <w:szCs w:val="30"/>
        </w:rPr>
        <w:t>附件1</w:t>
      </w:r>
      <w:r>
        <w:rPr>
          <w:b/>
          <w:bCs/>
          <w:sz w:val="30"/>
          <w:szCs w:val="30"/>
        </w:rPr>
        <w:t xml:space="preserve"> </w:t>
      </w:r>
      <w:r>
        <w:rPr>
          <w:rFonts w:hint="eastAsia"/>
          <w:b/>
          <w:bCs/>
          <w:sz w:val="30"/>
          <w:szCs w:val="30"/>
        </w:rPr>
        <w:t>项目委托书</w:t>
      </w:r>
      <w:bookmarkEnd w:id="108"/>
      <w:bookmarkEnd w:id="109"/>
      <w:bookmarkEnd w:id="110"/>
    </w:p>
    <w:p w14:paraId="66EF6EF5">
      <w:pPr>
        <w:spacing w:line="240" w:lineRule="auto"/>
        <w:jc w:val="center"/>
        <w:rPr>
          <w:b/>
          <w:sz w:val="44"/>
          <w:szCs w:val="44"/>
        </w:rPr>
      </w:pPr>
      <w:bookmarkStart w:id="111" w:name="_Hlk141779714"/>
      <w:r>
        <w:rPr>
          <w:rFonts w:hint="eastAsia"/>
          <w:b/>
          <w:sz w:val="44"/>
          <w:szCs w:val="44"/>
        </w:rPr>
        <w:t>建设项目环境影响评价</w:t>
      </w:r>
    </w:p>
    <w:p w14:paraId="0A808CC4">
      <w:pPr>
        <w:spacing w:line="240" w:lineRule="auto"/>
        <w:jc w:val="center"/>
        <w:rPr>
          <w:b/>
          <w:sz w:val="44"/>
          <w:szCs w:val="44"/>
        </w:rPr>
      </w:pPr>
      <w:r>
        <w:rPr>
          <w:rFonts w:hint="eastAsia"/>
          <w:b/>
          <w:sz w:val="44"/>
          <w:szCs w:val="44"/>
        </w:rPr>
        <w:t>委</w:t>
      </w:r>
      <w:r>
        <w:rPr>
          <w:b/>
          <w:sz w:val="44"/>
          <w:szCs w:val="44"/>
        </w:rPr>
        <w:t xml:space="preserve">  </w:t>
      </w:r>
      <w:r>
        <w:rPr>
          <w:rFonts w:hint="eastAsia"/>
          <w:b/>
          <w:sz w:val="44"/>
          <w:szCs w:val="44"/>
        </w:rPr>
        <w:t>托</w:t>
      </w:r>
      <w:r>
        <w:rPr>
          <w:b/>
          <w:sz w:val="44"/>
          <w:szCs w:val="44"/>
        </w:rPr>
        <w:t xml:space="preserve">  </w:t>
      </w:r>
      <w:r>
        <w:rPr>
          <w:rFonts w:hint="eastAsia"/>
          <w:b/>
          <w:sz w:val="44"/>
          <w:szCs w:val="44"/>
        </w:rPr>
        <w:t>书</w:t>
      </w:r>
    </w:p>
    <w:p w14:paraId="00A4F3EE">
      <w:pPr>
        <w:spacing w:line="240" w:lineRule="auto"/>
        <w:ind w:firstLine="1666" w:firstLineChars="595"/>
        <w:jc w:val="both"/>
        <w:rPr>
          <w:sz w:val="28"/>
          <w:szCs w:val="28"/>
        </w:rPr>
      </w:pPr>
    </w:p>
    <w:p w14:paraId="532E91D4">
      <w:pPr>
        <w:tabs>
          <w:tab w:val="left" w:pos="624"/>
        </w:tabs>
        <w:spacing w:line="480" w:lineRule="auto"/>
        <w:jc w:val="both"/>
        <w:rPr>
          <w:rFonts w:hint="eastAsia" w:ascii="宋体" w:hAnsi="宋体"/>
          <w:sz w:val="28"/>
          <w:szCs w:val="28"/>
        </w:rPr>
      </w:pPr>
      <w:r>
        <w:rPr>
          <w:rFonts w:hint="eastAsia"/>
          <w:sz w:val="28"/>
          <w:szCs w:val="28"/>
        </w:rPr>
        <w:t>湖南万帆环保工程有限公司：</w:t>
      </w:r>
      <w:r>
        <w:rPr>
          <w:rFonts w:hint="eastAsia" w:ascii="宋体" w:hAnsi="宋体"/>
          <w:sz w:val="28"/>
          <w:szCs w:val="28"/>
        </w:rPr>
        <w:t xml:space="preserve"> </w:t>
      </w:r>
    </w:p>
    <w:p w14:paraId="3C9D5DD7">
      <w:pPr>
        <w:spacing w:line="480" w:lineRule="auto"/>
        <w:ind w:firstLine="560" w:firstLineChars="200"/>
        <w:jc w:val="both"/>
        <w:rPr>
          <w:sz w:val="28"/>
          <w:szCs w:val="28"/>
        </w:rPr>
      </w:pPr>
      <w:r>
        <w:rPr>
          <w:rFonts w:hint="eastAsia"/>
          <w:sz w:val="28"/>
          <w:szCs w:val="28"/>
        </w:rPr>
        <w:t>根据《中华人民共和国环境保护法》及《建设项目环境保护管理条例》的相关规定，我公司需编</w:t>
      </w:r>
      <w:r>
        <w:rPr>
          <w:rFonts w:hint="eastAsia"/>
          <w:sz w:val="28"/>
          <w:szCs w:val="28"/>
          <w:u w:val="single"/>
        </w:rPr>
        <w:t>“双牌县茶林镇中心卫生院改扩建项目环境影响报告表”</w:t>
      </w:r>
      <w:r>
        <w:rPr>
          <w:rFonts w:hint="eastAsia"/>
          <w:sz w:val="28"/>
          <w:szCs w:val="28"/>
        </w:rPr>
        <w:t>，特委托贵单位承担此项工作，请接收委托后尽快按照国家、省、地方相关部门的要求开展工作。</w:t>
      </w:r>
    </w:p>
    <w:p w14:paraId="7C25CEA7">
      <w:pPr>
        <w:spacing w:line="480" w:lineRule="auto"/>
        <w:ind w:firstLine="560" w:firstLineChars="200"/>
        <w:jc w:val="both"/>
        <w:rPr>
          <w:sz w:val="28"/>
          <w:szCs w:val="28"/>
        </w:rPr>
      </w:pPr>
      <w:r>
        <w:rPr>
          <w:rFonts w:hint="eastAsia"/>
          <w:sz w:val="28"/>
          <w:szCs w:val="28"/>
        </w:rPr>
        <w:t>特此委托！</w:t>
      </w:r>
    </w:p>
    <w:p w14:paraId="5175DCCB">
      <w:pPr>
        <w:spacing w:line="480" w:lineRule="auto"/>
        <w:jc w:val="both"/>
        <w:rPr>
          <w:sz w:val="30"/>
          <w:szCs w:val="30"/>
        </w:rPr>
      </w:pPr>
    </w:p>
    <w:p w14:paraId="31A448F7">
      <w:pPr>
        <w:spacing w:line="480" w:lineRule="auto"/>
        <w:ind w:firstLine="420" w:firstLineChars="200"/>
        <w:jc w:val="both"/>
        <w:rPr>
          <w:sz w:val="28"/>
          <w:szCs w:val="28"/>
        </w:rPr>
      </w:pPr>
      <w:r>
        <w:rPr>
          <w:sz w:val="21"/>
          <w:szCs w:val="20"/>
        </w:rPr>
        <w:t xml:space="preserve">                                             </w:t>
      </w:r>
      <w:r>
        <w:rPr>
          <w:sz w:val="28"/>
          <w:szCs w:val="28"/>
        </w:rPr>
        <w:t xml:space="preserve">  </w:t>
      </w:r>
    </w:p>
    <w:p w14:paraId="068FF0D1">
      <w:pPr>
        <w:jc w:val="right"/>
        <w:rPr>
          <w:sz w:val="28"/>
          <w:szCs w:val="28"/>
          <w:u w:val="single"/>
        </w:rPr>
      </w:pPr>
      <w:r>
        <w:rPr>
          <w:rFonts w:hint="eastAsia"/>
          <w:sz w:val="28"/>
          <w:szCs w:val="28"/>
          <w:u w:val="single"/>
        </w:rPr>
        <w:t>双牌县茶林镇中心卫生院</w:t>
      </w:r>
    </w:p>
    <w:p w14:paraId="5B164788">
      <w:pPr>
        <w:jc w:val="right"/>
        <w:rPr>
          <w:sz w:val="28"/>
          <w:szCs w:val="28"/>
        </w:rPr>
      </w:pPr>
      <w:r>
        <w:rPr>
          <w:sz w:val="28"/>
          <w:szCs w:val="28"/>
        </w:rPr>
        <w:t>2024</w:t>
      </w:r>
      <w:r>
        <w:rPr>
          <w:rFonts w:hint="eastAsia"/>
          <w:sz w:val="28"/>
          <w:szCs w:val="28"/>
        </w:rPr>
        <w:t>年</w:t>
      </w:r>
      <w:r>
        <w:rPr>
          <w:sz w:val="28"/>
          <w:szCs w:val="28"/>
        </w:rPr>
        <w:t>12</w:t>
      </w:r>
      <w:r>
        <w:rPr>
          <w:rFonts w:hint="eastAsia"/>
          <w:sz w:val="28"/>
          <w:szCs w:val="28"/>
        </w:rPr>
        <w:t>月</w:t>
      </w:r>
      <w:r>
        <w:rPr>
          <w:sz w:val="28"/>
          <w:szCs w:val="28"/>
        </w:rPr>
        <w:t>25</w:t>
      </w:r>
      <w:r>
        <w:rPr>
          <w:rFonts w:hint="eastAsia"/>
          <w:sz w:val="28"/>
          <w:szCs w:val="28"/>
        </w:rPr>
        <w:t>日</w:t>
      </w:r>
      <w:bookmarkEnd w:id="111"/>
    </w:p>
    <w:p w14:paraId="00C322CC">
      <w:pPr>
        <w:sectPr>
          <w:pgSz w:w="11906" w:h="16838"/>
          <w:pgMar w:top="1440" w:right="1440" w:bottom="1440" w:left="1440" w:header="851" w:footer="992" w:gutter="0"/>
          <w:pgNumType w:fmt="numberInDash"/>
          <w:cols w:space="425" w:num="1"/>
          <w:docGrid w:type="lines" w:linePitch="326" w:charSpace="0"/>
        </w:sectPr>
      </w:pPr>
    </w:p>
    <w:p w14:paraId="591A9F49">
      <w:pPr>
        <w:outlineLvl w:val="1"/>
        <w:rPr>
          <w:b/>
          <w:bCs/>
          <w:sz w:val="30"/>
          <w:szCs w:val="30"/>
        </w:rPr>
      </w:pPr>
      <w:bookmarkStart w:id="112" w:name="_Toc199260725"/>
      <w:bookmarkStart w:id="113" w:name="_Toc194068224"/>
      <w:r>
        <w:rPr>
          <w:rFonts w:hint="eastAsia"/>
          <w:b/>
          <w:bCs/>
          <w:sz w:val="30"/>
          <w:szCs w:val="30"/>
        </w:rPr>
        <w:t>附件2</w:t>
      </w:r>
      <w:r>
        <w:rPr>
          <w:b/>
          <w:bCs/>
          <w:sz w:val="30"/>
          <w:szCs w:val="30"/>
        </w:rPr>
        <w:t xml:space="preserve"> </w:t>
      </w:r>
      <w:r>
        <w:rPr>
          <w:rFonts w:hint="eastAsia"/>
          <w:b/>
          <w:bCs/>
          <w:sz w:val="30"/>
          <w:szCs w:val="30"/>
        </w:rPr>
        <w:t>项目情况说明</w:t>
      </w:r>
      <w:bookmarkEnd w:id="112"/>
      <w:bookmarkEnd w:id="113"/>
    </w:p>
    <w:p w14:paraId="6D5D8FAE">
      <w:pPr>
        <w:jc w:val="center"/>
        <w:sectPr>
          <w:pgSz w:w="11906" w:h="16838"/>
          <w:pgMar w:top="1440" w:right="1440" w:bottom="1440" w:left="1440" w:header="851" w:footer="992" w:gutter="0"/>
          <w:pgNumType w:fmt="numberInDash"/>
          <w:cols w:space="425" w:num="1"/>
          <w:docGrid w:type="lines" w:linePitch="326" w:charSpace="0"/>
        </w:sectPr>
      </w:pPr>
      <w:r>
        <w:drawing>
          <wp:inline distT="0" distB="0" distL="0" distR="0">
            <wp:extent cx="5086350" cy="8286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90513" cy="8292879"/>
                    </a:xfrm>
                    <a:prstGeom prst="rect">
                      <a:avLst/>
                    </a:prstGeom>
                    <a:noFill/>
                    <a:ln>
                      <a:noFill/>
                    </a:ln>
                  </pic:spPr>
                </pic:pic>
              </a:graphicData>
            </a:graphic>
          </wp:inline>
        </w:drawing>
      </w:r>
    </w:p>
    <w:p w14:paraId="395DFB8D">
      <w:pPr>
        <w:outlineLvl w:val="1"/>
        <w:rPr>
          <w:b/>
          <w:bCs/>
          <w:sz w:val="30"/>
          <w:szCs w:val="30"/>
        </w:rPr>
      </w:pPr>
      <w:bookmarkStart w:id="114" w:name="_Toc199260726"/>
      <w:bookmarkStart w:id="115" w:name="_Toc188001859"/>
      <w:bookmarkStart w:id="116" w:name="_Toc194068225"/>
      <w:r>
        <w:rPr>
          <w:rFonts w:hint="eastAsia"/>
          <w:b/>
          <w:bCs/>
          <w:sz w:val="30"/>
          <w:szCs w:val="30"/>
        </w:rPr>
        <w:t>附件</w:t>
      </w:r>
      <w:r>
        <w:rPr>
          <w:b/>
          <w:bCs/>
          <w:sz w:val="30"/>
          <w:szCs w:val="30"/>
        </w:rPr>
        <w:t xml:space="preserve">3 </w:t>
      </w:r>
      <w:r>
        <w:rPr>
          <w:rFonts w:hint="eastAsia"/>
          <w:b/>
          <w:bCs/>
          <w:sz w:val="30"/>
          <w:szCs w:val="30"/>
        </w:rPr>
        <w:t>医院营业执照</w:t>
      </w:r>
      <w:bookmarkEnd w:id="114"/>
      <w:bookmarkEnd w:id="115"/>
      <w:bookmarkEnd w:id="116"/>
    </w:p>
    <w:p w14:paraId="65881514">
      <w:pPr>
        <w:jc w:val="center"/>
        <w:sectPr>
          <w:pgSz w:w="16838" w:h="11906" w:orient="landscape"/>
          <w:pgMar w:top="1440" w:right="1440" w:bottom="1440" w:left="1440" w:header="851" w:footer="992" w:gutter="0"/>
          <w:pgNumType w:fmt="numberInDash"/>
          <w:cols w:space="425" w:num="1"/>
          <w:docGrid w:type="lines" w:linePitch="326" w:charSpace="0"/>
        </w:sectPr>
      </w:pPr>
      <w:r>
        <w:drawing>
          <wp:inline distT="0" distB="0" distL="0" distR="0">
            <wp:extent cx="7767320" cy="523875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7770876" cy="5240972"/>
                    </a:xfrm>
                    <a:prstGeom prst="rect">
                      <a:avLst/>
                    </a:prstGeom>
                  </pic:spPr>
                </pic:pic>
              </a:graphicData>
            </a:graphic>
          </wp:inline>
        </w:drawing>
      </w:r>
    </w:p>
    <w:p w14:paraId="309D9DB2">
      <w:pPr>
        <w:outlineLvl w:val="1"/>
        <w:rPr>
          <w:b/>
          <w:bCs/>
          <w:sz w:val="30"/>
          <w:szCs w:val="30"/>
        </w:rPr>
      </w:pPr>
      <w:bookmarkStart w:id="117" w:name="_Toc199260727"/>
      <w:bookmarkStart w:id="118" w:name="_Toc194068226"/>
      <w:bookmarkStart w:id="119" w:name="_Toc188001860"/>
      <w:r>
        <w:rPr>
          <w:rFonts w:hint="eastAsia"/>
          <w:b/>
          <w:bCs/>
          <w:sz w:val="30"/>
          <w:szCs w:val="30"/>
        </w:rPr>
        <w:t>附件</w:t>
      </w:r>
      <w:r>
        <w:rPr>
          <w:b/>
          <w:bCs/>
          <w:sz w:val="30"/>
          <w:szCs w:val="30"/>
        </w:rPr>
        <w:t xml:space="preserve">4 </w:t>
      </w:r>
      <w:r>
        <w:rPr>
          <w:rFonts w:hint="eastAsia"/>
          <w:b/>
          <w:bCs/>
          <w:sz w:val="30"/>
          <w:szCs w:val="30"/>
        </w:rPr>
        <w:t>医疗机构核准文件</w:t>
      </w:r>
      <w:bookmarkEnd w:id="117"/>
      <w:bookmarkEnd w:id="118"/>
      <w:bookmarkEnd w:id="119"/>
    </w:p>
    <w:p w14:paraId="29B7920D">
      <w:pPr>
        <w:jc w:val="center"/>
        <w:sectPr>
          <w:pgSz w:w="16838" w:h="11906" w:orient="landscape"/>
          <w:pgMar w:top="1440" w:right="1440" w:bottom="1440" w:left="1440" w:header="851" w:footer="992" w:gutter="0"/>
          <w:pgNumType w:fmt="numberInDash"/>
          <w:cols w:space="425" w:num="1"/>
          <w:docGrid w:type="lines" w:linePitch="326" w:charSpace="0"/>
        </w:sectPr>
      </w:pPr>
      <w:r>
        <w:drawing>
          <wp:inline distT="0" distB="0" distL="0" distR="0">
            <wp:extent cx="6202045" cy="502920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6205628" cy="5032072"/>
                    </a:xfrm>
                    <a:prstGeom prst="rect">
                      <a:avLst/>
                    </a:prstGeom>
                  </pic:spPr>
                </pic:pic>
              </a:graphicData>
            </a:graphic>
          </wp:inline>
        </w:drawing>
      </w:r>
    </w:p>
    <w:p w14:paraId="026AD524">
      <w:pPr>
        <w:outlineLvl w:val="1"/>
        <w:rPr>
          <w:b/>
          <w:bCs/>
          <w:sz w:val="30"/>
          <w:szCs w:val="30"/>
        </w:rPr>
      </w:pPr>
      <w:bookmarkStart w:id="120" w:name="_Toc199260728"/>
      <w:bookmarkStart w:id="121" w:name="_Toc194068227"/>
      <w:bookmarkStart w:id="122" w:name="_Toc188001862"/>
      <w:r>
        <w:rPr>
          <w:rFonts w:hint="eastAsia"/>
          <w:b/>
          <w:bCs/>
          <w:sz w:val="30"/>
          <w:szCs w:val="30"/>
        </w:rPr>
        <w:t>附件</w:t>
      </w:r>
      <w:r>
        <w:rPr>
          <w:b/>
          <w:bCs/>
          <w:sz w:val="30"/>
          <w:szCs w:val="30"/>
        </w:rPr>
        <w:t xml:space="preserve">5 </w:t>
      </w:r>
      <w:r>
        <w:rPr>
          <w:rFonts w:hint="eastAsia"/>
          <w:b/>
          <w:bCs/>
          <w:sz w:val="30"/>
          <w:szCs w:val="30"/>
        </w:rPr>
        <w:t>监测报告</w:t>
      </w:r>
      <w:bookmarkEnd w:id="120"/>
      <w:bookmarkEnd w:id="121"/>
      <w:bookmarkEnd w:id="122"/>
    </w:p>
    <w:p w14:paraId="577F8671">
      <w:pPr>
        <w:tabs>
          <w:tab w:val="center" w:pos="4513"/>
        </w:tabs>
        <w:rPr>
          <w:b/>
          <w:bCs/>
          <w:sz w:val="30"/>
          <w:szCs w:val="30"/>
        </w:rPr>
      </w:pPr>
      <w:r>
        <w:drawing>
          <wp:inline distT="0" distB="0" distL="0" distR="0">
            <wp:extent cx="5731510" cy="77089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731510" cy="7708900"/>
                    </a:xfrm>
                    <a:prstGeom prst="rect">
                      <a:avLst/>
                    </a:prstGeom>
                  </pic:spPr>
                </pic:pic>
              </a:graphicData>
            </a:graphic>
          </wp:inline>
        </w:drawing>
      </w:r>
    </w:p>
    <w:p w14:paraId="52557804">
      <w:pPr>
        <w:tabs>
          <w:tab w:val="center" w:pos="4513"/>
        </w:tabs>
        <w:rPr>
          <w:b/>
          <w:bCs/>
          <w:sz w:val="30"/>
          <w:szCs w:val="30"/>
        </w:rPr>
      </w:pPr>
      <w:r>
        <w:rPr>
          <w:b/>
          <w:bCs/>
          <w:sz w:val="30"/>
          <w:szCs w:val="30"/>
        </w:rPr>
        <w:tab/>
      </w:r>
    </w:p>
    <w:p w14:paraId="33EA0F90">
      <w:pPr>
        <w:sectPr>
          <w:pgSz w:w="11906" w:h="16838"/>
          <w:pgMar w:top="1440" w:right="1440" w:bottom="1440" w:left="1440" w:header="851" w:footer="992" w:gutter="0"/>
          <w:pgNumType w:fmt="numberInDash"/>
          <w:cols w:space="425" w:num="1"/>
          <w:docGrid w:type="lines" w:linePitch="326" w:charSpace="0"/>
        </w:sectPr>
      </w:pPr>
    </w:p>
    <w:p w14:paraId="3563E68C">
      <w:pPr>
        <w:jc w:val="center"/>
      </w:pPr>
      <w:r>
        <w:drawing>
          <wp:inline distT="0" distB="0" distL="0" distR="0">
            <wp:extent cx="5731510" cy="779653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731510" cy="7796530"/>
                    </a:xfrm>
                    <a:prstGeom prst="rect">
                      <a:avLst/>
                    </a:prstGeom>
                  </pic:spPr>
                </pic:pic>
              </a:graphicData>
            </a:graphic>
          </wp:inline>
        </w:drawing>
      </w:r>
    </w:p>
    <w:p w14:paraId="54905D87">
      <w:pPr>
        <w:jc w:val="center"/>
      </w:pPr>
      <w:r>
        <w:drawing>
          <wp:inline distT="0" distB="0" distL="0" distR="0">
            <wp:extent cx="5731510" cy="77400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731510" cy="7740015"/>
                    </a:xfrm>
                    <a:prstGeom prst="rect">
                      <a:avLst/>
                    </a:prstGeom>
                  </pic:spPr>
                </pic:pic>
              </a:graphicData>
            </a:graphic>
          </wp:inline>
        </w:drawing>
      </w:r>
    </w:p>
    <w:p w14:paraId="4160E79F">
      <w:pPr>
        <w:jc w:val="center"/>
      </w:pPr>
      <w:r>
        <w:drawing>
          <wp:inline distT="0" distB="0" distL="0" distR="0">
            <wp:extent cx="5731510" cy="76866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731510" cy="7686675"/>
                    </a:xfrm>
                    <a:prstGeom prst="rect">
                      <a:avLst/>
                    </a:prstGeom>
                  </pic:spPr>
                </pic:pic>
              </a:graphicData>
            </a:graphic>
          </wp:inline>
        </w:drawing>
      </w:r>
    </w:p>
    <w:p w14:paraId="3DA2A7F6">
      <w:pPr>
        <w:jc w:val="center"/>
      </w:pPr>
      <w:r>
        <w:drawing>
          <wp:inline distT="0" distB="0" distL="0" distR="0">
            <wp:extent cx="5731510" cy="76930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731510" cy="7693025"/>
                    </a:xfrm>
                    <a:prstGeom prst="rect">
                      <a:avLst/>
                    </a:prstGeom>
                  </pic:spPr>
                </pic:pic>
              </a:graphicData>
            </a:graphic>
          </wp:inline>
        </w:drawing>
      </w:r>
    </w:p>
    <w:p w14:paraId="3A1CBB96">
      <w:r>
        <w:drawing>
          <wp:inline distT="0" distB="0" distL="0" distR="0">
            <wp:extent cx="5731510" cy="76542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731510" cy="7654290"/>
                    </a:xfrm>
                    <a:prstGeom prst="rect">
                      <a:avLst/>
                    </a:prstGeom>
                  </pic:spPr>
                </pic:pic>
              </a:graphicData>
            </a:graphic>
          </wp:inline>
        </w:drawing>
      </w:r>
    </w:p>
    <w:p w14:paraId="6C608739">
      <w:pPr>
        <w:sectPr>
          <w:pgSz w:w="11906" w:h="16838"/>
          <w:pgMar w:top="1440" w:right="1440" w:bottom="1440" w:left="1440" w:header="851" w:footer="992" w:gutter="0"/>
          <w:pgNumType w:fmt="numberInDash"/>
          <w:cols w:space="425" w:num="1"/>
          <w:docGrid w:type="lines" w:linePitch="326" w:charSpace="0"/>
        </w:sectPr>
      </w:pPr>
    </w:p>
    <w:p w14:paraId="5694231D">
      <w:pPr>
        <w:outlineLvl w:val="1"/>
        <w:rPr>
          <w:b/>
          <w:bCs/>
          <w:sz w:val="30"/>
          <w:szCs w:val="30"/>
        </w:rPr>
      </w:pPr>
      <w:bookmarkStart w:id="123" w:name="_Toc199260729"/>
      <w:r>
        <w:rPr>
          <w:rFonts w:hint="eastAsia"/>
          <w:b/>
          <w:bCs/>
          <w:sz w:val="30"/>
          <w:szCs w:val="30"/>
        </w:rPr>
        <w:t>附件6 关于印发《永州市一级医疗机构污水处理问题排查整治工作实施方案》的通知</w:t>
      </w:r>
      <w:bookmarkEnd w:id="123"/>
    </w:p>
    <w:p w14:paraId="1416F4A0">
      <w:pPr>
        <w:rPr>
          <w:b/>
          <w:bCs/>
          <w:sz w:val="30"/>
          <w:szCs w:val="30"/>
        </w:rPr>
      </w:pPr>
      <w:r>
        <w:drawing>
          <wp:inline distT="0" distB="0" distL="0" distR="0">
            <wp:extent cx="5731510" cy="7768590"/>
            <wp:effectExtent l="0" t="0" r="2540" b="3810"/>
            <wp:docPr id="103307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7514" name="图片 1"/>
                    <pic:cNvPicPr>
                      <a:picLocks noChangeAspect="1"/>
                    </pic:cNvPicPr>
                  </pic:nvPicPr>
                  <pic:blipFill>
                    <a:blip r:embed="rId23"/>
                    <a:stretch>
                      <a:fillRect/>
                    </a:stretch>
                  </pic:blipFill>
                  <pic:spPr>
                    <a:xfrm>
                      <a:off x="0" y="0"/>
                      <a:ext cx="5731510" cy="7768590"/>
                    </a:xfrm>
                    <a:prstGeom prst="rect">
                      <a:avLst/>
                    </a:prstGeom>
                  </pic:spPr>
                </pic:pic>
              </a:graphicData>
            </a:graphic>
          </wp:inline>
        </w:drawing>
      </w:r>
    </w:p>
    <w:p w14:paraId="61DA647E">
      <w:pPr>
        <w:rPr>
          <w:b/>
          <w:bCs/>
          <w:sz w:val="30"/>
          <w:szCs w:val="30"/>
        </w:rPr>
      </w:pPr>
      <w:r>
        <w:drawing>
          <wp:inline distT="0" distB="0" distL="0" distR="0">
            <wp:extent cx="5731510" cy="7754620"/>
            <wp:effectExtent l="0" t="0" r="2540" b="0"/>
            <wp:docPr id="1067065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65219" name="图片 1"/>
                    <pic:cNvPicPr>
                      <a:picLocks noChangeAspect="1"/>
                    </pic:cNvPicPr>
                  </pic:nvPicPr>
                  <pic:blipFill>
                    <a:blip r:embed="rId24"/>
                    <a:stretch>
                      <a:fillRect/>
                    </a:stretch>
                  </pic:blipFill>
                  <pic:spPr>
                    <a:xfrm>
                      <a:off x="0" y="0"/>
                      <a:ext cx="5731510" cy="7754620"/>
                    </a:xfrm>
                    <a:prstGeom prst="rect">
                      <a:avLst/>
                    </a:prstGeom>
                  </pic:spPr>
                </pic:pic>
              </a:graphicData>
            </a:graphic>
          </wp:inline>
        </w:drawing>
      </w:r>
    </w:p>
    <w:p w14:paraId="796370D0">
      <w:pPr>
        <w:rPr>
          <w:b/>
          <w:bCs/>
          <w:sz w:val="30"/>
          <w:szCs w:val="30"/>
        </w:rPr>
      </w:pPr>
      <w:r>
        <w:drawing>
          <wp:inline distT="0" distB="0" distL="0" distR="0">
            <wp:extent cx="5731510" cy="7618095"/>
            <wp:effectExtent l="0" t="0" r="2540" b="1905"/>
            <wp:docPr id="1017506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06035" name="图片 1"/>
                    <pic:cNvPicPr>
                      <a:picLocks noChangeAspect="1"/>
                    </pic:cNvPicPr>
                  </pic:nvPicPr>
                  <pic:blipFill>
                    <a:blip r:embed="rId25"/>
                    <a:stretch>
                      <a:fillRect/>
                    </a:stretch>
                  </pic:blipFill>
                  <pic:spPr>
                    <a:xfrm>
                      <a:off x="0" y="0"/>
                      <a:ext cx="5731510" cy="7618095"/>
                    </a:xfrm>
                    <a:prstGeom prst="rect">
                      <a:avLst/>
                    </a:prstGeom>
                  </pic:spPr>
                </pic:pic>
              </a:graphicData>
            </a:graphic>
          </wp:inline>
        </w:drawing>
      </w:r>
    </w:p>
    <w:p w14:paraId="712ACA08">
      <w:pPr>
        <w:rPr>
          <w:b/>
          <w:bCs/>
          <w:sz w:val="30"/>
          <w:szCs w:val="30"/>
        </w:rPr>
      </w:pPr>
      <w:r>
        <mc:AlternateContent>
          <mc:Choice Requires="wps">
            <w:drawing>
              <wp:anchor distT="0" distB="0" distL="114300" distR="114300" simplePos="0" relativeHeight="251671552" behindDoc="0" locked="0" layoutInCell="1" allowOverlap="1">
                <wp:simplePos x="0" y="0"/>
                <wp:positionH relativeFrom="column">
                  <wp:posOffset>704850</wp:posOffset>
                </wp:positionH>
                <wp:positionV relativeFrom="paragraph">
                  <wp:posOffset>4829175</wp:posOffset>
                </wp:positionV>
                <wp:extent cx="4495800" cy="1266825"/>
                <wp:effectExtent l="0" t="0" r="19050" b="28575"/>
                <wp:wrapNone/>
                <wp:docPr id="2000104854" name="文本框 6"/>
                <wp:cNvGraphicFramePr/>
                <a:graphic xmlns:a="http://schemas.openxmlformats.org/drawingml/2006/main">
                  <a:graphicData uri="http://schemas.microsoft.com/office/word/2010/wordprocessingShape">
                    <wps:wsp>
                      <wps:cNvSpPr txBox="1"/>
                      <wps:spPr>
                        <a:xfrm>
                          <a:off x="0" y="0"/>
                          <a:ext cx="4495800" cy="1266825"/>
                        </a:xfrm>
                        <a:prstGeom prst="rect">
                          <a:avLst/>
                        </a:prstGeom>
                        <a:noFill/>
                        <a:ln w="6350">
                          <a:solidFill>
                            <a:srgbClr val="FF0000"/>
                          </a:solidFill>
                        </a:ln>
                      </wps:spPr>
                      <wps:txbx>
                        <w:txbxContent>
                          <w:p w14:paraId="6649A0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55.5pt;margin-top:380.25pt;height:99.75pt;width:354pt;z-index:251671552;mso-width-relative:page;mso-height-relative:page;" filled="f" stroked="t" coordsize="21600,21600" o:gfxdata="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1Fd2nX&#10;AAAACwEAAA8AAAAAAAAAAQAgAAAAIgAAAGRycy9kb3ducmV2LnhtbFBLAQIUABQAAAAIAIdO4kBq&#10;xxgiWgIAAJkEAAAOAAAAAAAAAAEAIAAAACYBAABkcnMvZTJvRG9jLnhtbFBLBQYAAAAABgAGAFkB&#10;AADyBQAAAAA=&#10;">
                <v:fill on="f" focussize="0,0"/>
                <v:stroke weight="0.5pt" color="#FF0000" joinstyle="round"/>
                <v:imagedata o:title=""/>
                <o:lock v:ext="edit" aspectratio="f"/>
                <v:textbox>
                  <w:txbxContent>
                    <w:p w14:paraId="6649A0F7"/>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666750</wp:posOffset>
                </wp:positionH>
                <wp:positionV relativeFrom="paragraph">
                  <wp:posOffset>1476375</wp:posOffset>
                </wp:positionV>
                <wp:extent cx="4495800" cy="1971675"/>
                <wp:effectExtent l="0" t="0" r="19050" b="28575"/>
                <wp:wrapNone/>
                <wp:docPr id="1295082405" name="文本框 6"/>
                <wp:cNvGraphicFramePr/>
                <a:graphic xmlns:a="http://schemas.openxmlformats.org/drawingml/2006/main">
                  <a:graphicData uri="http://schemas.microsoft.com/office/word/2010/wordprocessingShape">
                    <wps:wsp>
                      <wps:cNvSpPr txBox="1"/>
                      <wps:spPr>
                        <a:xfrm>
                          <a:off x="0" y="0"/>
                          <a:ext cx="4495800" cy="1971675"/>
                        </a:xfrm>
                        <a:prstGeom prst="rect">
                          <a:avLst/>
                        </a:prstGeom>
                        <a:noFill/>
                        <a:ln w="6350">
                          <a:solidFill>
                            <a:srgbClr val="FF0000"/>
                          </a:solidFill>
                        </a:ln>
                      </wps:spPr>
                      <wps:txbx>
                        <w:txbxContent>
                          <w:p w14:paraId="5107880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52.5pt;margin-top:116.25pt;height:155.25pt;width:354pt;z-index:251670528;mso-width-relative:page;mso-height-relative:page;" filled="f" stroked="t" coordsize="21600,21600" o:gfxdata="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YA3b8&#10;1wAAAAsBAAAPAAAAAAAAAAEAIAAAACIAAABkcnMvZG93bnJldi54bWxQSwECFAAUAAAACACHTuJA&#10;qSlfHVsCAACZBAAADgAAAAAAAAABACAAAAAmAQAAZHJzL2Uyb0RvYy54bWxQSwUGAAAAAAYABgBZ&#10;AQAA8wUAAAAA&#10;">
                <v:fill on="f" focussize="0,0"/>
                <v:stroke weight="0.5pt" color="#FF0000" joinstyle="round"/>
                <v:imagedata o:title=""/>
                <o:lock v:ext="edit" aspectratio="f"/>
                <v:textbox>
                  <w:txbxContent>
                    <w:p w14:paraId="5107880D"/>
                  </w:txbxContent>
                </v:textbox>
              </v:shape>
            </w:pict>
          </mc:Fallback>
        </mc:AlternateContent>
      </w:r>
      <w:r>
        <w:drawing>
          <wp:inline distT="0" distB="0" distL="0" distR="0">
            <wp:extent cx="5731510" cy="7786370"/>
            <wp:effectExtent l="0" t="0" r="2540" b="5080"/>
            <wp:docPr id="1556305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5090" name="图片 1"/>
                    <pic:cNvPicPr>
                      <a:picLocks noChangeAspect="1"/>
                    </pic:cNvPicPr>
                  </pic:nvPicPr>
                  <pic:blipFill>
                    <a:blip r:embed="rId26"/>
                    <a:stretch>
                      <a:fillRect/>
                    </a:stretch>
                  </pic:blipFill>
                  <pic:spPr>
                    <a:xfrm>
                      <a:off x="0" y="0"/>
                      <a:ext cx="5731510" cy="7786370"/>
                    </a:xfrm>
                    <a:prstGeom prst="rect">
                      <a:avLst/>
                    </a:prstGeom>
                  </pic:spPr>
                </pic:pic>
              </a:graphicData>
            </a:graphic>
          </wp:inline>
        </w:drawing>
      </w:r>
    </w:p>
    <w:p w14:paraId="33183999">
      <w:pPr>
        <w:rPr>
          <w:b/>
          <w:bCs/>
          <w:sz w:val="30"/>
          <w:szCs w:val="30"/>
        </w:rPr>
      </w:pPr>
      <w:r>
        <w:drawing>
          <wp:inline distT="0" distB="0" distL="0" distR="0">
            <wp:extent cx="5731510" cy="7809865"/>
            <wp:effectExtent l="0" t="0" r="2540" b="635"/>
            <wp:docPr id="386388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88386" name="图片 1"/>
                    <pic:cNvPicPr>
                      <a:picLocks noChangeAspect="1"/>
                    </pic:cNvPicPr>
                  </pic:nvPicPr>
                  <pic:blipFill>
                    <a:blip r:embed="rId27"/>
                    <a:stretch>
                      <a:fillRect/>
                    </a:stretch>
                  </pic:blipFill>
                  <pic:spPr>
                    <a:xfrm>
                      <a:off x="0" y="0"/>
                      <a:ext cx="5731510" cy="7809865"/>
                    </a:xfrm>
                    <a:prstGeom prst="rect">
                      <a:avLst/>
                    </a:prstGeom>
                  </pic:spPr>
                </pic:pic>
              </a:graphicData>
            </a:graphic>
          </wp:inline>
        </w:drawing>
      </w:r>
    </w:p>
    <w:p w14:paraId="22A64C3D">
      <w:pPr>
        <w:rPr>
          <w:b/>
          <w:bCs/>
          <w:sz w:val="30"/>
          <w:szCs w:val="30"/>
        </w:rPr>
      </w:pPr>
      <w:r>
        <w:drawing>
          <wp:inline distT="0" distB="0" distL="0" distR="0">
            <wp:extent cx="5731510" cy="7793355"/>
            <wp:effectExtent l="0" t="0" r="2540" b="0"/>
            <wp:docPr id="2015135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35896" name="图片 1"/>
                    <pic:cNvPicPr>
                      <a:picLocks noChangeAspect="1"/>
                    </pic:cNvPicPr>
                  </pic:nvPicPr>
                  <pic:blipFill>
                    <a:blip r:embed="rId28"/>
                    <a:stretch>
                      <a:fillRect/>
                    </a:stretch>
                  </pic:blipFill>
                  <pic:spPr>
                    <a:xfrm>
                      <a:off x="0" y="0"/>
                      <a:ext cx="5731510" cy="7793355"/>
                    </a:xfrm>
                    <a:prstGeom prst="rect">
                      <a:avLst/>
                    </a:prstGeom>
                  </pic:spPr>
                </pic:pic>
              </a:graphicData>
            </a:graphic>
          </wp:inline>
        </w:drawing>
      </w:r>
    </w:p>
    <w:p w14:paraId="5E1EE973">
      <w:pPr>
        <w:rPr>
          <w:rFonts w:hint="eastAsia"/>
          <w:b/>
          <w:bCs/>
          <w:sz w:val="30"/>
          <w:szCs w:val="30"/>
        </w:rPr>
      </w:pPr>
      <w:r>
        <w:drawing>
          <wp:inline distT="0" distB="0" distL="0" distR="0">
            <wp:extent cx="5731510" cy="7582535"/>
            <wp:effectExtent l="0" t="0" r="2540" b="0"/>
            <wp:docPr id="1378390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90910" name="图片 1"/>
                    <pic:cNvPicPr>
                      <a:picLocks noChangeAspect="1"/>
                    </pic:cNvPicPr>
                  </pic:nvPicPr>
                  <pic:blipFill>
                    <a:blip r:embed="rId29"/>
                    <a:stretch>
                      <a:fillRect/>
                    </a:stretch>
                  </pic:blipFill>
                  <pic:spPr>
                    <a:xfrm>
                      <a:off x="0" y="0"/>
                      <a:ext cx="5731510" cy="7582535"/>
                    </a:xfrm>
                    <a:prstGeom prst="rect">
                      <a:avLst/>
                    </a:prstGeom>
                  </pic:spPr>
                </pic:pic>
              </a:graphicData>
            </a:graphic>
          </wp:inline>
        </w:drawing>
      </w:r>
    </w:p>
    <w:p w14:paraId="2F39DC81">
      <w:pPr>
        <w:rPr>
          <w:rFonts w:hint="eastAsia"/>
          <w:b/>
          <w:bCs/>
          <w:sz w:val="30"/>
          <w:szCs w:val="30"/>
        </w:rPr>
      </w:pPr>
    </w:p>
    <w:p w14:paraId="51F0FB61">
      <w:pPr>
        <w:sectPr>
          <w:pgSz w:w="11906" w:h="16838"/>
          <w:pgMar w:top="1440" w:right="1440" w:bottom="1440" w:left="1440" w:header="851" w:footer="992" w:gutter="0"/>
          <w:pgNumType w:fmt="numberInDash"/>
          <w:cols w:space="425" w:num="1"/>
          <w:docGrid w:type="lines" w:linePitch="326" w:charSpace="0"/>
        </w:sectPr>
      </w:pPr>
    </w:p>
    <w:p w14:paraId="47E5B22B">
      <w:pPr>
        <w:outlineLvl w:val="1"/>
        <w:rPr>
          <w:b/>
          <w:bCs/>
          <w:sz w:val="30"/>
          <w:szCs w:val="30"/>
        </w:rPr>
      </w:pPr>
      <w:bookmarkStart w:id="124" w:name="_Toc199260730"/>
      <w:r>
        <w:rPr>
          <w:rFonts w:hint="eastAsia"/>
          <w:b/>
          <w:bCs/>
          <w:sz w:val="30"/>
          <w:szCs w:val="30"/>
        </w:rPr>
        <w:t>附件7 专家审核意见</w:t>
      </w:r>
      <w:bookmarkEnd w:id="124"/>
    </w:p>
    <w:p w14:paraId="7432098E"/>
    <w:p w14:paraId="2BF435F6"/>
    <w:p w14:paraId="358EC20A"/>
    <w:p w14:paraId="4043417C"/>
    <w:p w14:paraId="38E44A38"/>
    <w:p w14:paraId="01FF9DDC"/>
    <w:p w14:paraId="2ABF609D"/>
    <w:p w14:paraId="563DD4C3"/>
    <w:p w14:paraId="44389432"/>
    <w:p w14:paraId="3964B633"/>
    <w:p w14:paraId="2DC91551"/>
    <w:p w14:paraId="3A0494EC"/>
    <w:p w14:paraId="7B460F42"/>
    <w:p w14:paraId="09A81030"/>
    <w:p w14:paraId="7CEF7339"/>
    <w:p w14:paraId="4E003080"/>
    <w:p w14:paraId="6B98EFB6"/>
    <w:p w14:paraId="247A9502"/>
    <w:p w14:paraId="2EB6DAEA"/>
    <w:p w14:paraId="681FC1AB"/>
    <w:p w14:paraId="6497D2F8"/>
    <w:p w14:paraId="2C640973"/>
    <w:p w14:paraId="5504B7BD"/>
    <w:p w14:paraId="5B09C40F"/>
    <w:p w14:paraId="1A1EBC41"/>
    <w:p w14:paraId="4146665C"/>
    <w:p w14:paraId="3AC991AD"/>
    <w:p w14:paraId="62020C52"/>
    <w:p w14:paraId="1D70C14E"/>
    <w:p w14:paraId="6C3D230D"/>
    <w:p w14:paraId="625C2689"/>
    <w:p w14:paraId="0B763E3F"/>
    <w:p w14:paraId="47D2D233"/>
    <w:p w14:paraId="352A804D"/>
    <w:p w14:paraId="312DED83"/>
    <w:p w14:paraId="1CC47935"/>
    <w:p w14:paraId="718933B3"/>
    <w:p w14:paraId="5CA72D8B"/>
    <w:p w14:paraId="371503DA"/>
    <w:p w14:paraId="3A318C48"/>
    <w:p w14:paraId="2C979E52"/>
    <w:p w14:paraId="01E4E5C7"/>
    <w:p w14:paraId="1EDE4CD6"/>
    <w:p w14:paraId="31B78AED"/>
    <w:p w14:paraId="27C2008E"/>
    <w:p w14:paraId="73FE1AD8"/>
    <w:p w14:paraId="4461D53D"/>
    <w:p w14:paraId="093FF229"/>
    <w:p w14:paraId="46AB681C"/>
    <w:p w14:paraId="1A68B17C"/>
    <w:p w14:paraId="33CE1C28"/>
    <w:p w14:paraId="79247AF0"/>
    <w:p w14:paraId="521D14E2"/>
    <w:p w14:paraId="4ACBD19B"/>
    <w:p w14:paraId="79916811">
      <w:pPr>
        <w:sectPr>
          <w:pgSz w:w="11906" w:h="16838"/>
          <w:pgMar w:top="1440" w:right="1440" w:bottom="1440" w:left="1440" w:header="851" w:footer="992" w:gutter="0"/>
          <w:pgNumType w:fmt="numberInDash"/>
          <w:cols w:space="425" w:num="1"/>
          <w:docGrid w:type="lines" w:linePitch="326" w:charSpace="0"/>
        </w:sectPr>
      </w:pPr>
    </w:p>
    <w:p w14:paraId="40591DB0">
      <w:r>
        <w:drawing>
          <wp:inline distT="0" distB="0" distL="0" distR="0">
            <wp:extent cx="8863330" cy="48044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8863330" cy="4804410"/>
                    </a:xfrm>
                    <a:prstGeom prst="rect">
                      <a:avLst/>
                    </a:prstGeom>
                  </pic:spPr>
                </pic:pic>
              </a:graphicData>
            </a:graphic>
          </wp:inline>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19050</wp:posOffset>
            </wp:positionV>
            <wp:extent cx="499745" cy="818515"/>
            <wp:effectExtent l="19050" t="19050" r="14605" b="19685"/>
            <wp:wrapNone/>
            <wp:docPr id="1311453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53502"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9745" cy="818515"/>
                    </a:xfrm>
                    <a:prstGeom prst="rect">
                      <a:avLst/>
                    </a:prstGeom>
                    <a:noFill/>
                    <a:ln w="9525">
                      <a:solidFill>
                        <a:srgbClr val="000000"/>
                      </a:solidFill>
                      <a:miter lim="800000"/>
                      <a:headEnd/>
                      <a:tailEnd/>
                    </a:ln>
                  </pic:spPr>
                </pic:pic>
              </a:graphicData>
            </a:graphic>
          </wp:anchor>
        </w:drawing>
      </w:r>
    </w:p>
    <w:p w14:paraId="35D4C77F">
      <w:pPr>
        <w:jc w:val="center"/>
        <w:outlineLvl w:val="1"/>
        <w:rPr>
          <w:b/>
          <w:bCs/>
          <w:sz w:val="30"/>
          <w:szCs w:val="30"/>
        </w:rPr>
      </w:pPr>
      <w:bookmarkStart w:id="125" w:name="_Toc199260731"/>
      <w:bookmarkStart w:id="126" w:name="_Toc194068228"/>
      <w:bookmarkStart w:id="127" w:name="_Toc188001863"/>
      <w:r>
        <w:rPr>
          <w:rFonts w:hint="eastAsia"/>
          <w:b/>
          <w:bCs/>
          <w:sz w:val="30"/>
          <w:szCs w:val="30"/>
        </w:rPr>
        <w:t>附图一 项目地理位置图</w:t>
      </w:r>
      <w:bookmarkEnd w:id="125"/>
      <w:bookmarkEnd w:id="126"/>
      <w:bookmarkEnd w:id="127"/>
    </w:p>
    <w:p w14:paraId="3EF635D1">
      <w:pPr>
        <w:sectPr>
          <w:pgSz w:w="16838" w:h="11906" w:orient="landscape"/>
          <w:pgMar w:top="1440" w:right="1440" w:bottom="1440" w:left="1440" w:header="851" w:footer="992" w:gutter="0"/>
          <w:pgNumType w:fmt="numberInDash"/>
          <w:cols w:space="425" w:num="1"/>
          <w:docGrid w:type="lines" w:linePitch="326" w:charSpace="0"/>
        </w:sectPr>
      </w:pPr>
    </w:p>
    <w:p w14:paraId="067B753C">
      <w:r>
        <mc:AlternateContent>
          <mc:Choice Requires="wps">
            <w:drawing>
              <wp:anchor distT="0" distB="0" distL="114300" distR="114300" simplePos="0" relativeHeight="251669504" behindDoc="0" locked="0" layoutInCell="1" allowOverlap="1">
                <wp:simplePos x="0" y="0"/>
                <wp:positionH relativeFrom="column">
                  <wp:posOffset>4181475</wp:posOffset>
                </wp:positionH>
                <wp:positionV relativeFrom="paragraph">
                  <wp:posOffset>2714625</wp:posOffset>
                </wp:positionV>
                <wp:extent cx="895350" cy="3238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95350" cy="323850"/>
                        </a:xfrm>
                        <a:prstGeom prst="rect">
                          <a:avLst/>
                        </a:prstGeom>
                        <a:noFill/>
                        <a:ln w="6350">
                          <a:noFill/>
                        </a:ln>
                      </wps:spPr>
                      <wps:txbx>
                        <w:txbxContent>
                          <w:p w14:paraId="69C17499">
                            <w:pPr>
                              <w:rPr>
                                <w:b/>
                                <w:bCs/>
                                <w:color w:val="7030A0"/>
                              </w:rPr>
                            </w:pPr>
                            <w:r>
                              <w:rPr>
                                <w:rFonts w:hint="eastAsia"/>
                                <w:b/>
                                <w:bCs/>
                                <w:color w:val="7030A0"/>
                              </w:rPr>
                              <w:t>河流方向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25pt;margin-top:213.75pt;height:25.5pt;width:70.5pt;z-index:251669504;mso-width-relative:page;mso-height-relative:page;" filled="f" stroked="f" coordsize="21600,21600" o:gfxdata="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tdGU2wAAAAsBAAAPAAAAAAAAAAEAIAAAACIAAABkcnMv&#10;ZG93bnJldi54bWxQSwECFAAUAAAACACHTuJAVbU5dTkCAABnBAAADgAAAAAAAAABACAAAAAqAQAA&#10;ZHJzL2Uyb0RvYy54bWxQSwUGAAAAAAYABgBZAQAA1QUAAAAA&#10;">
                <v:fill on="f" focussize="0,0"/>
                <v:stroke on="f" weight="0.5pt"/>
                <v:imagedata o:title=""/>
                <o:lock v:ext="edit" aspectratio="f"/>
                <v:textbox>
                  <w:txbxContent>
                    <w:p w14:paraId="69C17499">
                      <w:pPr>
                        <w:rPr>
                          <w:b/>
                          <w:bCs/>
                          <w:color w:val="7030A0"/>
                        </w:rPr>
                      </w:pPr>
                      <w:r>
                        <w:rPr>
                          <w:rFonts w:hint="eastAsia"/>
                          <w:b/>
                          <w:bCs/>
                          <w:color w:val="7030A0"/>
                        </w:rPr>
                        <w:t>河流方向</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3514725</wp:posOffset>
                </wp:positionH>
                <wp:positionV relativeFrom="paragraph">
                  <wp:posOffset>733425</wp:posOffset>
                </wp:positionV>
                <wp:extent cx="342900" cy="295275"/>
                <wp:effectExtent l="38100" t="38100" r="19050" b="28575"/>
                <wp:wrapNone/>
                <wp:docPr id="19" name="直接箭头连接符 19"/>
                <wp:cNvGraphicFramePr/>
                <a:graphic xmlns:a="http://schemas.openxmlformats.org/drawingml/2006/main">
                  <a:graphicData uri="http://schemas.microsoft.com/office/word/2010/wordprocessingShape">
                    <wps:wsp>
                      <wps:cNvCnPr/>
                      <wps:spPr>
                        <a:xfrm flipH="1" flipV="1">
                          <a:off x="0" y="0"/>
                          <a:ext cx="342900" cy="295275"/>
                        </a:xfrm>
                        <a:prstGeom prst="straightConnector1">
                          <a:avLst/>
                        </a:prstGeom>
                        <a:noFill/>
                        <a:ln w="19050" cap="flat" cmpd="sng" algn="ctr">
                          <a:solidFill>
                            <a:srgbClr val="7030A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276.75pt;margin-top:57.75pt;height:23.25pt;width:27pt;z-index:251668480;mso-width-relative:page;mso-height-relative:page;" filled="f" stroked="t" coordsize="21600,21600" o:gfxdata="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BIcZdgA&#10;AAALAQAADwAAAAAAAAABACAAAAAiAAAAZHJzL2Rvd25yZXYueG1sUEsBAhQAFAAAAAgAh07iQJKW&#10;tOIfAgAACgQAAA4AAAAAAAAAAQAgAAAAJwEAAGRycy9lMm9Eb2MueG1sUEsFBgAAAAAGAAYAWQEA&#10;ALgFAAAAAA==&#10;">
                <v:fill on="f" focussize="0,0"/>
                <v:stroke weight="1.5pt" color="#7030A0" miterlimit="8" joinstyle="miter" endarrow="block"/>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4581525</wp:posOffset>
                </wp:positionH>
                <wp:positionV relativeFrom="paragraph">
                  <wp:posOffset>1238250</wp:posOffset>
                </wp:positionV>
                <wp:extent cx="333375" cy="400050"/>
                <wp:effectExtent l="38100" t="0" r="28575" b="57150"/>
                <wp:wrapNone/>
                <wp:docPr id="18" name="直接箭头连接符 18"/>
                <wp:cNvGraphicFramePr/>
                <a:graphic xmlns:a="http://schemas.openxmlformats.org/drawingml/2006/main">
                  <a:graphicData uri="http://schemas.microsoft.com/office/word/2010/wordprocessingShape">
                    <wps:wsp>
                      <wps:cNvCnPr/>
                      <wps:spPr>
                        <a:xfrm flipH="1">
                          <a:off x="0" y="0"/>
                          <a:ext cx="333375" cy="400050"/>
                        </a:xfrm>
                        <a:prstGeom prst="straightConnector1">
                          <a:avLst/>
                        </a:prstGeom>
                        <a:noFill/>
                        <a:ln w="19050" cap="flat" cmpd="sng" algn="ctr">
                          <a:solidFill>
                            <a:srgbClr val="7030A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360.75pt;margin-top:97.5pt;height:31.5pt;width:26.25pt;z-index:251667456;mso-width-relative:page;mso-height-relative:page;" filled="f" stroked="t" coordsize="21600,21600" o:gfxdata="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lwwv2QAAAAsB&#10;AAAPAAAAAAAAAAEAIAAAACIAAABkcnMvZG93bnJldi54bWxQSwECFAAUAAAACACHTuJAFCQXAhoC&#10;AAAABAAADgAAAAAAAAABACAAAAAoAQAAZHJzL2Uyb0RvYy54bWxQSwUGAAAAAAYABgBZAQAAtAUA&#10;AAAA&#10;">
                <v:fill on="f" focussize="0,0"/>
                <v:stroke weight="1.5pt" color="#7030A0" miterlimit="8" joinstyle="miter" endarrow="block"/>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4124325</wp:posOffset>
                </wp:positionH>
                <wp:positionV relativeFrom="paragraph">
                  <wp:posOffset>2667000</wp:posOffset>
                </wp:positionV>
                <wp:extent cx="47625" cy="457200"/>
                <wp:effectExtent l="38100" t="38100" r="66675" b="19050"/>
                <wp:wrapNone/>
                <wp:docPr id="17" name="直接箭头连接符 17"/>
                <wp:cNvGraphicFramePr/>
                <a:graphic xmlns:a="http://schemas.openxmlformats.org/drawingml/2006/main">
                  <a:graphicData uri="http://schemas.microsoft.com/office/word/2010/wordprocessingShape">
                    <wps:wsp>
                      <wps:cNvCnPr/>
                      <wps:spPr>
                        <a:xfrm flipV="1">
                          <a:off x="0" y="0"/>
                          <a:ext cx="47625" cy="457200"/>
                        </a:xfrm>
                        <a:prstGeom prst="straightConnector1">
                          <a:avLst/>
                        </a:prstGeom>
                        <a:noFill/>
                        <a:ln w="19050" cap="flat" cmpd="sng" algn="ctr">
                          <a:solidFill>
                            <a:srgbClr val="7030A0"/>
                          </a:solidFill>
                          <a:prstDash val="solid"/>
                          <a:miter lim="800000"/>
                          <a:tailEnd type="triangle"/>
                        </a:ln>
                        <a:effectLst/>
                      </wps:spPr>
                      <wps:bodyPr/>
                    </wps:wsp>
                  </a:graphicData>
                </a:graphic>
              </wp:anchor>
            </w:drawing>
          </mc:Choice>
          <mc:Fallback>
            <w:pict>
              <v:shape id="_x0000_s1026" o:spid="_x0000_s1026" o:spt="32" type="#_x0000_t32" style="position:absolute;left:0pt;flip:y;margin-left:324.75pt;margin-top:210pt;height:36pt;width:3.75pt;z-index:251666432;mso-width-relative:page;mso-height-relative:page;" filled="f" stroked="t" coordsize="21600,21600" o:gfxdata="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aZy2QAAAAsB&#10;AAAPAAAAAAAAAAEAIAAAACIAAABkcnMvZG93bnJldi54bWxQSwECFAAUAAAACACHTuJAeLTmyhoC&#10;AAD/AwAADgAAAAAAAAABACAAAAAoAQAAZHJzL2Uyb0RvYy54bWxQSwUGAAAAAAYABgBZAQAAtAUA&#10;AAAA&#10;">
                <v:fill on="f" focussize="0,0"/>
                <v:stroke weight="1.5pt" color="#7030A0" miterlimit="8" joinstyle="miter" endarrow="block"/>
                <v:imagedata o:title=""/>
                <o:lock v:ext="edit" aspectratio="f"/>
              </v:shape>
            </w:pict>
          </mc:Fallback>
        </mc:AlternateContent>
      </w:r>
      <w:r>
        <w:drawing>
          <wp:inline distT="0" distB="0" distL="0" distR="0">
            <wp:extent cx="8863330" cy="48113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8863330" cy="4811395"/>
                    </a:xfrm>
                    <a:prstGeom prst="rect">
                      <a:avLst/>
                    </a:prstGeom>
                  </pic:spPr>
                </pic:pic>
              </a:graphicData>
            </a:graphic>
          </wp:inline>
        </w:drawing>
      </w:r>
    </w:p>
    <w:p w14:paraId="494D3E43">
      <w:pPr>
        <w:jc w:val="center"/>
        <w:outlineLvl w:val="1"/>
        <w:rPr>
          <w:b/>
          <w:bCs/>
          <w:sz w:val="30"/>
          <w:szCs w:val="30"/>
        </w:rPr>
      </w:pPr>
      <w:bookmarkStart w:id="128" w:name="_Toc194068229"/>
      <w:bookmarkStart w:id="129" w:name="_Toc188001864"/>
      <w:bookmarkStart w:id="130" w:name="_Toc199260732"/>
      <w:r>
        <w:rPr>
          <w:rFonts w:hint="eastAsia"/>
          <w:b/>
          <w:bCs/>
          <w:sz w:val="30"/>
          <w:szCs w:val="30"/>
        </w:rPr>
        <w:t>附图二 项目区域水系图</w:t>
      </w:r>
      <w:bookmarkEnd w:id="128"/>
      <w:bookmarkEnd w:id="129"/>
      <w:bookmarkEnd w:id="130"/>
    </w:p>
    <w:p w14:paraId="335A6469">
      <w:pPr>
        <w:sectPr>
          <w:pgSz w:w="16838" w:h="11906" w:orient="landscape"/>
          <w:pgMar w:top="1440" w:right="1440" w:bottom="1440" w:left="1440" w:header="851" w:footer="992" w:gutter="0"/>
          <w:pgNumType w:fmt="numberInDash"/>
          <w:cols w:space="425" w:num="1"/>
          <w:docGrid w:type="lines" w:linePitch="326" w:charSpace="0"/>
        </w:sectPr>
      </w:pPr>
    </w:p>
    <w:p w14:paraId="2DCAE258">
      <w:r>
        <w:drawing>
          <wp:anchor distT="0" distB="0" distL="114300" distR="114300" simplePos="0" relativeHeight="251665408" behindDoc="0" locked="0" layoutInCell="1" allowOverlap="1">
            <wp:simplePos x="0" y="0"/>
            <wp:positionH relativeFrom="column">
              <wp:posOffset>7772400</wp:posOffset>
            </wp:positionH>
            <wp:positionV relativeFrom="paragraph">
              <wp:posOffset>-370840</wp:posOffset>
            </wp:positionV>
            <wp:extent cx="499745" cy="818515"/>
            <wp:effectExtent l="19050" t="19050" r="14605" b="1968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9745" cy="818515"/>
                    </a:xfrm>
                    <a:prstGeom prst="rect">
                      <a:avLst/>
                    </a:prstGeom>
                    <a:noFill/>
                    <a:ln w="9525">
                      <a:solidFill>
                        <a:srgbClr val="000000"/>
                      </a:solidFill>
                      <a:miter lim="800000"/>
                      <a:headEnd/>
                      <a:tailEnd/>
                    </a:ln>
                  </pic:spPr>
                </pic:pic>
              </a:graphicData>
            </a:graphic>
          </wp:anchor>
        </w:drawing>
      </w:r>
      <w:r>
        <w:rPr>
          <w:rFonts w:hint="eastAsia"/>
        </w:rPr>
        <mc:AlternateContent>
          <mc:Choice Requires="wps">
            <w:drawing>
              <wp:anchor distT="0" distB="0" distL="114300" distR="114300" simplePos="0" relativeHeight="251662336" behindDoc="0" locked="0" layoutInCell="1" allowOverlap="1">
                <wp:simplePos x="0" y="0"/>
                <wp:positionH relativeFrom="column">
                  <wp:posOffset>1323975</wp:posOffset>
                </wp:positionH>
                <wp:positionV relativeFrom="paragraph">
                  <wp:posOffset>4743450</wp:posOffset>
                </wp:positionV>
                <wp:extent cx="5257800" cy="485775"/>
                <wp:effectExtent l="0" t="0" r="19050" b="28575"/>
                <wp:wrapNone/>
                <wp:docPr id="28" name="文本框 28"/>
                <wp:cNvGraphicFramePr/>
                <a:graphic xmlns:a="http://schemas.openxmlformats.org/drawingml/2006/main">
                  <a:graphicData uri="http://schemas.microsoft.com/office/word/2010/wordprocessingShape">
                    <wps:wsp>
                      <wps:cNvSpPr txBox="1"/>
                      <wps:spPr>
                        <a:xfrm>
                          <a:off x="0" y="0"/>
                          <a:ext cx="5257800" cy="485775"/>
                        </a:xfrm>
                        <a:prstGeom prst="rect">
                          <a:avLst/>
                        </a:prstGeom>
                        <a:solidFill>
                          <a:sysClr val="window" lastClr="FFFFFF"/>
                        </a:solidFill>
                        <a:ln w="6350">
                          <a:solidFill>
                            <a:prstClr val="black"/>
                          </a:solidFill>
                        </a:ln>
                      </wps:spPr>
                      <wps:txbx>
                        <w:txbxContent>
                          <w:p w14:paraId="3130BD40">
                            <w:pPr>
                              <w:jc w:val="center"/>
                            </w:pPr>
                            <w:r>
                              <w:rPr>
                                <w:rFonts w:hint="eastAsia"/>
                              </w:rPr>
                              <w:t>住院部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25pt;margin-top:373.5pt;height:38.25pt;width:414pt;z-index:251662336;mso-width-relative:page;mso-height-relative:page;" fillcolor="#FFFFFF" filled="t" stroked="t" coordsize="21600,21600" o:gfxdata="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2D7tT2AAAAAwBAAAPAAAAAAAAAAEAIAAAACIAAABkcnMvZG93bnJldi54bWxQSwECFAAU&#10;AAAACACHTuJADgNMq2MCAADJBAAADgAAAAAAAAABACAAAAAnAQAAZHJzL2Uyb0RvYy54bWxQSwUG&#10;AAAAAAYABgBZAQAA/AUAAAAA&#10;">
                <v:fill on="t" focussize="0,0"/>
                <v:stroke weight="0.5pt" color="#000000" joinstyle="round"/>
                <v:imagedata o:title=""/>
                <o:lock v:ext="edit" aspectratio="f"/>
                <v:textbox>
                  <w:txbxContent>
                    <w:p w14:paraId="3130BD40">
                      <w:pPr>
                        <w:jc w:val="center"/>
                      </w:pPr>
                      <w:r>
                        <w:rPr>
                          <w:rFonts w:hint="eastAsia"/>
                        </w:rPr>
                        <w:t>住院部</w:t>
                      </w: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85725</wp:posOffset>
                </wp:positionV>
                <wp:extent cx="1038225" cy="400050"/>
                <wp:effectExtent l="0" t="0" r="28575" b="19050"/>
                <wp:wrapNone/>
                <wp:docPr id="29" name="文本框 29"/>
                <wp:cNvGraphicFramePr/>
                <a:graphic xmlns:a="http://schemas.openxmlformats.org/drawingml/2006/main">
                  <a:graphicData uri="http://schemas.microsoft.com/office/word/2010/wordprocessingShape">
                    <wps:wsp>
                      <wps:cNvSpPr txBox="1"/>
                      <wps:spPr>
                        <a:xfrm>
                          <a:off x="0" y="0"/>
                          <a:ext cx="1038225" cy="400050"/>
                        </a:xfrm>
                        <a:prstGeom prst="rect">
                          <a:avLst/>
                        </a:prstGeom>
                        <a:solidFill>
                          <a:sysClr val="window" lastClr="FFFFFF"/>
                        </a:solidFill>
                        <a:ln w="6350">
                          <a:solidFill>
                            <a:prstClr val="black"/>
                          </a:solidFill>
                        </a:ln>
                      </wps:spPr>
                      <wps:txbx>
                        <w:txbxContent>
                          <w:p w14:paraId="60302B0D">
                            <w:r>
                              <w:rPr>
                                <w:rFonts w:hint="eastAsia"/>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6.75pt;height:31.5pt;width:81.75pt;mso-position-horizontal:left;mso-position-horizontal-relative:margin;z-index:251664384;mso-width-relative:page;mso-height-relative:page;" fillcolor="#FFFFFF" filled="t" stroked="t" coordsize="21600,21600" o:gfxdata="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PgXNMAAAAGAQAADwAAAAAAAAABACAAAAAiAAAAZHJzL2Rvd25yZXYueG1sUEsBAhQAFAAAAAgA&#10;h07iQE0iLS9jAgAAyQQAAA4AAAAAAAAAAQAgAAAAIgEAAGRycy9lMm9Eb2MueG1sUEsFBgAAAAAG&#10;AAYAWQEAAPcFAAAAAA==&#10;">
                <v:fill on="t" focussize="0,0"/>
                <v:stroke weight="0.5pt" color="#000000" joinstyle="round"/>
                <v:imagedata o:title=""/>
                <o:lock v:ext="edit" aspectratio="f"/>
                <v:textbox>
                  <w:txbxContent>
                    <w:p w14:paraId="60302B0D">
                      <w:r>
                        <w:rPr>
                          <w:rFonts w:hint="eastAsia"/>
                        </w:rPr>
                        <w:t>危废暂存间</w:t>
                      </w:r>
                    </w:p>
                  </w:txbxContent>
                </v:textbox>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4152900</wp:posOffset>
                </wp:positionV>
                <wp:extent cx="1038225" cy="400050"/>
                <wp:effectExtent l="0" t="0" r="28575" b="19050"/>
                <wp:wrapNone/>
                <wp:docPr id="30" name="文本框 30"/>
                <wp:cNvGraphicFramePr/>
                <a:graphic xmlns:a="http://schemas.openxmlformats.org/drawingml/2006/main">
                  <a:graphicData uri="http://schemas.microsoft.com/office/word/2010/wordprocessingShape">
                    <wps:wsp>
                      <wps:cNvSpPr txBox="1"/>
                      <wps:spPr>
                        <a:xfrm>
                          <a:off x="0" y="0"/>
                          <a:ext cx="1038225" cy="400050"/>
                        </a:xfrm>
                        <a:prstGeom prst="rect">
                          <a:avLst/>
                        </a:prstGeom>
                        <a:solidFill>
                          <a:sysClr val="window" lastClr="FFFFFF"/>
                        </a:solidFill>
                        <a:ln w="6350">
                          <a:solidFill>
                            <a:prstClr val="black"/>
                          </a:solidFill>
                        </a:ln>
                      </wps:spPr>
                      <wps:txbx>
                        <w:txbxContent>
                          <w:p w14:paraId="4C8942EA">
                            <w:r>
                              <w:rPr>
                                <w:rFonts w:hint="eastAsia"/>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327pt;height:31.5pt;width:81.75pt;z-index:251663360;mso-width-relative:page;mso-height-relative:page;" fillcolor="#FFFFFF" filled="t" stroked="t" coordsize="21600,21600" o:gfxdata="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6fM1dcAAAAKAQAADwAAAAAAAAABACAAAAAiAAAAZHJzL2Rvd25yZXYueG1sUEsBAhQAFAAA&#10;AAgAh07iQJsN32JiAgAAyQQAAA4AAAAAAAAAAQAgAAAAJgEAAGRycy9lMm9Eb2MueG1sUEsFBgAA&#10;AAAGAAYAWQEAAPoFAAAAAA==&#10;">
                <v:fill on="t" focussize="0,0"/>
                <v:stroke weight="0.5pt" color="#000000" joinstyle="round"/>
                <v:imagedata o:title=""/>
                <o:lock v:ext="edit" aspectratio="f"/>
                <v:textbox>
                  <w:txbxContent>
                    <w:p w14:paraId="4C8942EA">
                      <w:r>
                        <w:rPr>
                          <w:rFonts w:hint="eastAsia"/>
                        </w:rPr>
                        <w:t>污水处理站</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1247775</wp:posOffset>
                </wp:positionH>
                <wp:positionV relativeFrom="paragraph">
                  <wp:posOffset>-276225</wp:posOffset>
                </wp:positionV>
                <wp:extent cx="5257800" cy="723900"/>
                <wp:effectExtent l="0" t="0" r="19050" b="19050"/>
                <wp:wrapNone/>
                <wp:docPr id="31" name="文本框 31"/>
                <wp:cNvGraphicFramePr/>
                <a:graphic xmlns:a="http://schemas.openxmlformats.org/drawingml/2006/main">
                  <a:graphicData uri="http://schemas.microsoft.com/office/word/2010/wordprocessingShape">
                    <wps:wsp>
                      <wps:cNvSpPr txBox="1"/>
                      <wps:spPr>
                        <a:xfrm>
                          <a:off x="0" y="0"/>
                          <a:ext cx="5257800" cy="723900"/>
                        </a:xfrm>
                        <a:prstGeom prst="rect">
                          <a:avLst/>
                        </a:prstGeom>
                        <a:solidFill>
                          <a:sysClr val="window" lastClr="FFFFFF"/>
                        </a:solidFill>
                        <a:ln w="6350">
                          <a:solidFill>
                            <a:prstClr val="black"/>
                          </a:solidFill>
                        </a:ln>
                      </wps:spPr>
                      <wps:txbx>
                        <w:txbxContent>
                          <w:p w14:paraId="455CD8A8">
                            <w:pPr>
                              <w:jc w:val="center"/>
                            </w:pPr>
                            <w:r>
                              <w:rPr>
                                <w:rFonts w:hint="eastAsia"/>
                              </w:rPr>
                              <w:t>员工宿舍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5pt;margin-top:-21.75pt;height:57pt;width:414pt;z-index:251660288;mso-width-relative:page;mso-height-relative:page;" fillcolor="#FFFFFF" filled="t" stroked="t" coordsize="21600,21600" o:gfxdata="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QOXNHXAAAACwEAAA8AAAAAAAAAAQAgAAAAIgAAAGRycy9kb3ducmV2LnhtbFBLAQIUABQA&#10;AAAIAIdO4kACRJRSYwIAAMkEAAAOAAAAAAAAAAEAIAAAACYBAABkcnMvZTJvRG9jLnhtbFBLBQYA&#10;AAAABgAGAFkBAAD7BQAAAAA=&#10;">
                <v:fill on="t" focussize="0,0"/>
                <v:stroke weight="0.5pt" color="#000000" joinstyle="round"/>
                <v:imagedata o:title=""/>
                <o:lock v:ext="edit" aspectratio="f"/>
                <v:textbox>
                  <w:txbxContent>
                    <w:p w14:paraId="455CD8A8">
                      <w:pPr>
                        <w:jc w:val="center"/>
                      </w:pPr>
                      <w:r>
                        <w:rPr>
                          <w:rFonts w:hint="eastAsia"/>
                        </w:rPr>
                        <w:t>员工宿舍</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1028700</wp:posOffset>
                </wp:positionV>
                <wp:extent cx="1590675" cy="3505200"/>
                <wp:effectExtent l="0" t="0" r="28575" b="19050"/>
                <wp:wrapNone/>
                <wp:docPr id="32" name="文本框 32"/>
                <wp:cNvGraphicFramePr/>
                <a:graphic xmlns:a="http://schemas.openxmlformats.org/drawingml/2006/main">
                  <a:graphicData uri="http://schemas.microsoft.com/office/word/2010/wordprocessingShape">
                    <wps:wsp>
                      <wps:cNvSpPr txBox="1"/>
                      <wps:spPr>
                        <a:xfrm>
                          <a:off x="0" y="0"/>
                          <a:ext cx="1590675" cy="3505200"/>
                        </a:xfrm>
                        <a:prstGeom prst="rect">
                          <a:avLst/>
                        </a:prstGeom>
                        <a:solidFill>
                          <a:sysClr val="window" lastClr="FFFFFF"/>
                        </a:solidFill>
                        <a:ln w="6350">
                          <a:solidFill>
                            <a:prstClr val="black"/>
                          </a:solidFill>
                        </a:ln>
                      </wps:spPr>
                      <wps:txbx>
                        <w:txbxContent>
                          <w:p w14:paraId="473177D2"/>
                          <w:p w14:paraId="4FCE8BC7"/>
                          <w:p w14:paraId="41D53EFD"/>
                          <w:p w14:paraId="2CDE46C1"/>
                          <w:p w14:paraId="664D2198"/>
                          <w:p w14:paraId="380EA900">
                            <w:pPr>
                              <w:jc w:val="center"/>
                            </w:pPr>
                            <w:r>
                              <w:rPr>
                                <w:rFonts w:hint="eastAsia"/>
                              </w:rPr>
                              <w:t>门诊大楼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81pt;height:276pt;width:125.25pt;z-index:251661312;mso-width-relative:page;mso-height-relative:page;" fillcolor="#FFFFFF" filled="t" stroked="t" coordsize="21600,21600" o:gfxdata="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2W71wAAAAsBAAAPAAAAAAAAAAEAIAAAACIAAABkcnMvZG93bnJldi54bWxQSwECFAAU&#10;AAAACACHTuJAEW/Gr2QCAADKBAAADgAAAAAAAAABACAAAAAmAQAAZHJzL2Uyb0RvYy54bWxQSwUG&#10;AAAAAAYABgBZAQAA/AUAAAAA&#10;">
                <v:fill on="t" focussize="0,0"/>
                <v:stroke weight="0.5pt" color="#000000" joinstyle="round"/>
                <v:imagedata o:title=""/>
                <o:lock v:ext="edit" aspectratio="f"/>
                <v:textbox>
                  <w:txbxContent>
                    <w:p w14:paraId="473177D2"/>
                    <w:p w14:paraId="4FCE8BC7"/>
                    <w:p w14:paraId="41D53EFD"/>
                    <w:p w14:paraId="2CDE46C1"/>
                    <w:p w14:paraId="664D2198"/>
                    <w:p w14:paraId="380EA900">
                      <w:pPr>
                        <w:jc w:val="center"/>
                      </w:pPr>
                      <w:r>
                        <w:rPr>
                          <w:rFonts w:hint="eastAsia"/>
                        </w:rPr>
                        <w:t>门诊大楼</w:t>
                      </w:r>
                    </w:p>
                  </w:txbxContent>
                </v:textbox>
              </v:shape>
            </w:pict>
          </mc:Fallback>
        </mc:AlternateContent>
      </w:r>
    </w:p>
    <w:p w14:paraId="5B5A0769"/>
    <w:p w14:paraId="27DB1EE3"/>
    <w:p w14:paraId="1C3CB8D8"/>
    <w:p w14:paraId="608BE9CB"/>
    <w:p w14:paraId="7294FAD7"/>
    <w:p w14:paraId="58681219"/>
    <w:p w14:paraId="2B8B3CFF"/>
    <w:p w14:paraId="17AFDC67"/>
    <w:p w14:paraId="50A7261F"/>
    <w:p w14:paraId="376E50C6"/>
    <w:p w14:paraId="1E1D89C8"/>
    <w:p w14:paraId="6E3B8CEE"/>
    <w:p w14:paraId="7D9A670A"/>
    <w:p w14:paraId="276FF015"/>
    <w:p w14:paraId="0C5A1C71"/>
    <w:p w14:paraId="7801C11C"/>
    <w:p w14:paraId="765A59DC">
      <w:pPr>
        <w:jc w:val="center"/>
        <w:outlineLvl w:val="1"/>
        <w:rPr>
          <w:b/>
          <w:bCs/>
          <w:sz w:val="30"/>
          <w:szCs w:val="30"/>
        </w:rPr>
      </w:pPr>
      <w:bookmarkStart w:id="131" w:name="_Toc194068230"/>
      <w:bookmarkStart w:id="132" w:name="_Toc188001865"/>
      <w:bookmarkStart w:id="133" w:name="_Toc199260733"/>
      <w:r>
        <w:rPr>
          <w:rFonts w:hint="eastAsia"/>
          <w:b/>
          <w:bCs/>
          <w:sz w:val="30"/>
          <w:szCs w:val="30"/>
        </w:rPr>
        <w:t>附图三 项目平面布置图</w:t>
      </w:r>
      <w:bookmarkEnd w:id="131"/>
      <w:bookmarkEnd w:id="132"/>
      <w:bookmarkEnd w:id="133"/>
    </w:p>
    <w:p w14:paraId="03365585">
      <w:r>
        <w:drawing>
          <wp:inline distT="0" distB="0" distL="0" distR="0">
            <wp:extent cx="8863330" cy="47955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8863330" cy="4795520"/>
                    </a:xfrm>
                    <a:prstGeom prst="rect">
                      <a:avLst/>
                    </a:prstGeom>
                  </pic:spPr>
                </pic:pic>
              </a:graphicData>
            </a:graphic>
          </wp:inline>
        </w:drawing>
      </w:r>
    </w:p>
    <w:p w14:paraId="567B87E3">
      <w:pPr>
        <w:jc w:val="center"/>
        <w:outlineLvl w:val="1"/>
        <w:rPr>
          <w:b/>
          <w:bCs/>
          <w:sz w:val="30"/>
          <w:szCs w:val="30"/>
        </w:rPr>
      </w:pPr>
      <w:bookmarkStart w:id="134" w:name="_Toc194068231"/>
      <w:bookmarkStart w:id="135" w:name="_Toc199260734"/>
      <w:bookmarkStart w:id="136" w:name="_Toc188001866"/>
      <w:r>
        <w:rPr>
          <w:rFonts w:hint="eastAsia"/>
          <w:b/>
          <w:bCs/>
          <w:sz w:val="30"/>
          <w:szCs w:val="30"/>
        </w:rPr>
        <w:t>附图四 环境保护目标示意图</w:t>
      </w:r>
      <w:bookmarkEnd w:id="134"/>
      <w:bookmarkEnd w:id="135"/>
      <w:bookmarkEnd w:id="136"/>
    </w:p>
    <w:p w14:paraId="286659D7">
      <w:pPr>
        <w:rPr>
          <w:rFonts w:hint="eastAsia"/>
        </w:rPr>
      </w:pPr>
    </w:p>
    <w:sectPr>
      <w:pgSz w:w="16838" w:h="11906" w:orient="landscape"/>
      <w:pgMar w:top="1440" w:right="1440" w:bottom="1440" w:left="1440" w:header="851" w:footer="992" w:gutter="0"/>
      <w:pgNumType w:fmt="numberInDash"/>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Emoji">
    <w:altName w:val="Segoe UI"/>
    <w:panose1 w:val="020B0502040204020203"/>
    <w:charset w:val="00"/>
    <w:family w:val="swiss"/>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133DA">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40712">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2040712">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3B"/>
    <w:rsid w:val="000176E3"/>
    <w:rsid w:val="00026F90"/>
    <w:rsid w:val="00040230"/>
    <w:rsid w:val="00093AD8"/>
    <w:rsid w:val="001132F8"/>
    <w:rsid w:val="00155ABF"/>
    <w:rsid w:val="001968D4"/>
    <w:rsid w:val="001A6133"/>
    <w:rsid w:val="001B1056"/>
    <w:rsid w:val="001C503E"/>
    <w:rsid w:val="00231D27"/>
    <w:rsid w:val="00271D4B"/>
    <w:rsid w:val="0027441B"/>
    <w:rsid w:val="002C6081"/>
    <w:rsid w:val="0030065E"/>
    <w:rsid w:val="00310E52"/>
    <w:rsid w:val="00371D1F"/>
    <w:rsid w:val="003B201D"/>
    <w:rsid w:val="003B638E"/>
    <w:rsid w:val="003D69FC"/>
    <w:rsid w:val="003F0326"/>
    <w:rsid w:val="00403067"/>
    <w:rsid w:val="00421765"/>
    <w:rsid w:val="00445C9F"/>
    <w:rsid w:val="004536AD"/>
    <w:rsid w:val="004D53EC"/>
    <w:rsid w:val="00510F7E"/>
    <w:rsid w:val="00520E0A"/>
    <w:rsid w:val="00535185"/>
    <w:rsid w:val="00563795"/>
    <w:rsid w:val="005742C8"/>
    <w:rsid w:val="005A14FE"/>
    <w:rsid w:val="005B6CA2"/>
    <w:rsid w:val="005D21A1"/>
    <w:rsid w:val="005E4104"/>
    <w:rsid w:val="006165B2"/>
    <w:rsid w:val="006207A0"/>
    <w:rsid w:val="00634F1E"/>
    <w:rsid w:val="0064767F"/>
    <w:rsid w:val="006826B7"/>
    <w:rsid w:val="00695FCC"/>
    <w:rsid w:val="006A4923"/>
    <w:rsid w:val="006A7A9A"/>
    <w:rsid w:val="006E234E"/>
    <w:rsid w:val="00704976"/>
    <w:rsid w:val="0071502E"/>
    <w:rsid w:val="0074318B"/>
    <w:rsid w:val="00795098"/>
    <w:rsid w:val="007A1D95"/>
    <w:rsid w:val="008115F0"/>
    <w:rsid w:val="00843F6F"/>
    <w:rsid w:val="00844826"/>
    <w:rsid w:val="0085793B"/>
    <w:rsid w:val="008710D5"/>
    <w:rsid w:val="00872A91"/>
    <w:rsid w:val="008E490A"/>
    <w:rsid w:val="00921EA3"/>
    <w:rsid w:val="00933F4D"/>
    <w:rsid w:val="009555AA"/>
    <w:rsid w:val="0096008D"/>
    <w:rsid w:val="0096562D"/>
    <w:rsid w:val="0096583C"/>
    <w:rsid w:val="009970D2"/>
    <w:rsid w:val="009A4687"/>
    <w:rsid w:val="009A7616"/>
    <w:rsid w:val="009B42ED"/>
    <w:rsid w:val="009B7AF6"/>
    <w:rsid w:val="00A53BC5"/>
    <w:rsid w:val="00A91957"/>
    <w:rsid w:val="00A966E4"/>
    <w:rsid w:val="00AA60CC"/>
    <w:rsid w:val="00AE4DC8"/>
    <w:rsid w:val="00AF41D9"/>
    <w:rsid w:val="00B36BA9"/>
    <w:rsid w:val="00B579FA"/>
    <w:rsid w:val="00B7137D"/>
    <w:rsid w:val="00B74459"/>
    <w:rsid w:val="00B9340E"/>
    <w:rsid w:val="00BA57BE"/>
    <w:rsid w:val="00BC5798"/>
    <w:rsid w:val="00C27AF2"/>
    <w:rsid w:val="00C47D8D"/>
    <w:rsid w:val="00C661DD"/>
    <w:rsid w:val="00C86AA8"/>
    <w:rsid w:val="00C86B20"/>
    <w:rsid w:val="00C96446"/>
    <w:rsid w:val="00CB15F5"/>
    <w:rsid w:val="00CB2C7B"/>
    <w:rsid w:val="00CC5380"/>
    <w:rsid w:val="00CE2C87"/>
    <w:rsid w:val="00D1180A"/>
    <w:rsid w:val="00D3115C"/>
    <w:rsid w:val="00D62A69"/>
    <w:rsid w:val="00D84039"/>
    <w:rsid w:val="00DA20F9"/>
    <w:rsid w:val="00DA552E"/>
    <w:rsid w:val="00DA604B"/>
    <w:rsid w:val="00E05C02"/>
    <w:rsid w:val="00E34FD8"/>
    <w:rsid w:val="00E50CDB"/>
    <w:rsid w:val="00E524DB"/>
    <w:rsid w:val="00E56D4D"/>
    <w:rsid w:val="00E931AD"/>
    <w:rsid w:val="00EB0156"/>
    <w:rsid w:val="00EC2B4C"/>
    <w:rsid w:val="00ED4193"/>
    <w:rsid w:val="00F23B30"/>
    <w:rsid w:val="00F7246D"/>
    <w:rsid w:val="00F8379B"/>
    <w:rsid w:val="00FF235F"/>
    <w:rsid w:val="362C0833"/>
    <w:rsid w:val="545D5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imes New Roman" w:hAnsi="Times New Roman" w:eastAsia="宋体" w:cs="Times New Roman"/>
      <w:kern w:val="2"/>
      <w:sz w:val="24"/>
      <w:szCs w:val="22"/>
      <w:lang w:val="en-US" w:eastAsia="zh-CN" w:bidi="ar-SA"/>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next w:val="1"/>
    <w:autoRedefine/>
    <w:unhideWhenUsed/>
    <w:qFormat/>
    <w:uiPriority w:val="39"/>
  </w:style>
  <w:style w:type="paragraph" w:styleId="5">
    <w:name w:val="toc 2"/>
    <w:basedOn w:val="1"/>
    <w:next w:val="1"/>
    <w:autoRedefine/>
    <w:unhideWhenUsed/>
    <w:qFormat/>
    <w:uiPriority w:val="39"/>
    <w:pPr>
      <w:ind w:left="420" w:leftChars="200"/>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3"/>
    <w:qFormat/>
    <w:uiPriority w:val="99"/>
    <w:rPr>
      <w:sz w:val="18"/>
      <w:szCs w:val="18"/>
    </w:rPr>
  </w:style>
  <w:style w:type="character" w:customStyle="1" w:styleId="11">
    <w:name w:val="页脚 字符"/>
    <w:basedOn w:val="8"/>
    <w:link w:val="2"/>
    <w:qFormat/>
    <w:uiPriority w:val="99"/>
    <w:rPr>
      <w:sz w:val="18"/>
      <w:szCs w:val="18"/>
    </w:rPr>
  </w:style>
  <w:style w:type="table" w:customStyle="1" w:styleId="12">
    <w:name w:val="网格型1"/>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1"/>
    <w:basedOn w:val="1"/>
    <w:qFormat/>
    <w:uiPriority w:val="0"/>
    <w:pPr>
      <w:adjustRightInd w:val="0"/>
      <w:spacing w:line="400" w:lineRule="atLeast"/>
      <w:jc w:val="center"/>
    </w:pPr>
    <w:rPr>
      <w:kern w:val="0"/>
      <w:sz w:val="21"/>
      <w:szCs w:val="21"/>
    </w:rPr>
  </w:style>
  <w:style w:type="paragraph" w:styleId="14">
    <w:name w:val="List Paragraph"/>
    <w:basedOn w:val="1"/>
    <w:qFormat/>
    <w:uiPriority w:val="34"/>
    <w:pPr>
      <w:ind w:firstLine="420" w:firstLineChars="200"/>
    </w:pPr>
  </w:style>
  <w:style w:type="paragraph" w:customStyle="1" w:styleId="15">
    <w:name w:val="图文框"/>
    <w:basedOn w:val="1"/>
    <w:qFormat/>
    <w:uiPriority w:val="0"/>
    <w:pPr>
      <w:snapToGrid w:val="0"/>
      <w:spacing w:line="320" w:lineRule="atLeast"/>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package" Target="embeddings/Microsoft_Visio___1.vsdx"/><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5DC502-E8F3-4500-B222-71156ACADF57}">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381</Words>
  <Characters>400</Characters>
  <Lines>256</Lines>
  <Paragraphs>72</Paragraphs>
  <TotalTime>413</TotalTime>
  <ScaleCrop>false</ScaleCrop>
  <LinksUpToDate>false</LinksUpToDate>
  <CharactersWithSpaces>469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2025-05-06T00:20:00Z</dcterms:created>
  <dc:creator>Administrator</dc:creator>
  <cp:lastModifiedBy>小平子</cp:lastModifiedBy>
  <dcterms:modified xsi:type="dcterms:W3CDTF">2025-08-27T03:24:33Z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eyJoZGlkIjoiYmQ0YzE1MGVkMmRhMjA2MzBhZTUwZTc4YzAzMWFiODciLCJ1c2VySWQiOiI0MzkzNDg4ODcifQ==</vt:lpwstr>
  </property>
  <property fmtid="{D5CDD505-2E9C-101B-9397-08002B2CF9AE}" pid="3" name="KSOProductBuildVer">
    <vt:lpwstr>2052-12.1.0.22529</vt:lpwstr>
  </property>
  <property fmtid="{D5CDD505-2E9C-101B-9397-08002B2CF9AE}" pid="4" name="ICV">
    <vt:lpwstr>2709C9D98AC04731933E0AA94368DBC1_12</vt:lpwstr>
  </property>
</Properties>
</file>