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C673">
      <w:pPr>
        <w:numPr>
          <w:ilvl w:val="0"/>
          <w:numId w:val="0"/>
        </w:numPr>
        <w:ind w:leftChars="0"/>
        <w:rPr>
          <w:rFonts w:ascii="黑体" w:hAnsi="黑体" w:eastAsia="黑体" w:cs="黑体"/>
          <w:color w:val="000000"/>
          <w:sz w:val="32"/>
          <w:szCs w:val="32"/>
        </w:rPr>
      </w:pPr>
      <w:r>
        <w:rPr>
          <w:rFonts w:hint="eastAsia" w:ascii="黑体" w:hAnsi="黑体" w:eastAsia="黑体" w:cs="黑体"/>
          <w:color w:val="000000"/>
          <w:sz w:val="32"/>
          <w:szCs w:val="32"/>
        </w:rPr>
        <w:t>附件1</w:t>
      </w:r>
    </w:p>
    <w:p w14:paraId="1D55163A">
      <w:pPr>
        <w:overflowPunct w:val="0"/>
        <w:spacing w:line="580" w:lineRule="exact"/>
        <w:ind w:left="0" w:leftChars="0" w:firstLine="0" w:firstLineChars="0"/>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rPr>
        <w:t>关于第二轮省生态环境保护督察反馈“双牌县阳明山自然保护区核心区存在多处居民住房正在改扩建”问题整改情况的报告</w:t>
      </w:r>
    </w:p>
    <w:bookmarkEnd w:id="0"/>
    <w:p w14:paraId="50BFD7C7">
      <w:pPr>
        <w:overflowPunct w:val="0"/>
        <w:spacing w:line="560" w:lineRule="exact"/>
        <w:jc w:val="center"/>
        <w:rPr>
          <w:rFonts w:ascii="方正小标宋简体" w:hAnsi="Calibri" w:eastAsia="方正小标宋简体" w:cs="Calibri"/>
          <w:sz w:val="44"/>
          <w:szCs w:val="44"/>
        </w:rPr>
      </w:pPr>
    </w:p>
    <w:p w14:paraId="741F0178">
      <w:pPr>
        <w:overflowPunct w:val="0"/>
        <w:ind w:firstLine="640" w:firstLineChars="200"/>
        <w:rPr>
          <w:rFonts w:ascii="仿宋_GB2312" w:hAnsi="Calibri" w:eastAsia="仿宋_GB2312" w:cs="Calibri"/>
          <w:spacing w:val="-6"/>
          <w:sz w:val="32"/>
          <w:szCs w:val="32"/>
        </w:rPr>
      </w:pPr>
      <w:r>
        <w:rPr>
          <w:rFonts w:hint="eastAsia" w:ascii="仿宋_GB2312" w:hAnsi="Calibri" w:eastAsia="仿宋_GB2312" w:cs="Calibri"/>
          <w:sz w:val="32"/>
          <w:szCs w:val="32"/>
        </w:rPr>
        <w:t>根据《永州市生态环境局关于进一步规范永州市突出生态环境问题整改销号流程的函》（永环函〔2025〕1号）文件要求，现将第二轮省生态环境保护督察反馈的“双牌县阳明山自然保护区核</w:t>
      </w:r>
      <w:r>
        <w:rPr>
          <w:rFonts w:hint="eastAsia" w:ascii="仿宋_GB2312" w:hAnsi="Calibri" w:eastAsia="仿宋_GB2312" w:cs="Calibri"/>
          <w:spacing w:val="-6"/>
          <w:sz w:val="32"/>
          <w:szCs w:val="32"/>
        </w:rPr>
        <w:t>心区存在多处居民住房正在改扩建”问题整改完成情况报告如下：</w:t>
      </w:r>
    </w:p>
    <w:p w14:paraId="2D7D3FF3">
      <w:pPr>
        <w:overflowPunct w:val="0"/>
        <w:ind w:firstLine="640" w:firstLineChars="200"/>
        <w:rPr>
          <w:rFonts w:ascii="黑体" w:hAnsi="黑体" w:eastAsia="黑体" w:cs="Calibri"/>
          <w:sz w:val="32"/>
          <w:szCs w:val="32"/>
        </w:rPr>
      </w:pPr>
      <w:r>
        <w:rPr>
          <w:rFonts w:hint="eastAsia" w:ascii="黑体" w:hAnsi="黑体" w:eastAsia="黑体" w:cs="Calibri"/>
          <w:sz w:val="32"/>
          <w:szCs w:val="32"/>
        </w:rPr>
        <w:t>一、反馈问题</w:t>
      </w:r>
    </w:p>
    <w:p w14:paraId="4C54A164">
      <w:pPr>
        <w:overflowPunct w:val="0"/>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双牌县阳明山自然保护区核心区存在多处居民住房正在改扩建问题。</w:t>
      </w:r>
    </w:p>
    <w:p w14:paraId="128250AC">
      <w:pPr>
        <w:overflowPunct w:val="0"/>
        <w:ind w:firstLine="640" w:firstLineChars="200"/>
        <w:rPr>
          <w:rFonts w:ascii="黑体" w:hAnsi="黑体" w:eastAsia="黑体" w:cs="Calibri"/>
          <w:sz w:val="32"/>
          <w:szCs w:val="32"/>
        </w:rPr>
      </w:pPr>
      <w:r>
        <w:rPr>
          <w:rFonts w:hint="eastAsia" w:ascii="黑体" w:hAnsi="黑体" w:eastAsia="黑体" w:cs="Calibri"/>
          <w:sz w:val="32"/>
          <w:szCs w:val="32"/>
        </w:rPr>
        <w:t>二、整改目标</w:t>
      </w:r>
    </w:p>
    <w:p w14:paraId="4A9B0C95">
      <w:pPr>
        <w:overflowPunct w:val="0"/>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2025年底前，湖南阳明山国家森林公园管理局依法依规完善相关手续，依据国家现行相关法律法规，结合自然保护区设立时间、项目建设时间、所处功能分区、审批情况、生态影响等情况分类将问题整治到位。</w:t>
      </w:r>
    </w:p>
    <w:p w14:paraId="0230AC8F">
      <w:pPr>
        <w:overflowPunct w:val="0"/>
        <w:ind w:firstLine="640" w:firstLineChars="200"/>
        <w:rPr>
          <w:rFonts w:ascii="黑体" w:hAnsi="黑体" w:eastAsia="黑体" w:cs="Calibri"/>
          <w:sz w:val="32"/>
          <w:szCs w:val="32"/>
        </w:rPr>
      </w:pPr>
      <w:r>
        <w:rPr>
          <w:rFonts w:hint="eastAsia" w:ascii="黑体" w:hAnsi="黑体" w:eastAsia="黑体" w:cs="Calibri"/>
          <w:sz w:val="32"/>
          <w:szCs w:val="32"/>
        </w:rPr>
        <w:t>三、整改措施</w:t>
      </w:r>
    </w:p>
    <w:p w14:paraId="7A1890CD">
      <w:pPr>
        <w:overflowPunct w:val="0"/>
        <w:ind w:firstLine="640" w:firstLineChars="200"/>
        <w:rPr>
          <w:rFonts w:hint="eastAsia" w:ascii="仿宋_GB2312" w:hAnsi="Calibri" w:eastAsia="仿宋_GB2312" w:cs="Calibri"/>
          <w:sz w:val="32"/>
          <w:szCs w:val="32"/>
        </w:rPr>
      </w:pPr>
      <w:r>
        <w:rPr>
          <w:rFonts w:hint="eastAsia" w:ascii="楷体_GB2312" w:hAnsi="Calibri" w:eastAsia="楷体_GB2312" w:cs="Calibri"/>
          <w:sz w:val="32"/>
          <w:szCs w:val="32"/>
        </w:rPr>
        <w:t>（一）全面摸排。</w:t>
      </w:r>
      <w:r>
        <w:rPr>
          <w:rFonts w:hint="eastAsia" w:ascii="仿宋_GB2312" w:hAnsi="Calibri" w:eastAsia="仿宋_GB2312" w:cs="Calibri"/>
          <w:sz w:val="32"/>
          <w:szCs w:val="32"/>
        </w:rPr>
        <w:t>组织相关单位依职责、依处罚权限对</w:t>
      </w:r>
    </w:p>
    <w:p w14:paraId="3B3C1D31">
      <w:pPr>
        <w:overflowPunct w:val="0"/>
        <w:rPr>
          <w:rFonts w:hint="eastAsia" w:ascii="仿宋_GB2312" w:hAnsi="Calibri" w:eastAsia="仿宋_GB2312" w:cs="Calibri"/>
          <w:sz w:val="32"/>
          <w:szCs w:val="32"/>
        </w:rPr>
      </w:pPr>
    </w:p>
    <w:p w14:paraId="1FAACF92">
      <w:pPr>
        <w:overflowPunct w:val="0"/>
        <w:rPr>
          <w:rFonts w:ascii="仿宋_GB2312" w:hAnsi="Calibri" w:eastAsia="仿宋_GB2312" w:cs="Calibri"/>
          <w:sz w:val="32"/>
          <w:szCs w:val="32"/>
        </w:rPr>
      </w:pPr>
      <w:r>
        <w:rPr>
          <w:rFonts w:hint="eastAsia" w:ascii="仿宋_GB2312" w:hAnsi="Calibri" w:eastAsia="仿宋_GB2312" w:cs="Calibri"/>
          <w:sz w:val="32"/>
          <w:szCs w:val="32"/>
        </w:rPr>
        <w:t>阳明山自然保护区核心区内居民住房改扩建情况进行全面摸排，列出问题清单。（完成时限：2024年12月31日）</w:t>
      </w:r>
    </w:p>
    <w:p w14:paraId="3B23E116">
      <w:pPr>
        <w:overflowPunct w:val="0"/>
        <w:ind w:firstLine="640" w:firstLineChars="200"/>
        <w:rPr>
          <w:rFonts w:ascii="仿宋_GB2312" w:hAnsi="Calibri" w:eastAsia="仿宋_GB2312" w:cs="Calibri"/>
          <w:sz w:val="32"/>
          <w:szCs w:val="32"/>
        </w:rPr>
      </w:pPr>
      <w:r>
        <w:rPr>
          <w:rFonts w:hint="eastAsia" w:ascii="楷体_GB2312" w:hAnsi="Calibri" w:eastAsia="楷体_GB2312" w:cs="Calibri"/>
          <w:sz w:val="32"/>
          <w:szCs w:val="32"/>
        </w:rPr>
        <w:t>（二）分类整治。</w:t>
      </w:r>
      <w:r>
        <w:rPr>
          <w:rFonts w:hint="eastAsia" w:ascii="仿宋_GB2312" w:hAnsi="Calibri" w:eastAsia="仿宋_GB2312" w:cs="Calibri"/>
          <w:sz w:val="32"/>
          <w:szCs w:val="32"/>
        </w:rPr>
        <w:t>一是责令存在问题的业主停止建设；二是依据《居民自建房建设合法合规性问题整治的政策措施》（湘自资发〔2023〕4号）要求，进一步调查核实，制定“一房一策”，依法依规分类整治到位；三是停止在核心区、缓冲区内开展经营活动。（完成时限：2025年12月31日）</w:t>
      </w:r>
    </w:p>
    <w:p w14:paraId="3A74DFF0">
      <w:pPr>
        <w:overflowPunct w:val="0"/>
        <w:ind w:firstLine="640" w:firstLineChars="200"/>
        <w:rPr>
          <w:rFonts w:ascii="仿宋_GB2312" w:hAnsi="Calibri" w:eastAsia="仿宋_GB2312" w:cs="Calibri"/>
          <w:sz w:val="32"/>
          <w:szCs w:val="32"/>
        </w:rPr>
      </w:pPr>
      <w:r>
        <w:rPr>
          <w:rFonts w:hint="eastAsia" w:ascii="楷体_GB2312" w:hAnsi="Calibri" w:eastAsia="楷体_GB2312" w:cs="Calibri"/>
          <w:sz w:val="32"/>
          <w:szCs w:val="32"/>
        </w:rPr>
        <w:t>（三）强化日常监管。</w:t>
      </w:r>
      <w:r>
        <w:rPr>
          <w:rFonts w:hint="eastAsia" w:ascii="仿宋_GB2312" w:hAnsi="Calibri" w:eastAsia="仿宋_GB2312" w:cs="Calibri"/>
          <w:sz w:val="32"/>
          <w:szCs w:val="32"/>
        </w:rPr>
        <w:t>加强对阳明山国家级自然保护区内问题整改的监管力度，防止问题出现反弹现象。（长期坚持）</w:t>
      </w:r>
    </w:p>
    <w:p w14:paraId="6CC6FFBC">
      <w:pPr>
        <w:overflowPunct w:val="0"/>
        <w:ind w:firstLine="640" w:firstLineChars="200"/>
        <w:rPr>
          <w:rFonts w:ascii="黑体" w:hAnsi="黑体" w:eastAsia="黑体" w:cs="Calibri"/>
          <w:sz w:val="32"/>
          <w:szCs w:val="32"/>
        </w:rPr>
      </w:pPr>
      <w:r>
        <w:rPr>
          <w:rFonts w:hint="eastAsia" w:ascii="黑体" w:hAnsi="黑体" w:eastAsia="黑体" w:cs="Calibri"/>
          <w:sz w:val="32"/>
          <w:szCs w:val="32"/>
        </w:rPr>
        <w:t>四、整改落实情况</w:t>
      </w:r>
    </w:p>
    <w:p w14:paraId="39619354">
      <w:pPr>
        <w:overflowPunct w:val="0"/>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双牌县委、县政府高度重视，主要领导和分管领导多次召开专题会议研究中央、省环保督察报告反馈问题的整改工作，制定了《双牌县贯彻落实第二轮省生态环境保护督察报告整改方案》，成立了整改工作专班，明确由分管林业的副县长牵头，湖南阳明山国家森林公园管理局作为问题整改主体责任单位和牵头整改单位，双牌县自然资源局、县林业局、县农业农村局、县住建局以及市生态环境局双牌分局作为配合整改单位，建立了联席会议制度，定期召开会议研究解决问题。</w:t>
      </w:r>
    </w:p>
    <w:p w14:paraId="6C66EF2C">
      <w:pPr>
        <w:overflowPunct w:val="0"/>
        <w:ind w:firstLine="640" w:firstLineChars="200"/>
        <w:rPr>
          <w:rFonts w:hint="eastAsia" w:ascii="楷体_GB2312" w:hAnsi="Calibri" w:eastAsia="楷体_GB2312" w:cs="Calibri"/>
          <w:sz w:val="32"/>
          <w:szCs w:val="32"/>
        </w:rPr>
      </w:pPr>
    </w:p>
    <w:p w14:paraId="17502DAD">
      <w:pPr>
        <w:overflowPunct w:val="0"/>
        <w:ind w:firstLine="640" w:firstLineChars="200"/>
        <w:rPr>
          <w:rFonts w:hint="eastAsia" w:ascii="楷体_GB2312" w:hAnsi="Calibri" w:eastAsia="楷体_GB2312" w:cs="Calibri"/>
          <w:sz w:val="32"/>
          <w:szCs w:val="32"/>
        </w:rPr>
      </w:pPr>
      <w:r>
        <w:rPr>
          <w:rFonts w:hint="eastAsia" w:ascii="楷体_GB2312" w:hAnsi="Calibri" w:eastAsia="楷体_GB2312" w:cs="Calibri"/>
          <w:sz w:val="32"/>
          <w:szCs w:val="32"/>
        </w:rPr>
        <w:t>（一）全面排查，违建行为制止到位</w:t>
      </w:r>
    </w:p>
    <w:p w14:paraId="58D673B9">
      <w:pPr>
        <w:overflowPunct w:val="0"/>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我县组织相关责任单位依职责、依处罚权限对阳明山国家级自然保护区内居民住房改扩建情况进行了全面摸排，对在建违规房屋进行了全面制止，下达停工通知书。经调查核实，阳明山国家级自然保护区核心区涉嫌违建的房屋共9栋，户主均为阳明山籍户口，均存在未批先建行为；已建成的7栋均存在超层建设情况，其中违法占用林地1户。</w:t>
      </w:r>
    </w:p>
    <w:p w14:paraId="6DB77B0A">
      <w:pPr>
        <w:overflowPunct w:val="0"/>
        <w:ind w:firstLine="640" w:firstLineChars="200"/>
        <w:rPr>
          <w:rFonts w:ascii="楷体_GB2312" w:hAnsi="Calibri" w:eastAsia="楷体_GB2312" w:cs="Calibri"/>
          <w:sz w:val="32"/>
          <w:szCs w:val="32"/>
        </w:rPr>
      </w:pPr>
      <w:r>
        <w:rPr>
          <w:rFonts w:hint="eastAsia" w:ascii="楷体_GB2312" w:hAnsi="Calibri" w:eastAsia="楷体_GB2312" w:cs="Calibri"/>
          <w:sz w:val="32"/>
          <w:szCs w:val="32"/>
        </w:rPr>
        <w:t>（二）调查认定，分类处置到位</w:t>
      </w:r>
    </w:p>
    <w:p w14:paraId="5D377A4C">
      <w:pPr>
        <w:overflowPunct w:val="0"/>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1.不具备农村建房资格类。该类房屋共1栋，已开展联合执法行动，将该栋房屋依法拆除并复垦到位。</w:t>
      </w:r>
    </w:p>
    <w:p w14:paraId="71ECAA1A">
      <w:pPr>
        <w:overflowPunct w:val="0"/>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2.未批先建未建成类。该类房屋共1栋，已下达责令停工通知书，暂停建设行为，待依法依规办理手续后方可续建。</w:t>
      </w:r>
    </w:p>
    <w:p w14:paraId="6A030FF4">
      <w:pPr>
        <w:overflowPunct w:val="0"/>
        <w:ind w:firstLine="640" w:firstLineChars="200"/>
        <w:rPr>
          <w:rFonts w:hint="eastAsia" w:ascii="楷体_GB2312" w:hAnsi="Calibri" w:eastAsia="楷体_GB2312" w:cs="Calibri"/>
          <w:sz w:val="32"/>
          <w:szCs w:val="32"/>
        </w:rPr>
      </w:pPr>
      <w:r>
        <w:rPr>
          <w:rFonts w:hint="eastAsia" w:ascii="仿宋_GB2312" w:hAnsi="Calibri" w:eastAsia="仿宋_GB2312" w:cs="Calibri"/>
          <w:sz w:val="32"/>
          <w:szCs w:val="32"/>
        </w:rPr>
        <w:t>3.未批先建已建成类。该类房屋共7栋。依据《居民自建房建设合法合规性问题整治的政策措施》（湘自资发〔2023〕4号），聘请技术单位于2024年5月对以上7栋房屋进行了安全结构鉴定，不存在结构隐患和消防隐患，因此对该7栋自建房暂停审批手续，纳入暂时保留类管理。该7栋房屋业主出具了不从事经营性活动承诺函，去除经营功能，保留原住民家庭生活功能</w:t>
      </w:r>
      <w:r>
        <w:rPr>
          <w:rFonts w:hint="eastAsia" w:ascii="仿宋_GB2312" w:hAnsi="Calibri" w:eastAsia="仿宋_GB2312" w:cs="Calibri"/>
          <w:sz w:val="32"/>
          <w:szCs w:val="32"/>
          <w:lang w:eastAsia="zh-CN"/>
        </w:rPr>
        <w:t>，</w:t>
      </w:r>
      <w:r>
        <w:rPr>
          <w:rFonts w:hint="eastAsia" w:ascii="仿宋_GB2312" w:hAnsi="Calibri" w:eastAsia="仿宋_GB2312" w:cs="Calibri"/>
          <w:sz w:val="32"/>
          <w:szCs w:val="32"/>
          <w:lang w:val="en-US" w:eastAsia="zh-CN"/>
        </w:rPr>
        <w:t>对超过3层的建设部分予以没收，归村集体所有。</w:t>
      </w:r>
      <w:r>
        <w:rPr>
          <w:rFonts w:hint="eastAsia" w:ascii="仿宋_GB2312" w:hAnsi="Calibri" w:eastAsia="仿宋_GB2312" w:cs="Calibri"/>
          <w:sz w:val="32"/>
          <w:szCs w:val="32"/>
        </w:rPr>
        <w:t xml:space="preserve">针对占用林地户，已由县林业局依法对占用林地行为进行了处罚。 </w:t>
      </w:r>
    </w:p>
    <w:p w14:paraId="4E4966FB">
      <w:pPr>
        <w:overflowPunct w:val="0"/>
        <w:ind w:firstLine="640" w:firstLineChars="200"/>
        <w:rPr>
          <w:rFonts w:hint="eastAsia" w:ascii="楷体_GB2312" w:hAnsi="Calibri" w:eastAsia="楷体_GB2312" w:cs="Calibri"/>
          <w:sz w:val="32"/>
          <w:szCs w:val="32"/>
        </w:rPr>
      </w:pPr>
      <w:r>
        <w:rPr>
          <w:rFonts w:hint="eastAsia" w:ascii="楷体_GB2312" w:hAnsi="Calibri" w:eastAsia="楷体_GB2312" w:cs="Calibri"/>
          <w:sz w:val="32"/>
          <w:szCs w:val="32"/>
        </w:rPr>
        <w:t>（三）立足长远，建章立制到位</w:t>
      </w:r>
    </w:p>
    <w:p w14:paraId="7C38BC66">
      <w:pPr>
        <w:overflowPunct w:val="0"/>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我县于2024年5月11日出台了《双牌县人民政府办公室关于印发〈双牌县农村居民自建房建设管理办法〉的通知》（双政办发〔2024〕6号）、《中共双牌县委办公室 双牌县人民政府办公室印发〈关于进一步加强阳明山村民自建房建设管理的实施意见（试行）〉的通知》（双办通〔2024〕26号），县委、县人民政府组建了阳明山村民自建房建设管理工作专班，由县委分管领导任总召集人，分管城建和农业农村领域的副县长任副召集人，在工作专班机制框架下，各部门各司其职、协调配合，共同做好阳明山村民自建房服务管理和监管执法工作。</w:t>
      </w:r>
    </w:p>
    <w:p w14:paraId="00571CF6">
      <w:pPr>
        <w:overflowPunct w:val="0"/>
        <w:ind w:firstLine="640" w:firstLineChars="200"/>
        <w:rPr>
          <w:rFonts w:ascii="仿宋_GB2312" w:hAnsi="Calibri" w:eastAsia="仿宋_GB2312" w:cs="Calibri"/>
          <w:sz w:val="32"/>
          <w:szCs w:val="32"/>
        </w:rPr>
      </w:pPr>
      <w:r>
        <w:rPr>
          <w:rFonts w:hint="eastAsia" w:ascii="楷体_GB2312" w:hAnsi="Calibri" w:eastAsia="楷体_GB2312" w:cs="Calibri"/>
          <w:sz w:val="32"/>
          <w:szCs w:val="32"/>
        </w:rPr>
        <w:t>（四）强化监管，宣传管控到位。</w:t>
      </w:r>
      <w:r>
        <w:rPr>
          <w:rFonts w:hint="eastAsia" w:ascii="仿宋_GB2312" w:hAnsi="Calibri" w:eastAsia="仿宋_GB2312" w:cs="Calibri"/>
          <w:sz w:val="32"/>
          <w:szCs w:val="32"/>
        </w:rPr>
        <w:t>组建专项巡查队伍，建立“每日一巡”工作机制，对区域内的自建房进行全覆盖、常态化巡查。重点排查并及时发现、制止违规建房行为，同时严禁开展任何经营活动，确保管理规范有序。通过制作横幅、发放宣传单、巡回宣传、村村通广播等途径，加强对居民自建房、乱占耕地建房“八不准”政策及阳明山保护区内村民合法合规建房等政策的宣传，切实增强群众的守法意识，从源头遏制违规建房乱象。</w:t>
      </w:r>
    </w:p>
    <w:p w14:paraId="49C2001F">
      <w:pPr>
        <w:numPr>
          <w:ilvl w:val="0"/>
          <w:numId w:val="0"/>
        </w:numPr>
        <w:ind w:leftChars="0"/>
        <w:rPr>
          <w:rFonts w:hint="eastAsia" w:ascii="仿宋_GB2312" w:hAnsi="Calibri" w:eastAsia="仿宋_GB2312" w:cs="Calibri"/>
          <w:sz w:val="32"/>
          <w:szCs w:val="32"/>
        </w:rPr>
      </w:pPr>
      <w:r>
        <w:rPr>
          <w:rFonts w:hint="eastAsia" w:ascii="楷体_GB2312" w:hAnsi="Calibri" w:eastAsia="楷体_GB2312" w:cs="Calibri"/>
          <w:sz w:val="32"/>
          <w:szCs w:val="32"/>
        </w:rPr>
        <w:t>（五）严肃处理，追责问责到位。</w:t>
      </w:r>
      <w:r>
        <w:rPr>
          <w:rFonts w:hint="eastAsia" w:ascii="仿宋_GB2312" w:hAnsi="Calibri" w:eastAsia="仿宋_GB2312" w:cs="Calibri"/>
          <w:sz w:val="32"/>
          <w:szCs w:val="32"/>
        </w:rPr>
        <w:t>针对阳明山国家级自然保护区违规建房问题，双牌县纪委监委对9名相关责任人进行了问责，对县农业农村局分管负责人予以党内警告处分，对县自然资源局执法监察大队主要负责人予以政务警告处分，对县自然资源局分管负责人以及湖南阳明山国家森林公园管理局分管负责人和局社会发展科主要负责人予以诫勉谈话；湖南阳明山国家森林公园管理局纪委对湖南阳明山国家森林公园管理局分管负责人以及社会发展科、资源管理科、自然资源所、阳明山村委会主要负责人予以提醒谈话。</w:t>
      </w:r>
    </w:p>
    <w:p w14:paraId="3BB087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31599"/>
    <w:rsid w:val="4D631599"/>
    <w:rsid w:val="55D52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2026-01-15T12:07:00Z</dcterms:created>
  <dc:creator>米粥</dc:creator>
  <cp:lastModifiedBy>米粥</cp:lastModifiedBy>
  <dcterms:modified xsi:type="dcterms:W3CDTF">2026-01-15T12:08:28Z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FED52AF3BD864D4E9593084F1131E0C2_11</vt:lpwstr>
  </property>
  <property fmtid="{D5CDD505-2E9C-101B-9397-08002B2CF9AE}" pid="4" name="KSOTemplateDocerSaveRecord">
    <vt:lpwstr>eyJoZGlkIjoiOTA3MTY1ZDA5MGI5YjQxZTc5ODUxZGZjZDcwMWQ4ZjQiLCJ1c2VySWQiOiI2OTQzNjQ0MzAifQ==</vt:lpwstr>
  </property>
</Properties>
</file>